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A06F7" w14:textId="77777777" w:rsidR="0035070B" w:rsidRDefault="00CF328A" w:rsidP="009E11A9">
      <w:pPr>
        <w:pStyle w:val="Title"/>
        <w:jc w:val="left"/>
      </w:pPr>
      <w:r>
        <w:t>University size and equity participation</w:t>
      </w:r>
    </w:p>
    <w:p w14:paraId="252A06F8" w14:textId="77777777" w:rsidR="0035070B" w:rsidRPr="009E11A9" w:rsidRDefault="00CF328A">
      <w:pPr>
        <w:pStyle w:val="Heading1"/>
        <w:rPr>
          <w:sz w:val="52"/>
          <w:szCs w:val="52"/>
        </w:rPr>
      </w:pPr>
      <w:bookmarkStart w:id="0" w:name="acses-data-insights-series"/>
      <w:r w:rsidRPr="009E11A9">
        <w:rPr>
          <w:sz w:val="52"/>
          <w:szCs w:val="52"/>
        </w:rPr>
        <w:t>ACSES Data Insights Series</w:t>
      </w:r>
    </w:p>
    <w:p w14:paraId="252A06F9" w14:textId="77777777" w:rsidR="0035070B" w:rsidRDefault="00CF328A">
      <w:r>
        <w:br w:type="page"/>
      </w:r>
    </w:p>
    <w:p w14:paraId="56432A62" w14:textId="77777777" w:rsidR="009E11A9" w:rsidRPr="004A59E5" w:rsidRDefault="009E11A9" w:rsidP="00D81E17">
      <w:pPr>
        <w:pStyle w:val="Heading2"/>
        <w:spacing w:before="0" w:after="360"/>
      </w:pPr>
      <w:bookmarkStart w:id="1" w:name="Xd5011d5efd06eff49e328a6d4b72f1a59c57ba8"/>
      <w:r w:rsidRPr="004A59E5">
        <w:lastRenderedPageBreak/>
        <w:t>Acknowledgements</w:t>
      </w:r>
    </w:p>
    <w:p w14:paraId="69BDD09C" w14:textId="77777777" w:rsidR="009E11A9" w:rsidRPr="004A59E5" w:rsidRDefault="009E11A9" w:rsidP="009E11A9">
      <w:pPr>
        <w:pStyle w:val="FirstParagraph"/>
        <w:spacing w:before="120"/>
      </w:pPr>
      <w:r w:rsidRPr="004A59E5">
        <w:t>This report was prepared by the Data Program of the Australian Centre for Student Equity and Success (ACSES) at Curtin University.</w:t>
      </w:r>
    </w:p>
    <w:p w14:paraId="31F8D6CD" w14:textId="77777777" w:rsidR="009E11A9" w:rsidRPr="004A59E5" w:rsidRDefault="009E11A9" w:rsidP="009E11A9">
      <w:pPr>
        <w:pStyle w:val="BodyText"/>
      </w:pPr>
      <w:r w:rsidRPr="004A59E5">
        <w:t>The authors would like to acknowledge the staff at ACSES for their comments and assistance in the production of this publication and extend thanks to the Australian Government Department of Education for the provision of student equity data.</w:t>
      </w:r>
    </w:p>
    <w:p w14:paraId="3255400E" w14:textId="78821BFB" w:rsidR="009E11A9" w:rsidRPr="004A59E5" w:rsidRDefault="009E11A9" w:rsidP="009E11A9">
      <w:pPr>
        <w:pStyle w:val="BodyText"/>
      </w:pPr>
      <w:r w:rsidRPr="004A59E5">
        <w:t xml:space="preserve">The report may be cited as: ACSES Data Program. (2026). </w:t>
      </w:r>
      <w:r>
        <w:rPr>
          <w:i/>
          <w:iCs/>
        </w:rPr>
        <w:t>University size and equity participation.</w:t>
      </w:r>
      <w:r w:rsidRPr="00BC7A21">
        <w:rPr>
          <w:i/>
          <w:iCs/>
        </w:rPr>
        <w:t xml:space="preserve"> </w:t>
      </w:r>
      <w:r w:rsidRPr="004A59E5">
        <w:t>Australian Centre for Student Equity and Success (ACSES), Perth: Curtin University.</w:t>
      </w:r>
    </w:p>
    <w:p w14:paraId="10BBA321" w14:textId="096DF605" w:rsidR="00A3739D" w:rsidRPr="00812A02" w:rsidRDefault="009E11A9" w:rsidP="009E11A9">
      <w:pPr>
        <w:pStyle w:val="BodyText"/>
      </w:pPr>
      <w:r w:rsidRPr="004A59E5">
        <w:t>This report examines</w:t>
      </w:r>
      <w:r>
        <w:t xml:space="preserve"> </w:t>
      </w:r>
      <w:r w:rsidR="00812A02" w:rsidRPr="00812A02">
        <w:t>the relationship between institution size (domestic undergraduate headcount) and equity student participation rates across Australian universities</w:t>
      </w:r>
      <w:r w:rsidRPr="004A59E5">
        <w:t xml:space="preserve">. For further information on retention, participation, success, </w:t>
      </w:r>
      <w:r>
        <w:t xml:space="preserve">and </w:t>
      </w:r>
      <w:r w:rsidRPr="004A59E5">
        <w:t>six- and nine-year cohort completion, please refer to the ACSES student equity data Interactive Tool:</w:t>
      </w:r>
      <w:r w:rsidR="00A3739D">
        <w:t xml:space="preserve"> </w:t>
      </w:r>
      <w:hyperlink r:id="rId8" w:history="1">
        <w:r w:rsidR="00A3739D" w:rsidRPr="003F48FE">
          <w:rPr>
            <w:rStyle w:val="Hyperlink"/>
            <w:i w:val="0"/>
            <w:iCs/>
            <w:color w:val="254C8C"/>
            <w:u w:val="single"/>
          </w:rPr>
          <w:t>www.acses.edu.au/data/interactive-tool/</w:t>
        </w:r>
      </w:hyperlink>
      <w:r w:rsidR="00A3739D">
        <w:t>.</w:t>
      </w:r>
    </w:p>
    <w:p w14:paraId="591BE969" w14:textId="77777777" w:rsidR="009E11A9" w:rsidRPr="004A59E5" w:rsidRDefault="009E11A9" w:rsidP="009E11A9">
      <w:pPr>
        <w:pStyle w:val="BodyText"/>
      </w:pPr>
      <w:r w:rsidRPr="004A59E5">
        <w:t>Copyright ownership of this material resides with Curtin University.</w:t>
      </w:r>
    </w:p>
    <w:p w14:paraId="6A57D2BE" w14:textId="200BCF67" w:rsidR="009E11A9" w:rsidRDefault="009E11A9" w:rsidP="009E11A9">
      <w:pPr>
        <w:pStyle w:val="BodyText"/>
      </w:pPr>
      <w:r w:rsidRPr="00A95F2B">
        <w:t>ISBN</w:t>
      </w:r>
      <w:r w:rsidRPr="004A59E5">
        <w:t xml:space="preserve"> </w:t>
      </w:r>
      <w:r w:rsidR="00A95F2B" w:rsidRPr="00A95F2B">
        <w:t>978-1-7648267-8-5</w:t>
      </w:r>
    </w:p>
    <w:p w14:paraId="725390D2" w14:textId="77777777" w:rsidR="009E11A9" w:rsidRDefault="009E11A9">
      <w:pPr>
        <w:rPr>
          <w:rFonts w:ascii="Inter Medium" w:eastAsiaTheme="majorEastAsia" w:hAnsi="Inter Medium" w:cstheme="majorBidi"/>
          <w:color w:val="6B3B57"/>
          <w:sz w:val="52"/>
          <w:szCs w:val="52"/>
        </w:rPr>
      </w:pPr>
      <w:r>
        <w:br w:type="page"/>
      </w:r>
    </w:p>
    <w:p w14:paraId="252A06FA" w14:textId="2F768EDD" w:rsidR="0035070B" w:rsidRDefault="00CF328A" w:rsidP="00782AE0">
      <w:pPr>
        <w:pStyle w:val="Heading2"/>
        <w:spacing w:before="0" w:after="360"/>
      </w:pPr>
      <w:r>
        <w:lastRenderedPageBreak/>
        <w:t>The Australian Centre for Student Equity and Success Data Insights Series</w:t>
      </w:r>
    </w:p>
    <w:p w14:paraId="252A06FB" w14:textId="645A0F5E" w:rsidR="0035070B" w:rsidRDefault="00CF328A">
      <w:pPr>
        <w:pStyle w:val="FirstParagraph"/>
      </w:pPr>
      <w:r>
        <w:t xml:space="preserve">The Australian Centre for Student Equity and Success (ACSES) is an evidence-based research and public policy centre based at Curtin University and funded by the </w:t>
      </w:r>
      <w:r w:rsidR="0035070B" w:rsidRPr="00F862E3">
        <w:rPr>
          <w:iCs/>
        </w:rPr>
        <w:t>Australian Government Department of Education</w:t>
      </w:r>
      <w:r>
        <w:t>. ACSES is committed to providing the higher education sector with tangible proof of what works to improve the quality and impact of student equity practices in higher education.</w:t>
      </w:r>
    </w:p>
    <w:p w14:paraId="252A06FC" w14:textId="6E0C6B87" w:rsidR="0035070B" w:rsidRDefault="00CF328A">
      <w:pPr>
        <w:pStyle w:val="BodyText"/>
      </w:pPr>
      <w:r>
        <w:t>The ACSES Data Insights Series reports on equity student participation and outcomes in Australian higher education. It focuses on trends among identified equity groups in domestic undergraduate enrolments in Australia, including, but not limited to:</w:t>
      </w:r>
    </w:p>
    <w:p w14:paraId="252A06FD" w14:textId="345A7F4A" w:rsidR="0035070B" w:rsidRDefault="00F862E3" w:rsidP="00782AE0">
      <w:pPr>
        <w:pStyle w:val="BodyText"/>
        <w:numPr>
          <w:ilvl w:val="0"/>
          <w:numId w:val="5"/>
        </w:numPr>
      </w:pPr>
      <w:r>
        <w:t>l</w:t>
      </w:r>
      <w:r w:rsidR="00CF328A">
        <w:t>ow socio-economic status (SES) students</w:t>
      </w:r>
    </w:p>
    <w:p w14:paraId="252A06FE" w14:textId="6ABFE2E9" w:rsidR="0035070B" w:rsidRDefault="00F862E3" w:rsidP="00782AE0">
      <w:pPr>
        <w:pStyle w:val="BodyText"/>
        <w:numPr>
          <w:ilvl w:val="0"/>
          <w:numId w:val="5"/>
        </w:numPr>
      </w:pPr>
      <w:r>
        <w:t>s</w:t>
      </w:r>
      <w:r w:rsidR="00CF328A">
        <w:t xml:space="preserve">tudents with </w:t>
      </w:r>
      <w:r>
        <w:t>d</w:t>
      </w:r>
      <w:r w:rsidR="00CF328A">
        <w:t>isability</w:t>
      </w:r>
    </w:p>
    <w:p w14:paraId="252A06FF" w14:textId="1A5207B8" w:rsidR="0035070B" w:rsidRDefault="00CF328A" w:rsidP="00782AE0">
      <w:pPr>
        <w:pStyle w:val="BodyText"/>
        <w:numPr>
          <w:ilvl w:val="0"/>
          <w:numId w:val="5"/>
        </w:numPr>
      </w:pPr>
      <w:r>
        <w:t>First Nations (Aboriginal and Torres Strait Islander) Australian students</w:t>
      </w:r>
    </w:p>
    <w:p w14:paraId="252A0700" w14:textId="3001F3F2" w:rsidR="0035070B" w:rsidRDefault="00F862E3" w:rsidP="00782AE0">
      <w:pPr>
        <w:pStyle w:val="BodyText"/>
        <w:numPr>
          <w:ilvl w:val="0"/>
          <w:numId w:val="5"/>
        </w:numPr>
      </w:pPr>
      <w:r>
        <w:t>r</w:t>
      </w:r>
      <w:r w:rsidR="00CF328A">
        <w:t>egional students</w:t>
      </w:r>
    </w:p>
    <w:p w14:paraId="252A0701" w14:textId="2F4F28EC" w:rsidR="0035070B" w:rsidRDefault="00F862E3" w:rsidP="00782AE0">
      <w:pPr>
        <w:pStyle w:val="BodyText"/>
        <w:numPr>
          <w:ilvl w:val="0"/>
          <w:numId w:val="5"/>
        </w:numPr>
      </w:pPr>
      <w:r>
        <w:t>r</w:t>
      </w:r>
      <w:r w:rsidR="00CF328A">
        <w:t>emote students</w:t>
      </w:r>
      <w:r>
        <w:t>.</w:t>
      </w:r>
    </w:p>
    <w:p w14:paraId="252A0702" w14:textId="502812EB" w:rsidR="0035070B" w:rsidRDefault="00CF328A">
      <w:pPr>
        <w:pStyle w:val="BodyText"/>
      </w:pPr>
      <w:r>
        <w:t xml:space="preserve">For further information on ACSES, please visit </w:t>
      </w:r>
      <w:hyperlink r:id="rId9" w:history="1">
        <w:r w:rsidR="00F862E3" w:rsidRPr="003F48FE">
          <w:rPr>
            <w:rStyle w:val="Hyperlink"/>
            <w:i w:val="0"/>
            <w:iCs/>
            <w:color w:val="254C8C"/>
            <w:u w:val="single"/>
          </w:rPr>
          <w:t>www.acses.edu.au</w:t>
        </w:r>
      </w:hyperlink>
      <w:r w:rsidR="00F862E3">
        <w:t>.</w:t>
      </w:r>
    </w:p>
    <w:p w14:paraId="252A0703" w14:textId="77777777" w:rsidR="0035070B" w:rsidRDefault="00CF328A">
      <w:r>
        <w:br w:type="page"/>
      </w:r>
    </w:p>
    <w:p w14:paraId="252A0704" w14:textId="77777777" w:rsidR="0035070B" w:rsidRDefault="00CF328A" w:rsidP="002158A5">
      <w:pPr>
        <w:pStyle w:val="Heading2"/>
        <w:spacing w:before="0" w:after="360"/>
      </w:pPr>
      <w:bookmarkStart w:id="2" w:name="overview"/>
      <w:bookmarkEnd w:id="1"/>
      <w:r>
        <w:lastRenderedPageBreak/>
        <w:t>Overview</w:t>
      </w:r>
    </w:p>
    <w:p w14:paraId="252A0705" w14:textId="77777777" w:rsidR="0035070B" w:rsidRDefault="00CF328A" w:rsidP="00C26DDA">
      <w:pPr>
        <w:pStyle w:val="FirstParagraph"/>
      </w:pPr>
      <w:r>
        <w:t xml:space="preserve">This report examines the relationship between </w:t>
      </w:r>
      <w:r w:rsidRPr="00F3324A">
        <w:t>institution size</w:t>
      </w:r>
      <w:r>
        <w:t xml:space="preserve"> (domestic undergraduate headcount) and </w:t>
      </w:r>
      <w:r w:rsidRPr="00F3324A">
        <w:t>equity student participation rates</w:t>
      </w:r>
      <w:r>
        <w:t xml:space="preserve"> across Australian universities.</w:t>
      </w:r>
    </w:p>
    <w:p w14:paraId="252A0706" w14:textId="5C8CC26F" w:rsidR="0035070B" w:rsidRDefault="00CF328A" w:rsidP="00C26DDA">
      <w:pPr>
        <w:pStyle w:val="BodyText"/>
      </w:pPr>
      <w:r>
        <w:t>Larger universities may have access to more resources which could be used to increase equity student participation share. Conversely</w:t>
      </w:r>
      <w:r w:rsidR="001614B2">
        <w:t>,</w:t>
      </w:r>
      <w:r>
        <w:t xml:space="preserve"> smaller universities could have dedicated mission statements with more bespoke focuses on equity students. Examining the relationship between university size and equity student participation provides a way to explore how these factors manifest across the sector, particularly whether participation rates vary systemically with institutional size.</w:t>
      </w:r>
    </w:p>
    <w:p w14:paraId="252A0707" w14:textId="3CBF4C7D" w:rsidR="0035070B" w:rsidRDefault="00CF328A" w:rsidP="00C26DDA">
      <w:pPr>
        <w:pStyle w:val="BodyText"/>
      </w:pPr>
      <w:r>
        <w:t>In this report, correlations (</w:t>
      </w:r>
      <w:r w:rsidR="001614B2">
        <w:t>“</w:t>
      </w:r>
      <w:r>
        <w:t>R</w:t>
      </w:r>
      <w:r w:rsidR="001614B2">
        <w:t>”</w:t>
      </w:r>
      <w:r>
        <w:t xml:space="preserve">) are used to assess the direction and strength of association between size and participation. R values closer to </w:t>
      </w:r>
      <w:r w:rsidR="001614B2">
        <w:t>one</w:t>
      </w:r>
      <w:r>
        <w:t xml:space="preserve"> indicate a more positive relationship between university size and equity student participation, while values closer to </w:t>
      </w:r>
      <w:r w:rsidR="001614B2">
        <w:t>negative one</w:t>
      </w:r>
      <w:r>
        <w:t xml:space="preserve"> indicate a more negative relationship.</w:t>
      </w:r>
    </w:p>
    <w:p w14:paraId="252A0708" w14:textId="77777777" w:rsidR="0035070B" w:rsidRDefault="00CF328A" w:rsidP="00C26DDA">
      <w:pPr>
        <w:pStyle w:val="BodyText"/>
      </w:pPr>
      <w:r>
        <w:t>Correlations are descriptive measures and should not be interpreted as targets in themselves. In a setting where equity participation is driven primarily by institution-specific factors rather than sector-wide dynamics, we might expect participation rates to vary independently of university size, resulting in correlations close to zero. Observed correlations may indicate the presence of broader structural or systemic influences operating across the sector. The direction of these relationships is not, in itself, diagnostic: for example, a negative correlation may reflect lower participation among larger universities, but it may equally reflect comparatively higher participation among smaller institutions.</w:t>
      </w:r>
    </w:p>
    <w:p w14:paraId="252A0709" w14:textId="3653B190" w:rsidR="0035070B" w:rsidRDefault="00CF328A" w:rsidP="00C26DDA">
      <w:pPr>
        <w:pStyle w:val="BodyText"/>
      </w:pPr>
      <w:r>
        <w:t>This analysis enables an assessment of whether university size is systemically related to variation in equity student participation across the sector. While no causal inference is made, the presence of strong correlations suggests that size may be connected to underlying features of the system</w:t>
      </w:r>
      <w:r w:rsidR="00133BEB">
        <w:t>s</w:t>
      </w:r>
      <w:r>
        <w:t xml:space="preserve"> that influence accessibility.</w:t>
      </w:r>
    </w:p>
    <w:p w14:paraId="252A070A" w14:textId="77777777" w:rsidR="0035070B" w:rsidRDefault="00CF328A" w:rsidP="00C26DDA">
      <w:pPr>
        <w:pStyle w:val="BodyText"/>
      </w:pPr>
      <w:r>
        <w:t>For consistency, we use the following rule of thumb as a guide for correlation strength:</w:t>
      </w:r>
    </w:p>
    <w:p w14:paraId="252A070B" w14:textId="14E340A2" w:rsidR="0035070B" w:rsidRDefault="00CF328A" w:rsidP="00592218">
      <w:pPr>
        <w:pStyle w:val="BodyText"/>
        <w:numPr>
          <w:ilvl w:val="0"/>
          <w:numId w:val="5"/>
        </w:numPr>
        <w:spacing w:after="100"/>
        <w:ind w:left="714" w:hanging="357"/>
      </w:pPr>
      <w:r>
        <w:t>|R| &lt; 0.2 → negligible, indicating little to no evidence of a relationship</w:t>
      </w:r>
    </w:p>
    <w:p w14:paraId="252A070C" w14:textId="6D3339E0" w:rsidR="0035070B" w:rsidRDefault="00CF328A" w:rsidP="00592218">
      <w:pPr>
        <w:pStyle w:val="BodyText"/>
        <w:numPr>
          <w:ilvl w:val="0"/>
          <w:numId w:val="5"/>
        </w:numPr>
        <w:spacing w:after="100"/>
        <w:ind w:left="714" w:hanging="357"/>
      </w:pPr>
      <w:r>
        <w:t>0.2 to 0.4 → weak, indicating some evidence of a relationship</w:t>
      </w:r>
    </w:p>
    <w:p w14:paraId="252A070D" w14:textId="61403AF6" w:rsidR="0035070B" w:rsidRDefault="00CF328A" w:rsidP="00592218">
      <w:pPr>
        <w:pStyle w:val="BodyText"/>
        <w:numPr>
          <w:ilvl w:val="0"/>
          <w:numId w:val="5"/>
        </w:numPr>
        <w:spacing w:after="100"/>
        <w:ind w:left="714" w:hanging="357"/>
      </w:pPr>
      <w:r>
        <w:t>0.4 to 0.6 → moderate, indicating clear evidence of a relationship</w:t>
      </w:r>
    </w:p>
    <w:p w14:paraId="252A070E" w14:textId="6D9622D9" w:rsidR="0035070B" w:rsidRDefault="00CF328A" w:rsidP="00C26DDA">
      <w:pPr>
        <w:pStyle w:val="BodyText"/>
        <w:numPr>
          <w:ilvl w:val="0"/>
          <w:numId w:val="5"/>
        </w:numPr>
      </w:pPr>
      <w:r>
        <w:t>0.6+ → strong, indicating a clear and substantial relationship</w:t>
      </w:r>
      <w:r w:rsidR="00363471">
        <w:t>.</w:t>
      </w:r>
    </w:p>
    <w:p w14:paraId="252A0710" w14:textId="48294AAA" w:rsidR="0035070B" w:rsidRDefault="00CF328A" w:rsidP="00C26DDA">
      <w:pPr>
        <w:pStyle w:val="BodyText"/>
      </w:pPr>
      <w:r>
        <w:t xml:space="preserve">Results are presented for </w:t>
      </w:r>
      <w:r w:rsidR="00363471">
        <w:t xml:space="preserve">the year </w:t>
      </w:r>
      <w:r w:rsidRPr="00F3324A">
        <w:t>2024</w:t>
      </w:r>
      <w:r>
        <w:t xml:space="preserve">, followed by </w:t>
      </w:r>
      <w:r w:rsidRPr="00F3324A">
        <w:t>trends over time (2017–2024)</w:t>
      </w:r>
      <w:r>
        <w:t>.</w:t>
      </w:r>
      <w:r>
        <w:br w:type="page"/>
      </w:r>
    </w:p>
    <w:p w14:paraId="252A0711" w14:textId="5D90DE33" w:rsidR="0035070B" w:rsidRDefault="00CF328A" w:rsidP="002158A5">
      <w:pPr>
        <w:pStyle w:val="Heading2"/>
        <w:spacing w:before="0" w:after="360"/>
      </w:pPr>
      <w:bookmarkStart w:id="3" w:name="data-explanatory-notes"/>
      <w:bookmarkEnd w:id="2"/>
      <w:r>
        <w:lastRenderedPageBreak/>
        <w:t xml:space="preserve">Data </w:t>
      </w:r>
      <w:r w:rsidR="00F54113">
        <w:t>e</w:t>
      </w:r>
      <w:r>
        <w:t xml:space="preserve">xplanatory </w:t>
      </w:r>
      <w:r w:rsidR="00F54113">
        <w:t>n</w:t>
      </w:r>
      <w:r>
        <w:t>otes</w:t>
      </w:r>
    </w:p>
    <w:p w14:paraId="252A0712" w14:textId="77777777" w:rsidR="0035070B" w:rsidRDefault="00CF328A" w:rsidP="00C26DDA">
      <w:pPr>
        <w:pStyle w:val="FirstParagraph"/>
      </w:pPr>
      <w:r>
        <w:t>All student data reported in this document are sourced from a customised request to the Australian Government Department of Education</w:t>
      </w:r>
      <w:r w:rsidRPr="00F3324A">
        <w:rPr>
          <w:rStyle w:val="FootnoteReference"/>
          <w:i w:val="0"/>
          <w:iCs/>
        </w:rPr>
        <w:footnoteReference w:id="1"/>
      </w:r>
      <w:r>
        <w:t>.</w:t>
      </w:r>
    </w:p>
    <w:p w14:paraId="252A0713" w14:textId="19D83E68" w:rsidR="0035070B" w:rsidRDefault="008B6DFA" w:rsidP="00C26DDA">
      <w:pPr>
        <w:pStyle w:val="BodyText"/>
      </w:pPr>
      <w:r>
        <w:t>For</w:t>
      </w:r>
      <w:r w:rsidR="00CF328A">
        <w:t xml:space="preserve"> this report:</w:t>
      </w:r>
    </w:p>
    <w:p w14:paraId="252A0714" w14:textId="7D6D9986" w:rsidR="0035070B" w:rsidRDefault="00CF328A" w:rsidP="00C26DDA">
      <w:pPr>
        <w:pStyle w:val="BodyText"/>
        <w:numPr>
          <w:ilvl w:val="0"/>
          <w:numId w:val="5"/>
        </w:numPr>
      </w:pPr>
      <w:r>
        <w:t>Analysis includes Table A and Table B universities (</w:t>
      </w:r>
      <w:r w:rsidR="008B6DFA">
        <w:t xml:space="preserve">as defined under the </w:t>
      </w:r>
      <w:r w:rsidRPr="00592218">
        <w:rPr>
          <w:i/>
          <w:iCs/>
        </w:rPr>
        <w:t>Higher Education Support Act 2003</w:t>
      </w:r>
      <w:r>
        <w:t xml:space="preserve">), with segmentation based on their institutional groupings. Table B universities are included in the </w:t>
      </w:r>
      <w:r w:rsidR="008B6DFA">
        <w:t>“n</w:t>
      </w:r>
      <w:r>
        <w:t>on-aligned</w:t>
      </w:r>
      <w:r w:rsidR="008B6DFA">
        <w:t>”</w:t>
      </w:r>
      <w:r>
        <w:t xml:space="preserve"> grouping.</w:t>
      </w:r>
    </w:p>
    <w:p w14:paraId="252A0715" w14:textId="282E1A00" w:rsidR="0035070B" w:rsidRDefault="00CF328A" w:rsidP="00C26DDA">
      <w:pPr>
        <w:pStyle w:val="BodyText"/>
        <w:numPr>
          <w:ilvl w:val="0"/>
          <w:numId w:val="5"/>
        </w:numPr>
      </w:pPr>
      <w:r>
        <w:t>Universities and their institutional grouping memberships are reported as they were in 2024</w:t>
      </w:r>
      <w:r w:rsidR="008B6DFA" w:rsidRPr="008B6DFA">
        <w:t>—</w:t>
      </w:r>
      <w:r>
        <w:t>the most recent year of data being reported.</w:t>
      </w:r>
    </w:p>
    <w:p w14:paraId="252A0716" w14:textId="1804C679" w:rsidR="0035070B" w:rsidRDefault="00CF328A" w:rsidP="00C26DDA">
      <w:pPr>
        <w:pStyle w:val="BodyText"/>
        <w:numPr>
          <w:ilvl w:val="0"/>
          <w:numId w:val="5"/>
        </w:numPr>
      </w:pPr>
      <w:r>
        <w:t xml:space="preserve">The identification of students from low SES, regional, and remote backgrounds is based on their </w:t>
      </w:r>
      <w:r w:rsidRPr="008B6DFA">
        <w:t>first address</w:t>
      </w:r>
      <w:r>
        <w:t>.</w:t>
      </w:r>
    </w:p>
    <w:p w14:paraId="252A0717" w14:textId="3DD9FDC1" w:rsidR="0035070B" w:rsidRDefault="007963CC" w:rsidP="00C26DDA">
      <w:pPr>
        <w:pStyle w:val="BodyText"/>
        <w:numPr>
          <w:ilvl w:val="0"/>
          <w:numId w:val="5"/>
        </w:numPr>
      </w:pPr>
      <w:r>
        <w:t>“</w:t>
      </w:r>
      <w:r w:rsidR="00CF328A">
        <w:t>Equity students</w:t>
      </w:r>
      <w:r>
        <w:t>”</w:t>
      </w:r>
      <w:r w:rsidR="00CF328A">
        <w:t xml:space="preserve"> or </w:t>
      </w:r>
      <w:r>
        <w:t>“</w:t>
      </w:r>
      <w:r w:rsidR="00CF328A">
        <w:t>all equity students</w:t>
      </w:r>
      <w:r>
        <w:t>”</w:t>
      </w:r>
      <w:r w:rsidR="00CF328A">
        <w:t xml:space="preserve"> refers to students who belong to at least one of the four key equity groups</w:t>
      </w:r>
      <w:r w:rsidR="00C65A06">
        <w:t xml:space="preserve"> presented in this report</w:t>
      </w:r>
      <w:r w:rsidR="00CF328A">
        <w:t>, namely, students with disability, First Nations Australian students, students from low SES areas, and students from regional and remote areas.</w:t>
      </w:r>
    </w:p>
    <w:p w14:paraId="252A0718" w14:textId="39937E87" w:rsidR="0035070B" w:rsidRDefault="007963CC" w:rsidP="00C26DDA">
      <w:pPr>
        <w:pStyle w:val="BodyText"/>
        <w:numPr>
          <w:ilvl w:val="0"/>
          <w:numId w:val="5"/>
        </w:numPr>
      </w:pPr>
      <w:r>
        <w:t>“</w:t>
      </w:r>
      <w:r w:rsidR="00CF328A">
        <w:t>Non-equity students</w:t>
      </w:r>
      <w:r>
        <w:t>”</w:t>
      </w:r>
      <w:r w:rsidR="00CF328A">
        <w:t xml:space="preserve"> refers to students who </w:t>
      </w:r>
      <w:r w:rsidR="00CF328A" w:rsidRPr="007963CC">
        <w:t>do not</w:t>
      </w:r>
      <w:r w:rsidR="00CF328A">
        <w:t xml:space="preserve"> belong to any of the equity groups </w:t>
      </w:r>
      <w:r>
        <w:t>described above</w:t>
      </w:r>
      <w:r w:rsidR="00CF328A">
        <w:t>.</w:t>
      </w:r>
    </w:p>
    <w:p w14:paraId="252A0719" w14:textId="24D472B5" w:rsidR="0035070B" w:rsidRDefault="00C65A06" w:rsidP="00C26DDA">
      <w:pPr>
        <w:pStyle w:val="BodyText"/>
        <w:numPr>
          <w:ilvl w:val="0"/>
          <w:numId w:val="5"/>
        </w:numPr>
      </w:pPr>
      <w:r>
        <w:t>“</w:t>
      </w:r>
      <w:r w:rsidR="00CF328A">
        <w:t>Students with disability</w:t>
      </w:r>
      <w:r>
        <w:t>”</w:t>
      </w:r>
      <w:r w:rsidR="00CF328A">
        <w:t xml:space="preserve"> changed its definition in 2020 to include </w:t>
      </w:r>
      <w:r>
        <w:t>“</w:t>
      </w:r>
      <w:r w:rsidR="00CF328A">
        <w:t>mental health conditions</w:t>
      </w:r>
      <w:r>
        <w:t>”</w:t>
      </w:r>
      <w:r w:rsidR="00CF328A">
        <w:t>.</w:t>
      </w:r>
    </w:p>
    <w:p w14:paraId="252A071B" w14:textId="5C374B1A" w:rsidR="0035070B" w:rsidRDefault="00CF328A" w:rsidP="00592218">
      <w:pPr>
        <w:pStyle w:val="BodyText"/>
        <w:numPr>
          <w:ilvl w:val="0"/>
          <w:numId w:val="5"/>
        </w:numPr>
      </w:pPr>
      <w:r>
        <w:t>We also report on students who are the first in their family to attend university</w:t>
      </w:r>
      <w:r w:rsidR="00C65A06">
        <w:t>;</w:t>
      </w:r>
      <w:r>
        <w:t xml:space="preserve"> students from non-English speaking backgrounds (NESB)</w:t>
      </w:r>
      <w:r w:rsidR="00C65A06">
        <w:t>;</w:t>
      </w:r>
      <w:r>
        <w:t xml:space="preserve"> and women in non-traditional areas</w:t>
      </w:r>
      <w:r w:rsidR="00C65A06">
        <w:t xml:space="preserve"> (WINTA)</w:t>
      </w:r>
      <w:r w:rsidR="003D4154">
        <w:t xml:space="preserve"> of study</w:t>
      </w:r>
      <w:r w:rsidR="00C65A06">
        <w:t>, that is,</w:t>
      </w:r>
      <w:r>
        <w:t xml:space="preserve"> female students enrolled in “non-traditional” disciplines</w:t>
      </w:r>
      <w:r w:rsidRPr="00C65A06">
        <w:rPr>
          <w:rStyle w:val="FootnoteReference"/>
          <w:i w:val="0"/>
          <w:iCs/>
        </w:rPr>
        <w:footnoteReference w:id="2"/>
      </w:r>
      <w:r>
        <w:t>.</w:t>
      </w:r>
      <w:r>
        <w:br w:type="page"/>
      </w:r>
    </w:p>
    <w:p w14:paraId="252A071C" w14:textId="77777777" w:rsidR="0035070B" w:rsidRDefault="00CF328A" w:rsidP="002158A5">
      <w:pPr>
        <w:pStyle w:val="Heading2"/>
        <w:spacing w:before="0" w:after="360"/>
      </w:pPr>
      <w:bookmarkStart w:id="4" w:name="all-equity-students"/>
      <w:bookmarkEnd w:id="3"/>
      <w:r>
        <w:lastRenderedPageBreak/>
        <w:t>All equity students</w:t>
      </w:r>
    </w:p>
    <w:p w14:paraId="252A071D" w14:textId="32EFF169" w:rsidR="0035070B" w:rsidRDefault="00CF328A" w:rsidP="00C26DDA">
      <w:pPr>
        <w:pStyle w:val="FirstParagraph"/>
      </w:pPr>
      <w:r>
        <w:t xml:space="preserve">Figure </w:t>
      </w:r>
      <w:hyperlink w:anchor="all-equity-2024">
        <w:r w:rsidR="0035070B" w:rsidRPr="008C6AEF">
          <w:fldChar w:fldCharType="begin"/>
        </w:r>
        <w:r w:rsidR="0035070B" w:rsidRPr="008C6AEF">
          <w:instrText xml:space="preserve"> REF all-equity-2024 \h</w:instrText>
        </w:r>
        <w:r w:rsidR="008C6AEF">
          <w:instrText xml:space="preserve"> \* MERGEFORMAT </w:instrText>
        </w:r>
        <w:r w:rsidR="0035070B" w:rsidRPr="008C6AEF">
          <w:fldChar w:fldCharType="separate"/>
        </w:r>
        <w:r w:rsidR="0035070B" w:rsidRPr="008C6AEF">
          <w:rPr>
            <w:noProof/>
          </w:rPr>
          <w:t>1</w:t>
        </w:r>
        <w:r w:rsidR="0035070B" w:rsidRPr="008C6AEF">
          <w:fldChar w:fldCharType="end"/>
        </w:r>
      </w:hyperlink>
      <w:r>
        <w:t xml:space="preserve"> shows the relationship between university size and participation for all equity students across each university. </w:t>
      </w:r>
      <w:r w:rsidR="00D22900">
        <w:t>A</w:t>
      </w:r>
      <w:r>
        <w:t xml:space="preserve"> moderate negative correlation</w:t>
      </w:r>
      <w:r w:rsidR="00D22900">
        <w:t xml:space="preserve"> is observed</w:t>
      </w:r>
      <w:r>
        <w:t>, indicating that larger universities have lower participation shares of equity students. There is a distinct threshold cut</w:t>
      </w:r>
      <w:r w:rsidR="008C6AEF">
        <w:t>-</w:t>
      </w:r>
      <w:r>
        <w:t>off at roughly 23,000 students where equity participation drops off sharply, ranging from 20% to just over 40%</w:t>
      </w:r>
      <w:r w:rsidR="008C6AEF">
        <w:t>,</w:t>
      </w:r>
      <w:r>
        <w:t xml:space="preserve"> </w:t>
      </w:r>
      <w:r w:rsidR="008C6AEF">
        <w:t>w</w:t>
      </w:r>
      <w:r>
        <w:t>hile below 23,000 equity participation range</w:t>
      </w:r>
      <w:r w:rsidR="008C6AEF">
        <w:t>s</w:t>
      </w:r>
      <w:r>
        <w:t xml:space="preserve"> from 20% to well over 80%.</w:t>
      </w:r>
    </w:p>
    <w:p w14:paraId="252A071E" w14:textId="4A737D7E" w:rsidR="0035070B" w:rsidRDefault="00CF328A" w:rsidP="00C26DDA">
      <w:pPr>
        <w:pStyle w:val="ImageCaption"/>
      </w:pPr>
      <w:r w:rsidRPr="00C26DDA">
        <w:rPr>
          <w:bCs/>
        </w:rPr>
        <w:t xml:space="preserve">Figure </w:t>
      </w:r>
      <w:bookmarkStart w:id="5" w:name="all-equity-2024"/>
      <w:r w:rsidRPr="00C26DDA">
        <w:rPr>
          <w:bCs/>
        </w:rPr>
        <w:fldChar w:fldCharType="begin"/>
      </w:r>
      <w:r w:rsidRPr="00C26DDA">
        <w:rPr>
          <w:bCs/>
        </w:rPr>
        <w:instrText>SEQ fig \* Arabic</w:instrText>
      </w:r>
      <w:r w:rsidRPr="00C26DDA">
        <w:rPr>
          <w:bCs/>
        </w:rPr>
        <w:fldChar w:fldCharType="separate"/>
      </w:r>
      <w:r w:rsidR="006B36DE" w:rsidRPr="00C26DDA">
        <w:rPr>
          <w:bCs/>
          <w:noProof/>
        </w:rPr>
        <w:t>1</w:t>
      </w:r>
      <w:r w:rsidRPr="00C26DDA">
        <w:rPr>
          <w:bCs/>
        </w:rPr>
        <w:fldChar w:fldCharType="end"/>
      </w:r>
      <w:bookmarkEnd w:id="5"/>
      <w:r w:rsidRPr="00C26DDA">
        <w:rPr>
          <w:bCs/>
        </w:rPr>
        <w:t>:</w:t>
      </w:r>
      <w:r>
        <w:rPr>
          <w:b/>
        </w:rPr>
        <w:t xml:space="preserve"> </w:t>
      </w:r>
      <w:r>
        <w:t>Domestic undergraduate enrolments vs overall equity student participation rate in 2024</w:t>
      </w:r>
    </w:p>
    <w:p w14:paraId="252A071F" w14:textId="77777777" w:rsidR="0035070B" w:rsidRDefault="00CF328A" w:rsidP="002158A5">
      <w:pPr>
        <w:pStyle w:val="Figure"/>
        <w:jc w:val="center"/>
      </w:pPr>
      <w:r>
        <w:rPr>
          <w:noProof/>
        </w:rPr>
        <w:drawing>
          <wp:inline distT="0" distB="0" distL="0" distR="0" wp14:anchorId="252A0794" wp14:editId="780FA853">
            <wp:extent cx="7759700" cy="4310944"/>
            <wp:effectExtent l="0" t="0" r="0" b="0"/>
            <wp:docPr id="1" name="Picture 1" descr="Scatter plot showing relationship between 2024 undergraduate domestic student enrolments and percentage of enrolments belonging to an equity group across various Australian universities. Data points are colour-coded by university group, including Group of Eight (black), Australian Technology Network (blue), Innovative Research Universities (purple), Regional Universities Network (pink), and non-aligned (orange), with a negative correlation (R = -0.424) indicating higher enrolments generally associate with lower equity student participation sh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atter plot showing relationship between 2024 undergraduate domestic student enrolments and percentage of enrolments belonging to an equity group across various Australian universities. Data points are colour-coded by university group, including Group of Eight (black), Australian Technology Network (blue), Innovative Research Universities (purple), Regional Universities Network (pink), and non-aligned (orange), with a negative correlation (R = -0.424) indicating higher enrolments generally associate with lower equity student participation shares."/>
                    <pic:cNvPicPr>
                      <a:picLocks noChangeAspect="1" noChangeArrowheads="1"/>
                    </pic:cNvPicPr>
                  </pic:nvPicPr>
                  <pic:blipFill>
                    <a:blip r:embed="rId10"/>
                    <a:stretch>
                      <a:fillRect/>
                    </a:stretch>
                  </pic:blipFill>
                  <pic:spPr bwMode="auto">
                    <a:xfrm>
                      <a:off x="0" y="0"/>
                      <a:ext cx="7761851" cy="4312139"/>
                    </a:xfrm>
                    <a:prstGeom prst="rect">
                      <a:avLst/>
                    </a:prstGeom>
                    <a:noFill/>
                  </pic:spPr>
                </pic:pic>
              </a:graphicData>
            </a:graphic>
          </wp:inline>
        </w:drawing>
      </w:r>
    </w:p>
    <w:p w14:paraId="252A0721" w14:textId="36370F3E" w:rsidR="0035070B" w:rsidRDefault="00CF328A" w:rsidP="002158A5">
      <w:pPr>
        <w:pStyle w:val="Heading2"/>
        <w:spacing w:before="0" w:after="360"/>
      </w:pPr>
      <w:r>
        <w:br w:type="page"/>
      </w:r>
      <w:bookmarkStart w:id="6" w:name="students-with-disability"/>
      <w:bookmarkEnd w:id="4"/>
      <w:r>
        <w:lastRenderedPageBreak/>
        <w:t>Students with disability</w:t>
      </w:r>
    </w:p>
    <w:p w14:paraId="252A0722" w14:textId="0EDAAAA3" w:rsidR="0035070B" w:rsidRDefault="00CF328A" w:rsidP="00C26DDA">
      <w:pPr>
        <w:pStyle w:val="FirstParagraph"/>
      </w:pPr>
      <w:r>
        <w:t xml:space="preserve">Figure </w:t>
      </w:r>
      <w:hyperlink w:anchor="disability-2024">
        <w:r w:rsidR="0035070B" w:rsidRPr="00D9399F">
          <w:fldChar w:fldCharType="begin"/>
        </w:r>
        <w:r w:rsidR="0035070B" w:rsidRPr="00D9399F">
          <w:instrText xml:space="preserve"> REF disability-2024 \h</w:instrText>
        </w:r>
        <w:r w:rsidR="00D9399F" w:rsidRPr="00D9399F">
          <w:instrText xml:space="preserve"> \* MERGEFORMAT </w:instrText>
        </w:r>
        <w:r w:rsidR="0035070B" w:rsidRPr="00D9399F">
          <w:fldChar w:fldCharType="separate"/>
        </w:r>
        <w:r w:rsidR="0035070B" w:rsidRPr="00D9399F">
          <w:rPr>
            <w:noProof/>
          </w:rPr>
          <w:t>2</w:t>
        </w:r>
        <w:r w:rsidR="0035070B" w:rsidRPr="00D9399F">
          <w:fldChar w:fldCharType="end"/>
        </w:r>
      </w:hyperlink>
      <w:r>
        <w:t xml:space="preserve"> shows the relationship between university size and participation for students with disability across each university. No clear relationship is observed at the sector level, indicating that participation share for students with disability is broadly independent of university size.</w:t>
      </w:r>
    </w:p>
    <w:p w14:paraId="252A0723" w14:textId="7DA72D42" w:rsidR="0035070B" w:rsidRDefault="00CF328A" w:rsidP="00C26DDA">
      <w:pPr>
        <w:pStyle w:val="ImageCaption"/>
      </w:pPr>
      <w:r w:rsidRPr="00C26DDA">
        <w:rPr>
          <w:bCs/>
        </w:rPr>
        <w:t xml:space="preserve">Figure </w:t>
      </w:r>
      <w:bookmarkStart w:id="7" w:name="disability-2024"/>
      <w:r w:rsidRPr="00C26DDA">
        <w:rPr>
          <w:bCs/>
        </w:rPr>
        <w:fldChar w:fldCharType="begin"/>
      </w:r>
      <w:r w:rsidRPr="00C26DDA">
        <w:rPr>
          <w:bCs/>
        </w:rPr>
        <w:instrText>SEQ fig \* Arabic</w:instrText>
      </w:r>
      <w:r w:rsidRPr="00C26DDA">
        <w:rPr>
          <w:bCs/>
        </w:rPr>
        <w:fldChar w:fldCharType="separate"/>
      </w:r>
      <w:r w:rsidR="006B36DE" w:rsidRPr="00C26DDA">
        <w:rPr>
          <w:bCs/>
          <w:noProof/>
        </w:rPr>
        <w:t>2</w:t>
      </w:r>
      <w:r w:rsidRPr="00C26DDA">
        <w:rPr>
          <w:bCs/>
        </w:rPr>
        <w:fldChar w:fldCharType="end"/>
      </w:r>
      <w:bookmarkEnd w:id="7"/>
      <w:r w:rsidRPr="00C26DDA">
        <w:rPr>
          <w:bCs/>
        </w:rPr>
        <w:t>:</w:t>
      </w:r>
      <w:r>
        <w:rPr>
          <w:b/>
        </w:rPr>
        <w:t xml:space="preserve"> </w:t>
      </w:r>
      <w:r>
        <w:t>Domestic undergraduate enrolments vs participation rate for students with disability in 2024</w:t>
      </w:r>
    </w:p>
    <w:p w14:paraId="252A0725" w14:textId="693F11F8" w:rsidR="0035070B" w:rsidRDefault="00CF328A" w:rsidP="005327B1">
      <w:pPr>
        <w:pStyle w:val="Figure"/>
        <w:jc w:val="center"/>
      </w:pPr>
      <w:r>
        <w:rPr>
          <w:noProof/>
        </w:rPr>
        <w:drawing>
          <wp:inline distT="0" distB="0" distL="0" distR="0" wp14:anchorId="252A0796" wp14:editId="537AECBC">
            <wp:extent cx="8229600" cy="4572000"/>
            <wp:effectExtent l="0" t="0" r="0" b="0"/>
            <wp:docPr id="3" name="Picture 3" descr="Scatter plot showing relationship between 2024 undergraduate domestic student enrolments and percentage of enrolments belonging to students with disability across various Australian universities. Data points are colour-coded by university group, including Group of Eight (black), Australian Technology Network (blue), Innovative Research Universities (purple), Regional Universities Network (pink), and Non-Aligned (orange), with a negligible correlation (R = -0.150) indicating higher enrolments generally have no association with students with disability participation sh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11"/>
                    <a:stretch>
                      <a:fillRect/>
                    </a:stretch>
                  </pic:blipFill>
                  <pic:spPr bwMode="auto">
                    <a:xfrm>
                      <a:off x="0" y="0"/>
                      <a:ext cx="8229600" cy="4572000"/>
                    </a:xfrm>
                    <a:prstGeom prst="rect">
                      <a:avLst/>
                    </a:prstGeom>
                    <a:noFill/>
                  </pic:spPr>
                </pic:pic>
              </a:graphicData>
            </a:graphic>
          </wp:inline>
        </w:drawing>
      </w:r>
      <w:r>
        <w:br w:type="page"/>
      </w:r>
    </w:p>
    <w:p w14:paraId="252A0726" w14:textId="77777777" w:rsidR="0035070B" w:rsidRDefault="00CF328A" w:rsidP="002158A5">
      <w:pPr>
        <w:pStyle w:val="Heading2"/>
        <w:spacing w:before="0" w:after="360"/>
      </w:pPr>
      <w:bookmarkStart w:id="8" w:name="students-from-regional-and-remote-areas"/>
      <w:bookmarkEnd w:id="6"/>
      <w:r>
        <w:lastRenderedPageBreak/>
        <w:t>Students from regional and remote areas</w:t>
      </w:r>
    </w:p>
    <w:p w14:paraId="252A0727" w14:textId="4EED5C16" w:rsidR="0035070B" w:rsidRDefault="00CF328A" w:rsidP="00C26DDA">
      <w:pPr>
        <w:pStyle w:val="FirstParagraph"/>
      </w:pPr>
      <w:r>
        <w:t xml:space="preserve">Figure </w:t>
      </w:r>
      <w:hyperlink w:anchor="regionremote-2024">
        <w:r w:rsidR="0035070B" w:rsidRPr="00F3324A">
          <w:fldChar w:fldCharType="begin"/>
        </w:r>
        <w:r w:rsidR="0035070B" w:rsidRPr="00F3324A">
          <w:instrText xml:space="preserve"> REF regionremote-2024 \h</w:instrText>
        </w:r>
        <w:r w:rsidR="00F3324A" w:rsidRPr="00F3324A">
          <w:instrText xml:space="preserve"> \* MERGEFORMAT </w:instrText>
        </w:r>
        <w:r w:rsidR="0035070B" w:rsidRPr="00F3324A">
          <w:fldChar w:fldCharType="separate"/>
        </w:r>
        <w:r w:rsidR="0035070B" w:rsidRPr="00F3324A">
          <w:rPr>
            <w:noProof/>
          </w:rPr>
          <w:t>3</w:t>
        </w:r>
        <w:r w:rsidR="0035070B" w:rsidRPr="00F3324A">
          <w:fldChar w:fldCharType="end"/>
        </w:r>
      </w:hyperlink>
      <w:r>
        <w:t xml:space="preserve"> shows the relationship between university size and participation for students from regional </w:t>
      </w:r>
      <w:r w:rsidR="00F3324A">
        <w:t>and</w:t>
      </w:r>
      <w:r>
        <w:t xml:space="preserve"> remote areas across each university. </w:t>
      </w:r>
      <w:r w:rsidR="00DB3E08">
        <w:t>A</w:t>
      </w:r>
      <w:r>
        <w:t xml:space="preserve"> weak negative correlation</w:t>
      </w:r>
      <w:r w:rsidR="00DB3E08">
        <w:t xml:space="preserve"> is observed</w:t>
      </w:r>
      <w:r>
        <w:t xml:space="preserve"> between university size and regional/remote participation share across the sector.</w:t>
      </w:r>
    </w:p>
    <w:p w14:paraId="252A0728" w14:textId="25FBD461" w:rsidR="0035070B" w:rsidRDefault="00CF328A" w:rsidP="00C26DDA">
      <w:pPr>
        <w:pStyle w:val="ImageCaption"/>
      </w:pPr>
      <w:r w:rsidRPr="00C26DDA">
        <w:rPr>
          <w:bCs/>
        </w:rPr>
        <w:t xml:space="preserve">Figure </w:t>
      </w:r>
      <w:bookmarkStart w:id="9" w:name="regionremote-2024"/>
      <w:r w:rsidRPr="00C26DDA">
        <w:rPr>
          <w:bCs/>
        </w:rPr>
        <w:fldChar w:fldCharType="begin"/>
      </w:r>
      <w:r w:rsidRPr="00C26DDA">
        <w:rPr>
          <w:bCs/>
        </w:rPr>
        <w:instrText>SEQ fig \* Arabic</w:instrText>
      </w:r>
      <w:r w:rsidRPr="00C26DDA">
        <w:rPr>
          <w:bCs/>
        </w:rPr>
        <w:fldChar w:fldCharType="separate"/>
      </w:r>
      <w:r w:rsidR="006B36DE" w:rsidRPr="00C26DDA">
        <w:rPr>
          <w:bCs/>
          <w:noProof/>
        </w:rPr>
        <w:t>3</w:t>
      </w:r>
      <w:r w:rsidRPr="00C26DDA">
        <w:rPr>
          <w:bCs/>
        </w:rPr>
        <w:fldChar w:fldCharType="end"/>
      </w:r>
      <w:bookmarkEnd w:id="9"/>
      <w:r>
        <w:rPr>
          <w:b/>
        </w:rPr>
        <w:t xml:space="preserve">: </w:t>
      </w:r>
      <w:r>
        <w:t>Domestic undergraduate enrolments vs participation rate for students from regional and remote areas in 2024</w:t>
      </w:r>
    </w:p>
    <w:p w14:paraId="252A072A" w14:textId="3DEE6563" w:rsidR="0035070B" w:rsidRDefault="00CF328A" w:rsidP="005327B1">
      <w:pPr>
        <w:pStyle w:val="Figure"/>
        <w:jc w:val="center"/>
      </w:pPr>
      <w:r>
        <w:rPr>
          <w:noProof/>
        </w:rPr>
        <w:drawing>
          <wp:inline distT="0" distB="0" distL="0" distR="0" wp14:anchorId="252A0798" wp14:editId="00F2FA9D">
            <wp:extent cx="8229600" cy="4572000"/>
            <wp:effectExtent l="0" t="0" r="0" b="0"/>
            <wp:docPr id="5" name="Picture 5" descr="Scatter plot showing relationship between 2024 undergraduate domestic student enrolments and percentage of enrolments belonging to students from regional/remote areas across various Australian universities. Data points are colour-coded by university group, including Group of Eight (black), Australian Technology Network (blue), Innovative Research Universities (purple), Regional Universities Network (pink), and non-aligned (orange), with a weak negative correlation (R = -0.380) indicating higher enrolments may have some association with lower regional/remote student participation sh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catter plot showing relationship between 2024 undergraduate domestic student enrolments and percentage of enrolments belonging to students from regional/remote areas across various Australian universities. Data points are colour-coded by university group, including Group of Eight (black), Australian Technology Network (blue), Innovative Research Universities (purple), Regional Universities Network (pink), and non-aligned (orange), with a weak negative correlation (R = -0.380) indicating higher enrolments may have some association with lower regional/remote student participation shares."/>
                    <pic:cNvPicPr>
                      <a:picLocks noChangeAspect="1" noChangeArrowheads="1"/>
                    </pic:cNvPicPr>
                  </pic:nvPicPr>
                  <pic:blipFill>
                    <a:blip r:embed="rId12"/>
                    <a:stretch>
                      <a:fillRect/>
                    </a:stretch>
                  </pic:blipFill>
                  <pic:spPr bwMode="auto">
                    <a:xfrm>
                      <a:off x="0" y="0"/>
                      <a:ext cx="8229600" cy="4572000"/>
                    </a:xfrm>
                    <a:prstGeom prst="rect">
                      <a:avLst/>
                    </a:prstGeom>
                    <a:noFill/>
                  </pic:spPr>
                </pic:pic>
              </a:graphicData>
            </a:graphic>
          </wp:inline>
        </w:drawing>
      </w:r>
      <w:r>
        <w:br w:type="page"/>
      </w:r>
    </w:p>
    <w:p w14:paraId="252A072B" w14:textId="0B887D6F" w:rsidR="0035070B" w:rsidRDefault="00CF328A" w:rsidP="002158A5">
      <w:pPr>
        <w:pStyle w:val="Heading2"/>
        <w:spacing w:before="0" w:after="360"/>
      </w:pPr>
      <w:bookmarkStart w:id="10" w:name="first-nations-australian-students"/>
      <w:bookmarkEnd w:id="8"/>
      <w:r>
        <w:lastRenderedPageBreak/>
        <w:t xml:space="preserve">First Nations Australian </w:t>
      </w:r>
      <w:r w:rsidR="00F54113">
        <w:t>s</w:t>
      </w:r>
      <w:r>
        <w:t>tudents</w:t>
      </w:r>
    </w:p>
    <w:p w14:paraId="252A072C" w14:textId="7C64C4DA" w:rsidR="0035070B" w:rsidRDefault="00CF328A" w:rsidP="00C26DDA">
      <w:pPr>
        <w:pStyle w:val="FirstParagraph"/>
      </w:pPr>
      <w:r>
        <w:t xml:space="preserve">Figure </w:t>
      </w:r>
      <w:hyperlink w:anchor="firstnations-2024">
        <w:r w:rsidR="0035070B" w:rsidRPr="00F3324A">
          <w:fldChar w:fldCharType="begin"/>
        </w:r>
        <w:r w:rsidR="0035070B" w:rsidRPr="00F3324A">
          <w:instrText xml:space="preserve"> REF firstnations-2024 \h</w:instrText>
        </w:r>
        <w:r w:rsidR="00F3324A" w:rsidRPr="00F3324A">
          <w:instrText xml:space="preserve"> \* MERGEFORMAT </w:instrText>
        </w:r>
        <w:r w:rsidR="0035070B" w:rsidRPr="00F3324A">
          <w:fldChar w:fldCharType="separate"/>
        </w:r>
        <w:r w:rsidR="0035070B" w:rsidRPr="00F3324A">
          <w:rPr>
            <w:noProof/>
          </w:rPr>
          <w:t>4</w:t>
        </w:r>
        <w:r w:rsidR="0035070B" w:rsidRPr="00F3324A">
          <w:fldChar w:fldCharType="end"/>
        </w:r>
      </w:hyperlink>
      <w:r>
        <w:t xml:space="preserve"> shows the relationship between university size and participation for First Nations Australian students across each university. A weak to moderate negative correlation is observed between institution size and participation for First Nations Australian students, indicating a negative association between university size and participation share.</w:t>
      </w:r>
    </w:p>
    <w:p w14:paraId="252A072D" w14:textId="7A0702F4" w:rsidR="0035070B" w:rsidRDefault="00CF328A" w:rsidP="00C26DDA">
      <w:pPr>
        <w:pStyle w:val="ImageCaption"/>
      </w:pPr>
      <w:r w:rsidRPr="00C26DDA">
        <w:rPr>
          <w:bCs/>
        </w:rPr>
        <w:t xml:space="preserve">Figure </w:t>
      </w:r>
      <w:bookmarkStart w:id="11" w:name="firstnations-2024"/>
      <w:r w:rsidRPr="00C26DDA">
        <w:rPr>
          <w:bCs/>
        </w:rPr>
        <w:fldChar w:fldCharType="begin"/>
      </w:r>
      <w:r w:rsidRPr="00C26DDA">
        <w:rPr>
          <w:bCs/>
        </w:rPr>
        <w:instrText>SEQ fig \* Arabic</w:instrText>
      </w:r>
      <w:r w:rsidRPr="00C26DDA">
        <w:rPr>
          <w:bCs/>
        </w:rPr>
        <w:fldChar w:fldCharType="separate"/>
      </w:r>
      <w:r w:rsidR="006B36DE" w:rsidRPr="00C26DDA">
        <w:rPr>
          <w:bCs/>
          <w:noProof/>
        </w:rPr>
        <w:t>4</w:t>
      </w:r>
      <w:r w:rsidRPr="00C26DDA">
        <w:rPr>
          <w:bCs/>
        </w:rPr>
        <w:fldChar w:fldCharType="end"/>
      </w:r>
      <w:bookmarkEnd w:id="11"/>
      <w:r w:rsidRPr="00C26DDA">
        <w:rPr>
          <w:bCs/>
        </w:rPr>
        <w:t>:</w:t>
      </w:r>
      <w:r>
        <w:rPr>
          <w:b/>
        </w:rPr>
        <w:t xml:space="preserve"> </w:t>
      </w:r>
      <w:r>
        <w:t>Domestic undergraduate enrolments vs participation rate for First Nations Australian students in 2024</w:t>
      </w:r>
    </w:p>
    <w:p w14:paraId="252A072E" w14:textId="77777777" w:rsidR="0035070B" w:rsidRDefault="00CF328A">
      <w:pPr>
        <w:pStyle w:val="Figure"/>
        <w:jc w:val="center"/>
      </w:pPr>
      <w:r>
        <w:rPr>
          <w:noProof/>
        </w:rPr>
        <w:drawing>
          <wp:inline distT="0" distB="0" distL="0" distR="0" wp14:anchorId="252A079A" wp14:editId="0EDCC78E">
            <wp:extent cx="8229600" cy="4572000"/>
            <wp:effectExtent l="0" t="0" r="0" b="0"/>
            <wp:docPr id="7" name="Picture 7" descr="Scatter plot showing relationship between 2024 undergraduate domestic student enrolments and percentage of enrolments belonging to First Nations Australian students across various Australian universities. Data points are colour-coded by university group, including Group of Eight (black), Australian Technology Network (blue), Innovative Research Universities (purple), Regional Universities Network (pink), and non-aligned (orange), with a negative correlation (R = -0.400) indicating higher enrolments generally associate with lower First Nations Australian student participation sh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catter plot showing relationship between 2024 undergraduate domestic student enrolments and percentage of enrolments belonging to First Nations Australian students across various Australian universities. Data points are colour-coded by university group, including Group of Eight (black), Australian Technology Network (blue), Innovative Research Universities (purple), Regional Universities Network (pink), and non-aligned (orange), with a negative correlation (R = -0.400) indicating higher enrolments generally associate with lower First Nations Australian student participation shares."/>
                    <pic:cNvPicPr>
                      <a:picLocks noChangeAspect="1" noChangeArrowheads="1"/>
                    </pic:cNvPicPr>
                  </pic:nvPicPr>
                  <pic:blipFill>
                    <a:blip r:embed="rId13"/>
                    <a:stretch>
                      <a:fillRect/>
                    </a:stretch>
                  </pic:blipFill>
                  <pic:spPr bwMode="auto">
                    <a:xfrm>
                      <a:off x="0" y="0"/>
                      <a:ext cx="8229600" cy="4572000"/>
                    </a:xfrm>
                    <a:prstGeom prst="rect">
                      <a:avLst/>
                    </a:prstGeom>
                    <a:noFill/>
                  </pic:spPr>
                </pic:pic>
              </a:graphicData>
            </a:graphic>
          </wp:inline>
        </w:drawing>
      </w:r>
    </w:p>
    <w:p w14:paraId="252A0730" w14:textId="08C7C25B" w:rsidR="0035070B" w:rsidRDefault="00CF328A" w:rsidP="002158A5">
      <w:pPr>
        <w:pStyle w:val="Heading2"/>
        <w:spacing w:before="0" w:after="360"/>
      </w:pPr>
      <w:r>
        <w:br w:type="page"/>
      </w:r>
      <w:bookmarkStart w:id="12" w:name="students-from-low-ses-areas"/>
      <w:bookmarkEnd w:id="10"/>
      <w:r>
        <w:lastRenderedPageBreak/>
        <w:t>Students from low SES areas</w:t>
      </w:r>
    </w:p>
    <w:p w14:paraId="252A0731" w14:textId="6D2FE554" w:rsidR="0035070B" w:rsidRDefault="00CF328A" w:rsidP="00C26DDA">
      <w:pPr>
        <w:pStyle w:val="FirstParagraph"/>
      </w:pPr>
      <w:r>
        <w:t xml:space="preserve">Figure </w:t>
      </w:r>
      <w:hyperlink w:anchor="lowses-2024">
        <w:r w:rsidR="0035070B" w:rsidRPr="00DB3E08">
          <w:fldChar w:fldCharType="begin"/>
        </w:r>
        <w:r w:rsidR="0035070B" w:rsidRPr="00DB3E08">
          <w:instrText xml:space="preserve"> REF lowses-2024 \h</w:instrText>
        </w:r>
        <w:r w:rsidR="00DB3E08" w:rsidRPr="00DB3E08">
          <w:instrText xml:space="preserve"> \* MERGEFORMAT </w:instrText>
        </w:r>
        <w:r w:rsidR="0035070B" w:rsidRPr="00DB3E08">
          <w:fldChar w:fldCharType="separate"/>
        </w:r>
        <w:r w:rsidR="0035070B" w:rsidRPr="00DB3E08">
          <w:rPr>
            <w:noProof/>
          </w:rPr>
          <w:t>5</w:t>
        </w:r>
        <w:r w:rsidR="0035070B" w:rsidRPr="00DB3E08">
          <w:fldChar w:fldCharType="end"/>
        </w:r>
      </w:hyperlink>
      <w:r>
        <w:t xml:space="preserve"> shows the relationship between university size and participation for students from low SES areas across each university. A weak negative correlation is observed between institution size and participation for students from low SES areas.</w:t>
      </w:r>
    </w:p>
    <w:p w14:paraId="252A0732" w14:textId="154BFAF4" w:rsidR="0035070B" w:rsidRDefault="00CF328A" w:rsidP="00C26DDA">
      <w:pPr>
        <w:pStyle w:val="ImageCaption"/>
      </w:pPr>
      <w:r w:rsidRPr="00C26DDA">
        <w:rPr>
          <w:bCs/>
        </w:rPr>
        <w:t xml:space="preserve">Figure </w:t>
      </w:r>
      <w:bookmarkStart w:id="13" w:name="lowses-2024"/>
      <w:r w:rsidRPr="00C26DDA">
        <w:rPr>
          <w:bCs/>
        </w:rPr>
        <w:fldChar w:fldCharType="begin"/>
      </w:r>
      <w:r w:rsidRPr="00C26DDA">
        <w:rPr>
          <w:bCs/>
        </w:rPr>
        <w:instrText>SEQ fig \* Arabic</w:instrText>
      </w:r>
      <w:r w:rsidRPr="00C26DDA">
        <w:rPr>
          <w:bCs/>
        </w:rPr>
        <w:fldChar w:fldCharType="separate"/>
      </w:r>
      <w:r w:rsidR="006B36DE" w:rsidRPr="00C26DDA">
        <w:rPr>
          <w:bCs/>
          <w:noProof/>
        </w:rPr>
        <w:t>5</w:t>
      </w:r>
      <w:r w:rsidRPr="00C26DDA">
        <w:rPr>
          <w:bCs/>
        </w:rPr>
        <w:fldChar w:fldCharType="end"/>
      </w:r>
      <w:bookmarkEnd w:id="13"/>
      <w:r w:rsidRPr="00C26DDA">
        <w:rPr>
          <w:bCs/>
        </w:rPr>
        <w:t>:</w:t>
      </w:r>
      <w:r>
        <w:rPr>
          <w:b/>
        </w:rPr>
        <w:t xml:space="preserve"> </w:t>
      </w:r>
      <w:r>
        <w:t>Domestic undergraduate enrolments vs participation rate for students from low SES areas in 2024</w:t>
      </w:r>
    </w:p>
    <w:p w14:paraId="252A0734" w14:textId="6BEB9EAF" w:rsidR="0035070B" w:rsidRDefault="00CF328A" w:rsidP="005327B1">
      <w:pPr>
        <w:pStyle w:val="Figure"/>
        <w:jc w:val="center"/>
      </w:pPr>
      <w:r>
        <w:rPr>
          <w:noProof/>
        </w:rPr>
        <w:drawing>
          <wp:inline distT="0" distB="0" distL="0" distR="0" wp14:anchorId="252A079C" wp14:editId="11C2E575">
            <wp:extent cx="8229600" cy="4572000"/>
            <wp:effectExtent l="0" t="0" r="0" b="0"/>
            <wp:docPr id="9" name="Picture 9" descr="Scatter plot showing relationship between 2024 undergraduate domestic student enrolments and percentage of enrolments belonging to students from low SES areas across various Australian universities. Data points are colour-coded by university group, including Group of Eight (black), Australian Technology Network (blue), Innovative Research Universities (purple), Regional Universities Network (pink), and non-aligned (orange), with a weak negative correlation (R = -0.363) indicating higher enrolments may have some association with lower students from low SES areas participation sh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catter plot showing relationship between 2024 undergraduate domestic student enrolments and percentage of enrolments belonging to students from low SES areas across various Australian universities. Data points are colour-coded by university group, including Group of Eight (black), Australian Technology Network (blue), Innovative Research Universities (purple), Regional Universities Network (pink), and non-aligned (orange), with a weak negative correlation (R = -0.363) indicating higher enrolments may have some association with lower students from low SES areas participation shares."/>
                    <pic:cNvPicPr>
                      <a:picLocks noChangeAspect="1" noChangeArrowheads="1"/>
                    </pic:cNvPicPr>
                  </pic:nvPicPr>
                  <pic:blipFill>
                    <a:blip r:embed="rId14"/>
                    <a:stretch>
                      <a:fillRect/>
                    </a:stretch>
                  </pic:blipFill>
                  <pic:spPr bwMode="auto">
                    <a:xfrm>
                      <a:off x="0" y="0"/>
                      <a:ext cx="8229600" cy="4572000"/>
                    </a:xfrm>
                    <a:prstGeom prst="rect">
                      <a:avLst/>
                    </a:prstGeom>
                    <a:noFill/>
                  </pic:spPr>
                </pic:pic>
              </a:graphicData>
            </a:graphic>
          </wp:inline>
        </w:drawing>
      </w:r>
      <w:r>
        <w:br w:type="page"/>
      </w:r>
    </w:p>
    <w:p w14:paraId="252A0735" w14:textId="1E2218A2" w:rsidR="0035070B" w:rsidRDefault="00CF328A" w:rsidP="002158A5">
      <w:pPr>
        <w:pStyle w:val="Heading2"/>
        <w:spacing w:before="0" w:after="360"/>
      </w:pPr>
      <w:bookmarkStart w:id="14" w:name="students-who-are-first-in-family"/>
      <w:bookmarkEnd w:id="12"/>
      <w:r>
        <w:lastRenderedPageBreak/>
        <w:t>Students who are first in family</w:t>
      </w:r>
    </w:p>
    <w:p w14:paraId="252A0736" w14:textId="0823A227" w:rsidR="0035070B" w:rsidRDefault="00CF328A" w:rsidP="00C26DDA">
      <w:pPr>
        <w:pStyle w:val="FirstParagraph"/>
      </w:pPr>
      <w:r>
        <w:t xml:space="preserve">Figure </w:t>
      </w:r>
      <w:hyperlink w:anchor="fif-2024">
        <w:r w:rsidR="0035070B" w:rsidRPr="00B54A69">
          <w:fldChar w:fldCharType="begin"/>
        </w:r>
        <w:r w:rsidR="0035070B" w:rsidRPr="00B54A69">
          <w:instrText xml:space="preserve"> REF fif-2024 \h</w:instrText>
        </w:r>
        <w:r w:rsidR="00B54A69" w:rsidRPr="00B54A69">
          <w:instrText xml:space="preserve"> \* MERGEFORMAT </w:instrText>
        </w:r>
        <w:r w:rsidR="0035070B" w:rsidRPr="00B54A69">
          <w:fldChar w:fldCharType="separate"/>
        </w:r>
        <w:r w:rsidR="0035070B" w:rsidRPr="00B54A69">
          <w:rPr>
            <w:noProof/>
          </w:rPr>
          <w:t>6</w:t>
        </w:r>
        <w:r w:rsidR="0035070B" w:rsidRPr="00B54A69">
          <w:fldChar w:fldCharType="end"/>
        </w:r>
      </w:hyperlink>
      <w:r>
        <w:t xml:space="preserve"> shows the relationship between university size and participation for first</w:t>
      </w:r>
      <w:r w:rsidR="00F54113">
        <w:t>-</w:t>
      </w:r>
      <w:r>
        <w:t>in</w:t>
      </w:r>
      <w:r w:rsidR="00F54113">
        <w:t>-</w:t>
      </w:r>
      <w:r>
        <w:t>family students</w:t>
      </w:r>
      <w:r w:rsidR="00B54A69">
        <w:t xml:space="preserve"> across each university</w:t>
      </w:r>
      <w:r>
        <w:t>. No clear relationship is observed at the sector level, indicating that participation share for first</w:t>
      </w:r>
      <w:r w:rsidR="00B54A69">
        <w:t>-</w:t>
      </w:r>
      <w:r>
        <w:t>in</w:t>
      </w:r>
      <w:r w:rsidR="00B54A69">
        <w:t>-</w:t>
      </w:r>
      <w:r>
        <w:t>family students is broadly independent of university size.</w:t>
      </w:r>
    </w:p>
    <w:p w14:paraId="252A0737" w14:textId="3FEDE3F9" w:rsidR="0035070B" w:rsidRDefault="00CF328A" w:rsidP="00C26DDA">
      <w:pPr>
        <w:pStyle w:val="ImageCaption"/>
      </w:pPr>
      <w:r w:rsidRPr="00C26DDA">
        <w:rPr>
          <w:bCs/>
        </w:rPr>
        <w:t xml:space="preserve">Figure </w:t>
      </w:r>
      <w:bookmarkStart w:id="15" w:name="fif-2024"/>
      <w:r w:rsidRPr="00C26DDA">
        <w:rPr>
          <w:bCs/>
        </w:rPr>
        <w:fldChar w:fldCharType="begin"/>
      </w:r>
      <w:r w:rsidRPr="00C26DDA">
        <w:rPr>
          <w:bCs/>
        </w:rPr>
        <w:instrText>SEQ fig \* Arabic</w:instrText>
      </w:r>
      <w:r w:rsidRPr="00C26DDA">
        <w:rPr>
          <w:bCs/>
        </w:rPr>
        <w:fldChar w:fldCharType="separate"/>
      </w:r>
      <w:r w:rsidR="006B36DE" w:rsidRPr="00C26DDA">
        <w:rPr>
          <w:bCs/>
          <w:noProof/>
        </w:rPr>
        <w:t>6</w:t>
      </w:r>
      <w:r w:rsidRPr="00C26DDA">
        <w:rPr>
          <w:bCs/>
        </w:rPr>
        <w:fldChar w:fldCharType="end"/>
      </w:r>
      <w:bookmarkEnd w:id="15"/>
      <w:r w:rsidRPr="00C26DDA">
        <w:rPr>
          <w:bCs/>
        </w:rPr>
        <w:t>:</w:t>
      </w:r>
      <w:r>
        <w:rPr>
          <w:b/>
        </w:rPr>
        <w:t xml:space="preserve"> </w:t>
      </w:r>
      <w:r>
        <w:t>Domestic undergraduate enrolments vs participation rate for first</w:t>
      </w:r>
      <w:r w:rsidR="00B54A69">
        <w:t>-</w:t>
      </w:r>
      <w:r>
        <w:t>in</w:t>
      </w:r>
      <w:r w:rsidR="00B54A69">
        <w:t>-</w:t>
      </w:r>
      <w:r>
        <w:t>family students in 2024</w:t>
      </w:r>
    </w:p>
    <w:p w14:paraId="252A0739" w14:textId="792B545A" w:rsidR="0035070B" w:rsidRDefault="00CF328A" w:rsidP="005327B1">
      <w:pPr>
        <w:pStyle w:val="Figure"/>
        <w:jc w:val="center"/>
      </w:pPr>
      <w:r>
        <w:rPr>
          <w:noProof/>
        </w:rPr>
        <w:drawing>
          <wp:inline distT="0" distB="0" distL="0" distR="0" wp14:anchorId="252A079E" wp14:editId="74A839A5">
            <wp:extent cx="8229600" cy="4572000"/>
            <wp:effectExtent l="0" t="0" r="0" b="0"/>
            <wp:docPr id="11" name="Picture 11" descr="Scatter plot showing relationship between 2024 undergraduate domestic student enrolments and percentage of enrolments belonging to first-in-family students across various Australian universities. Data points are colour-coded by university group, including Group of Eight (black), Australian Technology Network (blue), Innovative Research Universities (purple), Regional Universities Network (pink), and non-aligned (orange), with a negligible correlation (R = -0.123) indicating higher enrolments generally have no association with lower first-in-family student participation sh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atter plot showing relationship between 2024 undergraduate domestic student enrolments and percentage of enrolments belonging to first-in-family students across various Australian universities. Data points are colour-coded by university group, including Group of Eight (black), Australian Technology Network (blue), Innovative Research Universities (purple), Regional Universities Network (pink), and non-aligned (orange), with a negligible correlation (R = -0.123) indicating higher enrolments generally have no association with lower first-in-family student participation shares."/>
                    <pic:cNvPicPr>
                      <a:picLocks noChangeAspect="1" noChangeArrowheads="1"/>
                    </pic:cNvPicPr>
                  </pic:nvPicPr>
                  <pic:blipFill>
                    <a:blip r:embed="rId15"/>
                    <a:stretch>
                      <a:fillRect/>
                    </a:stretch>
                  </pic:blipFill>
                  <pic:spPr bwMode="auto">
                    <a:xfrm>
                      <a:off x="0" y="0"/>
                      <a:ext cx="8229600" cy="4572000"/>
                    </a:xfrm>
                    <a:prstGeom prst="rect">
                      <a:avLst/>
                    </a:prstGeom>
                    <a:noFill/>
                  </pic:spPr>
                </pic:pic>
              </a:graphicData>
            </a:graphic>
          </wp:inline>
        </w:drawing>
      </w:r>
      <w:r>
        <w:br w:type="page"/>
      </w:r>
    </w:p>
    <w:p w14:paraId="252A073A" w14:textId="77777777" w:rsidR="0035070B" w:rsidRDefault="00CF328A" w:rsidP="002158A5">
      <w:pPr>
        <w:pStyle w:val="Heading2"/>
        <w:spacing w:before="0" w:after="360"/>
      </w:pPr>
      <w:bookmarkStart w:id="16" w:name="X6cb79f9b8f082dd620ffc9263918895ef8a74e8"/>
      <w:bookmarkEnd w:id="14"/>
      <w:r>
        <w:lastRenderedPageBreak/>
        <w:t>Students from a non-English speaking background</w:t>
      </w:r>
    </w:p>
    <w:p w14:paraId="252A073B" w14:textId="780D19A6" w:rsidR="0035070B" w:rsidRDefault="00CF328A" w:rsidP="00C26DDA">
      <w:pPr>
        <w:pStyle w:val="FirstParagraph"/>
      </w:pPr>
      <w:r>
        <w:t xml:space="preserve">Figure </w:t>
      </w:r>
      <w:hyperlink w:anchor="nesb-2024">
        <w:r w:rsidR="0035070B" w:rsidRPr="00D22900">
          <w:fldChar w:fldCharType="begin"/>
        </w:r>
        <w:r w:rsidR="0035070B" w:rsidRPr="00D22900">
          <w:instrText xml:space="preserve"> REF nesb-2024 \h</w:instrText>
        </w:r>
        <w:r w:rsidR="00D22900" w:rsidRPr="00D22900">
          <w:instrText xml:space="preserve"> \* MERGEFORMAT </w:instrText>
        </w:r>
        <w:r w:rsidR="0035070B" w:rsidRPr="00D22900">
          <w:fldChar w:fldCharType="separate"/>
        </w:r>
        <w:r w:rsidR="0035070B" w:rsidRPr="00D22900">
          <w:rPr>
            <w:noProof/>
          </w:rPr>
          <w:t>7</w:t>
        </w:r>
        <w:r w:rsidR="0035070B" w:rsidRPr="00D22900">
          <w:fldChar w:fldCharType="end"/>
        </w:r>
      </w:hyperlink>
      <w:r>
        <w:t xml:space="preserve"> shows the relationship between university size and participation for students from non-English speaking backgrounds across each university. A weak positive correlation is observed between institution size and participation for students from non-English speaking backgrounds.</w:t>
      </w:r>
    </w:p>
    <w:p w14:paraId="252A073C" w14:textId="11C203C5" w:rsidR="0035070B" w:rsidRDefault="00CF328A" w:rsidP="00C26DDA">
      <w:pPr>
        <w:pStyle w:val="ImageCaption"/>
      </w:pPr>
      <w:r w:rsidRPr="00C26DDA">
        <w:rPr>
          <w:bCs/>
        </w:rPr>
        <w:t xml:space="preserve">Figure </w:t>
      </w:r>
      <w:bookmarkStart w:id="17" w:name="nesb-2024"/>
      <w:r w:rsidRPr="00C26DDA">
        <w:rPr>
          <w:bCs/>
        </w:rPr>
        <w:fldChar w:fldCharType="begin"/>
      </w:r>
      <w:r w:rsidRPr="00C26DDA">
        <w:rPr>
          <w:bCs/>
        </w:rPr>
        <w:instrText>SEQ fig \* Arabic</w:instrText>
      </w:r>
      <w:r w:rsidRPr="00C26DDA">
        <w:rPr>
          <w:bCs/>
        </w:rPr>
        <w:fldChar w:fldCharType="separate"/>
      </w:r>
      <w:r w:rsidR="006B36DE" w:rsidRPr="00C26DDA">
        <w:rPr>
          <w:bCs/>
          <w:noProof/>
        </w:rPr>
        <w:t>7</w:t>
      </w:r>
      <w:r w:rsidRPr="00C26DDA">
        <w:rPr>
          <w:bCs/>
        </w:rPr>
        <w:fldChar w:fldCharType="end"/>
      </w:r>
      <w:bookmarkEnd w:id="17"/>
      <w:r w:rsidRPr="00C26DDA">
        <w:rPr>
          <w:bCs/>
        </w:rPr>
        <w:t>:</w:t>
      </w:r>
      <w:r>
        <w:rPr>
          <w:b/>
        </w:rPr>
        <w:t xml:space="preserve"> </w:t>
      </w:r>
      <w:r>
        <w:t>Domestic undergraduate enrolments vs participation rate for students from non-English speaking backgrounds in 2024</w:t>
      </w:r>
    </w:p>
    <w:p w14:paraId="252A073E" w14:textId="1A1F69C6" w:rsidR="0035070B" w:rsidRDefault="00CF328A" w:rsidP="005327B1">
      <w:pPr>
        <w:pStyle w:val="Figure"/>
        <w:jc w:val="center"/>
      </w:pPr>
      <w:r>
        <w:rPr>
          <w:noProof/>
        </w:rPr>
        <w:drawing>
          <wp:inline distT="0" distB="0" distL="0" distR="0" wp14:anchorId="252A07A0" wp14:editId="107F78FA">
            <wp:extent cx="8229600" cy="4572000"/>
            <wp:effectExtent l="0" t="0" r="0" b="0"/>
            <wp:docPr id="13" name="Picture 13" descr="Scatter plot showing relationship between 2024 undergraduate domestic student enrolments and percentage of enrolments belonging to students from non-English speaking backgrounds across various Australian universities. Data points are colour-coded by university group, including Group of Eight (black), Australian Technology Network (blue), Innovative Research Universities (purple), Regional Universities Network (pink), and non-aligned (orange), with a positive correlation (R = 0.408) indicating higher enrolments generally have a positive association with participation shares for students from non-English speaking backgrou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catter plot showing relationship between 2024 undergraduate domestic student enrolments and percentage of enrolments belonging to students from non-English speaking backgrounds across various Australian universities. Data points are colour-coded by university group, including Group of Eight (black), Australian Technology Network (blue), Innovative Research Universities (purple), Regional Universities Network (pink), and non-aligned (orange), with a positive correlation (R = 0.408) indicating higher enrolments generally have a positive association with participation shares for students from non-English speaking backgrounds."/>
                    <pic:cNvPicPr>
                      <a:picLocks noChangeAspect="1" noChangeArrowheads="1"/>
                    </pic:cNvPicPr>
                  </pic:nvPicPr>
                  <pic:blipFill>
                    <a:blip r:embed="rId16"/>
                    <a:stretch>
                      <a:fillRect/>
                    </a:stretch>
                  </pic:blipFill>
                  <pic:spPr bwMode="auto">
                    <a:xfrm>
                      <a:off x="0" y="0"/>
                      <a:ext cx="8229600" cy="4572000"/>
                    </a:xfrm>
                    <a:prstGeom prst="rect">
                      <a:avLst/>
                    </a:prstGeom>
                    <a:noFill/>
                  </pic:spPr>
                </pic:pic>
              </a:graphicData>
            </a:graphic>
          </wp:inline>
        </w:drawing>
      </w:r>
      <w:r>
        <w:br w:type="page"/>
      </w:r>
    </w:p>
    <w:p w14:paraId="252A073F" w14:textId="1F7FF072" w:rsidR="0035070B" w:rsidRDefault="00CF328A" w:rsidP="002158A5">
      <w:pPr>
        <w:pStyle w:val="Heading2"/>
        <w:spacing w:before="0" w:after="360"/>
      </w:pPr>
      <w:bookmarkStart w:id="18" w:name="women-in-non-traditional-areas"/>
      <w:bookmarkEnd w:id="16"/>
      <w:r>
        <w:lastRenderedPageBreak/>
        <w:t xml:space="preserve">Women in </w:t>
      </w:r>
      <w:r w:rsidR="00426DBB">
        <w:t>n</w:t>
      </w:r>
      <w:r>
        <w:t>on-</w:t>
      </w:r>
      <w:r w:rsidR="00426DBB">
        <w:t>t</w:t>
      </w:r>
      <w:r>
        <w:t xml:space="preserve">raditional </w:t>
      </w:r>
      <w:r w:rsidR="00426DBB">
        <w:t>a</w:t>
      </w:r>
      <w:r>
        <w:t>reas</w:t>
      </w:r>
      <w:r w:rsidR="00426DBB">
        <w:t xml:space="preserve"> of study</w:t>
      </w:r>
    </w:p>
    <w:p w14:paraId="252A0740" w14:textId="526040D0" w:rsidR="0035070B" w:rsidRDefault="00CF328A" w:rsidP="00C26DDA">
      <w:pPr>
        <w:pStyle w:val="FirstParagraph"/>
      </w:pPr>
      <w:r>
        <w:t xml:space="preserve">Figure </w:t>
      </w:r>
      <w:hyperlink w:anchor="winta-2024">
        <w:r w:rsidR="0035070B" w:rsidRPr="003D4154">
          <w:fldChar w:fldCharType="begin"/>
        </w:r>
        <w:r w:rsidR="0035070B" w:rsidRPr="003D4154">
          <w:instrText xml:space="preserve"> REF winta-2024 \h</w:instrText>
        </w:r>
        <w:r w:rsidR="003D4154" w:rsidRPr="003D4154">
          <w:instrText xml:space="preserve"> \* MERGEFORMAT </w:instrText>
        </w:r>
        <w:r w:rsidR="0035070B" w:rsidRPr="003D4154">
          <w:fldChar w:fldCharType="separate"/>
        </w:r>
        <w:r w:rsidR="0035070B" w:rsidRPr="003D4154">
          <w:rPr>
            <w:noProof/>
          </w:rPr>
          <w:t>8</w:t>
        </w:r>
        <w:r w:rsidR="0035070B" w:rsidRPr="003D4154">
          <w:fldChar w:fldCharType="end"/>
        </w:r>
      </w:hyperlink>
      <w:r>
        <w:t xml:space="preserve"> shows the relationship between university size and participation for women in non-traditional areas</w:t>
      </w:r>
      <w:r w:rsidR="003D4154">
        <w:t xml:space="preserve"> of study</w:t>
      </w:r>
      <w:r>
        <w:t xml:space="preserve"> across each university. A weak positive correlation is observed between institution size and participation for </w:t>
      </w:r>
      <w:r w:rsidR="00CB6849">
        <w:t>women in non-traditional areas</w:t>
      </w:r>
      <w:r w:rsidR="003D4154">
        <w:t xml:space="preserve"> of study</w:t>
      </w:r>
      <w:r>
        <w:t>.</w:t>
      </w:r>
    </w:p>
    <w:p w14:paraId="252A0741" w14:textId="0F76C5DC" w:rsidR="0035070B" w:rsidRDefault="00CF328A" w:rsidP="00C26DDA">
      <w:pPr>
        <w:pStyle w:val="ImageCaption"/>
      </w:pPr>
      <w:r w:rsidRPr="00C26DDA">
        <w:rPr>
          <w:bCs/>
        </w:rPr>
        <w:t xml:space="preserve">Figure </w:t>
      </w:r>
      <w:bookmarkStart w:id="19" w:name="winta-2024"/>
      <w:r w:rsidRPr="00C26DDA">
        <w:rPr>
          <w:bCs/>
        </w:rPr>
        <w:fldChar w:fldCharType="begin"/>
      </w:r>
      <w:r w:rsidRPr="00C26DDA">
        <w:rPr>
          <w:bCs/>
        </w:rPr>
        <w:instrText>SEQ fig \* Arabic</w:instrText>
      </w:r>
      <w:r w:rsidRPr="00C26DDA">
        <w:rPr>
          <w:bCs/>
        </w:rPr>
        <w:fldChar w:fldCharType="separate"/>
      </w:r>
      <w:r w:rsidR="006B36DE" w:rsidRPr="00C26DDA">
        <w:rPr>
          <w:bCs/>
          <w:noProof/>
        </w:rPr>
        <w:t>8</w:t>
      </w:r>
      <w:r w:rsidRPr="00C26DDA">
        <w:rPr>
          <w:bCs/>
        </w:rPr>
        <w:fldChar w:fldCharType="end"/>
      </w:r>
      <w:bookmarkEnd w:id="19"/>
      <w:r w:rsidRPr="00C26DDA">
        <w:rPr>
          <w:bCs/>
        </w:rPr>
        <w:t>:</w:t>
      </w:r>
      <w:r>
        <w:rPr>
          <w:b/>
        </w:rPr>
        <w:t xml:space="preserve"> </w:t>
      </w:r>
      <w:r>
        <w:t xml:space="preserve">Domestic undergraduate enrolments vs participation rate for women in non-traditional areas </w:t>
      </w:r>
      <w:r w:rsidR="003D4154">
        <w:t xml:space="preserve">of study </w:t>
      </w:r>
      <w:r>
        <w:t>in 2024</w:t>
      </w:r>
    </w:p>
    <w:p w14:paraId="252A0743" w14:textId="6FC26BBA" w:rsidR="0035070B" w:rsidRDefault="00CF328A" w:rsidP="005327B1">
      <w:pPr>
        <w:pStyle w:val="Figure"/>
        <w:jc w:val="center"/>
      </w:pPr>
      <w:r>
        <w:rPr>
          <w:noProof/>
        </w:rPr>
        <w:drawing>
          <wp:inline distT="0" distB="0" distL="0" distR="0" wp14:anchorId="252A07A2" wp14:editId="7D44D7B6">
            <wp:extent cx="8229600" cy="4572000"/>
            <wp:effectExtent l="0" t="0" r="0" b="0"/>
            <wp:docPr id="15" name="Picture 15" descr="Scatter plot showing relationship between 2024 undergraduate domestic student enrolments and percentage of enrolments belonging to women in non-traditional areas of study across various Australian universities. Data points are colour-coded by university group, including Group of Eight (black), Australian Technology Network (blue), Innovative Research Universities (purple), Regional Universities Network (pink), and non-aligned (orange), with a positive correlation (R = 0.473) indicating higher enrolments generally have a positive association with participation shares for women in non-traditional areas of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catter plot showing relationship between 2024 undergraduate domestic student enrolments and percentage of enrolments belonging to women in non-traditional areas of study across various Australian universities. Data points are colour-coded by university group, including Group of Eight (black), Australian Technology Network (blue), Innovative Research Universities (purple), Regional Universities Network (pink), and non-aligned (orange), with a positive correlation (R = 0.473) indicating higher enrolments generally have a positive association with participation shares for women in non-traditional areas of study."/>
                    <pic:cNvPicPr>
                      <a:picLocks noChangeAspect="1" noChangeArrowheads="1"/>
                    </pic:cNvPicPr>
                  </pic:nvPicPr>
                  <pic:blipFill>
                    <a:blip r:embed="rId17"/>
                    <a:stretch>
                      <a:fillRect/>
                    </a:stretch>
                  </pic:blipFill>
                  <pic:spPr bwMode="auto">
                    <a:xfrm>
                      <a:off x="0" y="0"/>
                      <a:ext cx="8229600" cy="4572000"/>
                    </a:xfrm>
                    <a:prstGeom prst="rect">
                      <a:avLst/>
                    </a:prstGeom>
                    <a:noFill/>
                  </pic:spPr>
                </pic:pic>
              </a:graphicData>
            </a:graphic>
          </wp:inline>
        </w:drawing>
      </w:r>
      <w:r>
        <w:br w:type="page"/>
      </w:r>
    </w:p>
    <w:p w14:paraId="252A0744" w14:textId="77777777" w:rsidR="0035070B" w:rsidRDefault="00CF328A" w:rsidP="002158A5">
      <w:pPr>
        <w:pStyle w:val="Heading2"/>
        <w:spacing w:before="0" w:after="360"/>
      </w:pPr>
      <w:bookmarkStart w:id="20" w:name="X4b00af7a1f120f9e73be6ec74a99b93ad4ca82a"/>
      <w:bookmarkEnd w:id="18"/>
      <w:r>
        <w:lastRenderedPageBreak/>
        <w:t>Correlations across institutional groupings</w:t>
      </w:r>
    </w:p>
    <w:p w14:paraId="252A0745" w14:textId="0ABC9D61" w:rsidR="0035070B" w:rsidRDefault="00CF328A" w:rsidP="00C26DDA">
      <w:pPr>
        <w:pStyle w:val="FirstParagraph"/>
      </w:pPr>
      <w:r>
        <w:t xml:space="preserve">Weak correlations at the sector level can coexist with stronger relationships within institutional groupings. Table </w:t>
      </w:r>
      <w:hyperlink w:anchor="correlations-groupings-2024">
        <w:r w:rsidR="0035070B" w:rsidRPr="00B02D0C">
          <w:fldChar w:fldCharType="begin"/>
        </w:r>
        <w:r w:rsidR="0035070B" w:rsidRPr="00B02D0C">
          <w:instrText xml:space="preserve"> REF correlations-groupings-2024 \h</w:instrText>
        </w:r>
        <w:r w:rsidR="00B02D0C" w:rsidRPr="00B02D0C">
          <w:instrText xml:space="preserve"> \* MERGEFORMAT </w:instrText>
        </w:r>
        <w:r w:rsidR="0035070B" w:rsidRPr="00B02D0C">
          <w:fldChar w:fldCharType="separate"/>
        </w:r>
        <w:r w:rsidR="0035070B" w:rsidRPr="00B02D0C">
          <w:rPr>
            <w:noProof/>
          </w:rPr>
          <w:t>1</w:t>
        </w:r>
        <w:r w:rsidR="0035070B" w:rsidRPr="00B02D0C">
          <w:fldChar w:fldCharType="end"/>
        </w:r>
      </w:hyperlink>
      <w:r>
        <w:t xml:space="preserve"> shows the correlations between university size and participation for each equity group across institutional groupings in 2024. Note that correlations for non-equity students are the inverse of those for all equity students.</w:t>
      </w:r>
    </w:p>
    <w:p w14:paraId="252A0746" w14:textId="5B621839" w:rsidR="0035070B" w:rsidRDefault="00CF328A" w:rsidP="00C26DDA">
      <w:pPr>
        <w:pStyle w:val="TableCaption"/>
        <w:spacing w:after="180" w:line="274" w:lineRule="auto"/>
      </w:pPr>
      <w:r w:rsidRPr="00C26DDA">
        <w:rPr>
          <w:bCs/>
        </w:rPr>
        <w:t xml:space="preserve">Table </w:t>
      </w:r>
      <w:bookmarkStart w:id="21" w:name="correlations-groupings-2024"/>
      <w:r w:rsidRPr="00C26DDA">
        <w:rPr>
          <w:bCs/>
        </w:rPr>
        <w:fldChar w:fldCharType="begin"/>
      </w:r>
      <w:r w:rsidRPr="00C26DDA">
        <w:rPr>
          <w:bCs/>
        </w:rPr>
        <w:instrText>SEQ tab \* Arabic</w:instrText>
      </w:r>
      <w:r w:rsidRPr="00C26DDA">
        <w:rPr>
          <w:bCs/>
        </w:rPr>
        <w:fldChar w:fldCharType="separate"/>
      </w:r>
      <w:r w:rsidR="006B36DE" w:rsidRPr="00C26DDA">
        <w:rPr>
          <w:bCs/>
          <w:noProof/>
        </w:rPr>
        <w:t>1</w:t>
      </w:r>
      <w:r w:rsidRPr="00C26DDA">
        <w:rPr>
          <w:bCs/>
        </w:rPr>
        <w:fldChar w:fldCharType="end"/>
      </w:r>
      <w:bookmarkEnd w:id="21"/>
      <w:r w:rsidRPr="00C26DDA">
        <w:rPr>
          <w:bCs/>
        </w:rPr>
        <w:t>:</w:t>
      </w:r>
      <w:r>
        <w:rPr>
          <w:b/>
        </w:rPr>
        <w:t xml:space="preserve"> </w:t>
      </w:r>
      <w:r>
        <w:t>Correlations for domestic undergraduate enrolments vs participation rate for equity students by institutional grouping in 2024</w:t>
      </w:r>
    </w:p>
    <w:tbl>
      <w:tblPr>
        <w:tblW w:w="13876" w:type="dxa"/>
        <w:jc w:val="center"/>
        <w:tblLayout w:type="fixed"/>
        <w:tblLook w:val="0420" w:firstRow="1" w:lastRow="0" w:firstColumn="0" w:lastColumn="0" w:noHBand="0" w:noVBand="1"/>
      </w:tblPr>
      <w:tblGrid>
        <w:gridCol w:w="2327"/>
        <w:gridCol w:w="1924"/>
        <w:gridCol w:w="1925"/>
        <w:gridCol w:w="1925"/>
        <w:gridCol w:w="1925"/>
        <w:gridCol w:w="1925"/>
        <w:gridCol w:w="1925"/>
      </w:tblGrid>
      <w:tr w:rsidR="0035070B" w14:paraId="252A074E" w14:textId="77777777" w:rsidTr="009B4CCE">
        <w:trPr>
          <w:trHeight w:val="450"/>
          <w:tblHeader/>
          <w:jc w:val="center"/>
        </w:trPr>
        <w:tc>
          <w:tcPr>
            <w:tcW w:w="232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A0747" w14:textId="77777777" w:rsidR="0035070B" w:rsidRPr="00D9399F" w:rsidRDefault="00CF328A">
            <w:pPr>
              <w:pBdr>
                <w:top w:val="none" w:sz="0" w:space="0" w:color="000000"/>
                <w:left w:val="none" w:sz="0" w:space="0" w:color="000000"/>
                <w:bottom w:val="none" w:sz="0" w:space="0" w:color="000000"/>
                <w:right w:val="none" w:sz="0" w:space="0" w:color="000000"/>
              </w:pBdr>
              <w:spacing w:before="100" w:after="100"/>
              <w:ind w:left="100" w:right="100"/>
              <w:rPr>
                <w:rFonts w:ascii="Inter" w:eastAsia="Arial" w:hAnsi="Inter" w:cs="Arial"/>
                <w:color w:val="000000"/>
                <w:sz w:val="22"/>
                <w:szCs w:val="22"/>
              </w:rPr>
            </w:pPr>
            <w:r w:rsidRPr="00D9399F">
              <w:rPr>
                <w:rFonts w:ascii="Inter" w:eastAsia="Arial" w:hAnsi="Inter" w:cs="Arial"/>
                <w:color w:val="000000"/>
                <w:sz w:val="22"/>
                <w:szCs w:val="22"/>
              </w:rPr>
              <w:t>Equity group</w:t>
            </w:r>
          </w:p>
        </w:tc>
        <w:tc>
          <w:tcPr>
            <w:tcW w:w="192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A0748"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All universities</w:t>
            </w:r>
          </w:p>
        </w:tc>
        <w:tc>
          <w:tcPr>
            <w:tcW w:w="192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A0749"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Group of Eight</w:t>
            </w:r>
          </w:p>
        </w:tc>
        <w:tc>
          <w:tcPr>
            <w:tcW w:w="192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A074A"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Australian Technology Network</w:t>
            </w:r>
          </w:p>
        </w:tc>
        <w:tc>
          <w:tcPr>
            <w:tcW w:w="192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A074B"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Innovative Research Universities</w:t>
            </w:r>
          </w:p>
        </w:tc>
        <w:tc>
          <w:tcPr>
            <w:tcW w:w="192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A074C"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Regional Universities Network</w:t>
            </w:r>
          </w:p>
        </w:tc>
        <w:tc>
          <w:tcPr>
            <w:tcW w:w="192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A074D" w14:textId="433D5311"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Non-</w:t>
            </w:r>
            <w:r w:rsidR="00E36D3B">
              <w:rPr>
                <w:rFonts w:ascii="Inter" w:eastAsia="Arial" w:hAnsi="Inter" w:cs="Arial"/>
                <w:color w:val="000000"/>
                <w:sz w:val="22"/>
                <w:szCs w:val="22"/>
              </w:rPr>
              <w:t>a</w:t>
            </w:r>
            <w:r w:rsidRPr="00D9399F">
              <w:rPr>
                <w:rFonts w:ascii="Inter" w:eastAsia="Arial" w:hAnsi="Inter" w:cs="Arial"/>
                <w:color w:val="000000"/>
                <w:sz w:val="22"/>
                <w:szCs w:val="22"/>
              </w:rPr>
              <w:t>ligned</w:t>
            </w:r>
          </w:p>
        </w:tc>
      </w:tr>
      <w:tr w:rsidR="0035070B" w14:paraId="252A0756" w14:textId="77777777" w:rsidTr="009B4CCE">
        <w:trPr>
          <w:trHeight w:val="432"/>
          <w:jc w:val="center"/>
        </w:trPr>
        <w:tc>
          <w:tcPr>
            <w:tcW w:w="2327" w:type="dxa"/>
            <w:tcBorders>
              <w:top w:val="single" w:sz="12" w:space="0" w:color="666666"/>
              <w:bottom w:val="single" w:sz="4" w:space="0" w:color="D9D9D9" w:themeColor="background1" w:themeShade="D9"/>
            </w:tcBorders>
            <w:shd w:val="clear" w:color="auto" w:fill="FFFFFF"/>
            <w:tcMar>
              <w:top w:w="0" w:type="dxa"/>
              <w:left w:w="0" w:type="dxa"/>
              <w:bottom w:w="0" w:type="dxa"/>
              <w:right w:w="0" w:type="dxa"/>
            </w:tcMar>
            <w:vAlign w:val="center"/>
          </w:tcPr>
          <w:p w14:paraId="252A074F" w14:textId="0A715417" w:rsidR="0035070B" w:rsidRPr="00D9399F" w:rsidRDefault="00CF328A">
            <w:pPr>
              <w:pBdr>
                <w:top w:val="none" w:sz="0" w:space="0" w:color="000000"/>
                <w:left w:val="none" w:sz="0" w:space="0" w:color="000000"/>
                <w:bottom w:val="none" w:sz="0" w:space="0" w:color="000000"/>
                <w:right w:val="none" w:sz="0" w:space="0" w:color="000000"/>
              </w:pBdr>
              <w:spacing w:before="100" w:after="100"/>
              <w:ind w:left="100" w:right="100"/>
              <w:rPr>
                <w:rFonts w:ascii="Inter" w:eastAsia="Arial" w:hAnsi="Inter" w:cs="Arial"/>
                <w:color w:val="000000"/>
                <w:sz w:val="22"/>
                <w:szCs w:val="22"/>
              </w:rPr>
            </w:pPr>
            <w:r w:rsidRPr="00D9399F">
              <w:rPr>
                <w:rFonts w:ascii="Inter" w:eastAsia="Arial" w:hAnsi="Inter" w:cs="Arial"/>
                <w:color w:val="000000"/>
                <w:sz w:val="22"/>
                <w:szCs w:val="22"/>
              </w:rPr>
              <w:t xml:space="preserve">All </w:t>
            </w:r>
            <w:r w:rsidR="006B36DE" w:rsidRPr="00D9399F">
              <w:rPr>
                <w:rFonts w:ascii="Inter" w:eastAsia="Arial" w:hAnsi="Inter" w:cs="Arial"/>
                <w:color w:val="000000"/>
                <w:sz w:val="22"/>
                <w:szCs w:val="22"/>
              </w:rPr>
              <w:t>e</w:t>
            </w:r>
            <w:r w:rsidRPr="00D9399F">
              <w:rPr>
                <w:rFonts w:ascii="Inter" w:eastAsia="Arial" w:hAnsi="Inter" w:cs="Arial"/>
                <w:color w:val="000000"/>
                <w:sz w:val="22"/>
                <w:szCs w:val="22"/>
              </w:rPr>
              <w:t>quity</w:t>
            </w:r>
            <w:r w:rsidR="006B36DE" w:rsidRPr="00D9399F">
              <w:rPr>
                <w:rFonts w:ascii="Inter" w:eastAsia="Arial" w:hAnsi="Inter" w:cs="Arial"/>
                <w:color w:val="000000"/>
                <w:sz w:val="22"/>
                <w:szCs w:val="22"/>
              </w:rPr>
              <w:t xml:space="preserve"> students</w:t>
            </w:r>
          </w:p>
        </w:tc>
        <w:tc>
          <w:tcPr>
            <w:tcW w:w="1924" w:type="dxa"/>
            <w:tcBorders>
              <w:top w:val="single" w:sz="12" w:space="0" w:color="666666"/>
              <w:bottom w:val="single" w:sz="4" w:space="0" w:color="D9D9D9" w:themeColor="background1" w:themeShade="D9"/>
            </w:tcBorders>
            <w:shd w:val="clear" w:color="auto" w:fill="FFFFFF"/>
            <w:tcMar>
              <w:top w:w="0" w:type="dxa"/>
              <w:left w:w="0" w:type="dxa"/>
              <w:bottom w:w="0" w:type="dxa"/>
              <w:right w:w="0" w:type="dxa"/>
            </w:tcMar>
            <w:vAlign w:val="center"/>
          </w:tcPr>
          <w:p w14:paraId="252A0750"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-0.424</w:t>
            </w:r>
          </w:p>
        </w:tc>
        <w:tc>
          <w:tcPr>
            <w:tcW w:w="1925" w:type="dxa"/>
            <w:tcBorders>
              <w:top w:val="single" w:sz="12" w:space="0" w:color="666666"/>
              <w:bottom w:val="single" w:sz="4" w:space="0" w:color="D9D9D9" w:themeColor="background1" w:themeShade="D9"/>
            </w:tcBorders>
            <w:shd w:val="clear" w:color="auto" w:fill="FFFFFF"/>
            <w:tcMar>
              <w:top w:w="0" w:type="dxa"/>
              <w:left w:w="0" w:type="dxa"/>
              <w:bottom w:w="0" w:type="dxa"/>
              <w:right w:w="0" w:type="dxa"/>
            </w:tcMar>
            <w:vAlign w:val="center"/>
          </w:tcPr>
          <w:p w14:paraId="252A0751"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-0.580</w:t>
            </w:r>
          </w:p>
        </w:tc>
        <w:tc>
          <w:tcPr>
            <w:tcW w:w="1925" w:type="dxa"/>
            <w:tcBorders>
              <w:top w:val="single" w:sz="12" w:space="0" w:color="666666"/>
              <w:bottom w:val="single" w:sz="4" w:space="0" w:color="D9D9D9" w:themeColor="background1" w:themeShade="D9"/>
            </w:tcBorders>
            <w:shd w:val="clear" w:color="auto" w:fill="FFFFFF"/>
            <w:tcMar>
              <w:top w:w="0" w:type="dxa"/>
              <w:left w:w="0" w:type="dxa"/>
              <w:bottom w:w="0" w:type="dxa"/>
              <w:right w:w="0" w:type="dxa"/>
            </w:tcMar>
            <w:vAlign w:val="center"/>
          </w:tcPr>
          <w:p w14:paraId="252A0752"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-0.691</w:t>
            </w:r>
          </w:p>
        </w:tc>
        <w:tc>
          <w:tcPr>
            <w:tcW w:w="1925" w:type="dxa"/>
            <w:tcBorders>
              <w:top w:val="single" w:sz="12" w:space="0" w:color="666666"/>
              <w:bottom w:val="single" w:sz="4" w:space="0" w:color="D9D9D9" w:themeColor="background1" w:themeShade="D9"/>
            </w:tcBorders>
            <w:shd w:val="clear" w:color="auto" w:fill="FFFFFF"/>
            <w:tcMar>
              <w:top w:w="0" w:type="dxa"/>
              <w:left w:w="0" w:type="dxa"/>
              <w:bottom w:w="0" w:type="dxa"/>
              <w:right w:w="0" w:type="dxa"/>
            </w:tcMar>
            <w:vAlign w:val="center"/>
          </w:tcPr>
          <w:p w14:paraId="252A0753"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-0.495</w:t>
            </w:r>
          </w:p>
        </w:tc>
        <w:tc>
          <w:tcPr>
            <w:tcW w:w="1925" w:type="dxa"/>
            <w:tcBorders>
              <w:top w:val="single" w:sz="12" w:space="0" w:color="666666"/>
              <w:bottom w:val="single" w:sz="4" w:space="0" w:color="D9D9D9" w:themeColor="background1" w:themeShade="D9"/>
            </w:tcBorders>
            <w:shd w:val="clear" w:color="auto" w:fill="FFFFFF"/>
            <w:tcMar>
              <w:top w:w="0" w:type="dxa"/>
              <w:left w:w="0" w:type="dxa"/>
              <w:bottom w:w="0" w:type="dxa"/>
              <w:right w:w="0" w:type="dxa"/>
            </w:tcMar>
            <w:vAlign w:val="center"/>
          </w:tcPr>
          <w:p w14:paraId="252A0754"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-0.069</w:t>
            </w:r>
          </w:p>
        </w:tc>
        <w:tc>
          <w:tcPr>
            <w:tcW w:w="1925" w:type="dxa"/>
            <w:tcBorders>
              <w:top w:val="single" w:sz="12" w:space="0" w:color="666666"/>
              <w:bottom w:val="single" w:sz="4" w:space="0" w:color="D9D9D9" w:themeColor="background1" w:themeShade="D9"/>
            </w:tcBorders>
            <w:shd w:val="clear" w:color="auto" w:fill="FFFFFF"/>
            <w:tcMar>
              <w:top w:w="0" w:type="dxa"/>
              <w:left w:w="0" w:type="dxa"/>
              <w:bottom w:w="0" w:type="dxa"/>
              <w:right w:w="0" w:type="dxa"/>
            </w:tcMar>
            <w:vAlign w:val="center"/>
          </w:tcPr>
          <w:p w14:paraId="252A0755"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-0.292</w:t>
            </w:r>
          </w:p>
        </w:tc>
      </w:tr>
      <w:tr w:rsidR="0035070B" w14:paraId="252A075E" w14:textId="77777777" w:rsidTr="009B4CCE">
        <w:trPr>
          <w:trHeight w:val="432"/>
          <w:jc w:val="center"/>
        </w:trPr>
        <w:tc>
          <w:tcPr>
            <w:tcW w:w="2327" w:type="dxa"/>
            <w:tcBorders>
              <w:top w:val="single" w:sz="4" w:space="0" w:color="D9D9D9" w:themeColor="background1" w:themeShade="D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57" w14:textId="77777777" w:rsidR="0035070B" w:rsidRPr="00D9399F" w:rsidRDefault="00CF328A">
            <w:pPr>
              <w:pBdr>
                <w:top w:val="none" w:sz="0" w:space="0" w:color="000000"/>
                <w:left w:val="none" w:sz="0" w:space="0" w:color="000000"/>
                <w:bottom w:val="none" w:sz="0" w:space="0" w:color="000000"/>
                <w:right w:val="none" w:sz="0" w:space="0" w:color="000000"/>
              </w:pBdr>
              <w:spacing w:before="100" w:after="100"/>
              <w:ind w:left="100" w:right="100"/>
              <w:rPr>
                <w:rFonts w:ascii="Inter" w:eastAsia="Arial" w:hAnsi="Inter" w:cs="Arial"/>
                <w:color w:val="000000"/>
                <w:sz w:val="22"/>
                <w:szCs w:val="22"/>
              </w:rPr>
            </w:pPr>
            <w:r w:rsidRPr="00D9399F">
              <w:rPr>
                <w:rFonts w:ascii="Inter" w:eastAsia="Arial" w:hAnsi="Inter" w:cs="Arial"/>
                <w:color w:val="000000"/>
                <w:sz w:val="22"/>
                <w:szCs w:val="22"/>
              </w:rPr>
              <w:t>Students with disability</w:t>
            </w:r>
          </w:p>
        </w:tc>
        <w:tc>
          <w:tcPr>
            <w:tcW w:w="1924" w:type="dxa"/>
            <w:tcBorders>
              <w:top w:val="single" w:sz="4" w:space="0" w:color="D9D9D9" w:themeColor="background1" w:themeShade="D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58"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-0.150</w:t>
            </w:r>
          </w:p>
        </w:tc>
        <w:tc>
          <w:tcPr>
            <w:tcW w:w="1925" w:type="dxa"/>
            <w:tcBorders>
              <w:top w:val="single" w:sz="4" w:space="0" w:color="D9D9D9" w:themeColor="background1" w:themeShade="D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59"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-0.861</w:t>
            </w:r>
          </w:p>
        </w:tc>
        <w:tc>
          <w:tcPr>
            <w:tcW w:w="1925" w:type="dxa"/>
            <w:tcBorders>
              <w:top w:val="single" w:sz="4" w:space="0" w:color="D9D9D9" w:themeColor="background1" w:themeShade="D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5A"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-0.727</w:t>
            </w:r>
          </w:p>
        </w:tc>
        <w:tc>
          <w:tcPr>
            <w:tcW w:w="1925" w:type="dxa"/>
            <w:tcBorders>
              <w:top w:val="single" w:sz="4" w:space="0" w:color="D9D9D9" w:themeColor="background1" w:themeShade="D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5B"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-0.354</w:t>
            </w:r>
          </w:p>
        </w:tc>
        <w:tc>
          <w:tcPr>
            <w:tcW w:w="1925" w:type="dxa"/>
            <w:tcBorders>
              <w:top w:val="single" w:sz="4" w:space="0" w:color="D9D9D9" w:themeColor="background1" w:themeShade="D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5C"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-0.247</w:t>
            </w:r>
          </w:p>
        </w:tc>
        <w:tc>
          <w:tcPr>
            <w:tcW w:w="1925" w:type="dxa"/>
            <w:tcBorders>
              <w:top w:val="single" w:sz="4" w:space="0" w:color="D9D9D9" w:themeColor="background1" w:themeShade="D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5D"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-0.382</w:t>
            </w:r>
          </w:p>
        </w:tc>
      </w:tr>
      <w:tr w:rsidR="0035070B" w14:paraId="252A0766" w14:textId="77777777" w:rsidTr="00E33DE1">
        <w:trPr>
          <w:trHeight w:val="432"/>
          <w:jc w:val="center"/>
        </w:trPr>
        <w:tc>
          <w:tcPr>
            <w:tcW w:w="23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5F" w14:textId="77777777" w:rsidR="0035070B" w:rsidRPr="00D9399F" w:rsidRDefault="00CF328A">
            <w:pPr>
              <w:pBdr>
                <w:top w:val="none" w:sz="0" w:space="0" w:color="000000"/>
                <w:left w:val="none" w:sz="0" w:space="0" w:color="000000"/>
                <w:bottom w:val="none" w:sz="0" w:space="0" w:color="000000"/>
                <w:right w:val="none" w:sz="0" w:space="0" w:color="000000"/>
              </w:pBdr>
              <w:spacing w:before="100" w:after="100"/>
              <w:ind w:left="100" w:right="100"/>
              <w:rPr>
                <w:rFonts w:ascii="Inter" w:eastAsia="Arial" w:hAnsi="Inter" w:cs="Arial"/>
                <w:color w:val="000000"/>
                <w:sz w:val="22"/>
                <w:szCs w:val="22"/>
              </w:rPr>
            </w:pPr>
            <w:r w:rsidRPr="00D9399F">
              <w:rPr>
                <w:rFonts w:ascii="Inter" w:eastAsia="Arial" w:hAnsi="Inter" w:cs="Arial"/>
                <w:color w:val="000000"/>
                <w:sz w:val="22"/>
                <w:szCs w:val="22"/>
              </w:rPr>
              <w:t>First Nations Australians</w:t>
            </w:r>
          </w:p>
        </w:tc>
        <w:tc>
          <w:tcPr>
            <w:tcW w:w="19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60"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-0.400</w:t>
            </w:r>
          </w:p>
        </w:tc>
        <w:tc>
          <w:tcPr>
            <w:tcW w:w="19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61"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-0.560</w:t>
            </w:r>
          </w:p>
        </w:tc>
        <w:tc>
          <w:tcPr>
            <w:tcW w:w="19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62"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-0.745</w:t>
            </w:r>
          </w:p>
        </w:tc>
        <w:tc>
          <w:tcPr>
            <w:tcW w:w="19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63"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-0.349</w:t>
            </w:r>
          </w:p>
        </w:tc>
        <w:tc>
          <w:tcPr>
            <w:tcW w:w="19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64"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0.410</w:t>
            </w:r>
          </w:p>
        </w:tc>
        <w:tc>
          <w:tcPr>
            <w:tcW w:w="19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65"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-0.282</w:t>
            </w:r>
          </w:p>
        </w:tc>
      </w:tr>
      <w:tr w:rsidR="0035070B" w14:paraId="252A076E" w14:textId="77777777" w:rsidTr="009B4CCE">
        <w:trPr>
          <w:trHeight w:val="450"/>
          <w:jc w:val="center"/>
        </w:trPr>
        <w:tc>
          <w:tcPr>
            <w:tcW w:w="2327"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52A0767" w14:textId="5D455C0B" w:rsidR="0035070B" w:rsidRPr="00D9399F" w:rsidRDefault="00CF328A">
            <w:pPr>
              <w:pBdr>
                <w:top w:val="none" w:sz="0" w:space="0" w:color="000000"/>
                <w:left w:val="none" w:sz="0" w:space="0" w:color="000000"/>
                <w:bottom w:val="none" w:sz="0" w:space="0" w:color="000000"/>
                <w:right w:val="none" w:sz="0" w:space="0" w:color="000000"/>
              </w:pBdr>
              <w:spacing w:before="100" w:after="100"/>
              <w:ind w:left="100" w:right="100"/>
              <w:rPr>
                <w:rFonts w:ascii="Inter" w:eastAsia="Arial" w:hAnsi="Inter" w:cs="Arial"/>
                <w:color w:val="000000"/>
                <w:sz w:val="22"/>
                <w:szCs w:val="22"/>
              </w:rPr>
            </w:pPr>
            <w:r w:rsidRPr="00D9399F">
              <w:rPr>
                <w:rFonts w:ascii="Inter" w:eastAsia="Arial" w:hAnsi="Inter" w:cs="Arial"/>
                <w:color w:val="000000"/>
                <w:sz w:val="22"/>
                <w:szCs w:val="22"/>
              </w:rPr>
              <w:t>Regional/</w:t>
            </w:r>
            <w:r w:rsidR="006B36DE" w:rsidRPr="00D9399F">
              <w:rPr>
                <w:rFonts w:ascii="Inter" w:eastAsia="Arial" w:hAnsi="Inter" w:cs="Arial"/>
                <w:color w:val="000000"/>
                <w:sz w:val="22"/>
                <w:szCs w:val="22"/>
              </w:rPr>
              <w:t>r</w:t>
            </w:r>
            <w:r w:rsidRPr="00D9399F">
              <w:rPr>
                <w:rFonts w:ascii="Inter" w:eastAsia="Arial" w:hAnsi="Inter" w:cs="Arial"/>
                <w:color w:val="000000"/>
                <w:sz w:val="22"/>
                <w:szCs w:val="22"/>
              </w:rPr>
              <w:t>emote</w:t>
            </w:r>
          </w:p>
        </w:tc>
        <w:tc>
          <w:tcPr>
            <w:tcW w:w="192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52A0768"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-0.380</w:t>
            </w:r>
          </w:p>
        </w:tc>
        <w:tc>
          <w:tcPr>
            <w:tcW w:w="192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52A0769"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-0.309</w:t>
            </w:r>
          </w:p>
        </w:tc>
        <w:tc>
          <w:tcPr>
            <w:tcW w:w="192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52A076A"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-0.513</w:t>
            </w:r>
          </w:p>
        </w:tc>
        <w:tc>
          <w:tcPr>
            <w:tcW w:w="192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52A076B"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-0.461</w:t>
            </w:r>
          </w:p>
        </w:tc>
        <w:tc>
          <w:tcPr>
            <w:tcW w:w="192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52A076C"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-0.018</w:t>
            </w:r>
          </w:p>
        </w:tc>
        <w:tc>
          <w:tcPr>
            <w:tcW w:w="192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52A076D"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-0.179</w:t>
            </w:r>
          </w:p>
        </w:tc>
      </w:tr>
      <w:tr w:rsidR="0035070B" w14:paraId="252A0776" w14:textId="77777777" w:rsidTr="009B4CCE">
        <w:trPr>
          <w:trHeight w:val="432"/>
          <w:jc w:val="center"/>
        </w:trPr>
        <w:tc>
          <w:tcPr>
            <w:tcW w:w="2327" w:type="dxa"/>
            <w:tcBorders>
              <w:bottom w:val="single" w:sz="4" w:space="0" w:color="D9D9D9" w:themeColor="background1" w:themeShade="D9"/>
            </w:tcBorders>
            <w:shd w:val="clear" w:color="auto" w:fill="FFFFFF"/>
            <w:tcMar>
              <w:top w:w="0" w:type="dxa"/>
              <w:left w:w="0" w:type="dxa"/>
              <w:bottom w:w="0" w:type="dxa"/>
              <w:right w:w="0" w:type="dxa"/>
            </w:tcMar>
            <w:vAlign w:val="center"/>
          </w:tcPr>
          <w:p w14:paraId="252A076F" w14:textId="77777777" w:rsidR="0035070B" w:rsidRPr="00D9399F" w:rsidRDefault="00CF328A">
            <w:pPr>
              <w:pBdr>
                <w:top w:val="none" w:sz="0" w:space="0" w:color="000000"/>
                <w:left w:val="none" w:sz="0" w:space="0" w:color="000000"/>
                <w:bottom w:val="none" w:sz="0" w:space="0" w:color="000000"/>
                <w:right w:val="none" w:sz="0" w:space="0" w:color="000000"/>
              </w:pBdr>
              <w:spacing w:before="100" w:after="100"/>
              <w:ind w:left="100" w:right="100"/>
              <w:rPr>
                <w:rFonts w:ascii="Inter" w:eastAsia="Arial" w:hAnsi="Inter" w:cs="Arial"/>
                <w:color w:val="000000"/>
                <w:sz w:val="22"/>
                <w:szCs w:val="22"/>
              </w:rPr>
            </w:pPr>
            <w:r w:rsidRPr="00D9399F">
              <w:rPr>
                <w:rFonts w:ascii="Inter" w:eastAsia="Arial" w:hAnsi="Inter" w:cs="Arial"/>
                <w:color w:val="000000"/>
                <w:sz w:val="22"/>
                <w:szCs w:val="22"/>
              </w:rPr>
              <w:t>Low SES</w:t>
            </w:r>
          </w:p>
        </w:tc>
        <w:tc>
          <w:tcPr>
            <w:tcW w:w="1924" w:type="dxa"/>
            <w:tcBorders>
              <w:bottom w:val="single" w:sz="4" w:space="0" w:color="D9D9D9" w:themeColor="background1" w:themeShade="D9"/>
            </w:tcBorders>
            <w:shd w:val="clear" w:color="auto" w:fill="FFFFFF"/>
            <w:tcMar>
              <w:top w:w="0" w:type="dxa"/>
              <w:left w:w="0" w:type="dxa"/>
              <w:bottom w:w="0" w:type="dxa"/>
              <w:right w:w="0" w:type="dxa"/>
            </w:tcMar>
            <w:vAlign w:val="center"/>
          </w:tcPr>
          <w:p w14:paraId="252A0770"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-0.363</w:t>
            </w:r>
          </w:p>
        </w:tc>
        <w:tc>
          <w:tcPr>
            <w:tcW w:w="1925" w:type="dxa"/>
            <w:tcBorders>
              <w:bottom w:val="single" w:sz="4" w:space="0" w:color="D9D9D9" w:themeColor="background1" w:themeShade="D9"/>
            </w:tcBorders>
            <w:shd w:val="clear" w:color="auto" w:fill="FFFFFF"/>
            <w:tcMar>
              <w:top w:w="0" w:type="dxa"/>
              <w:left w:w="0" w:type="dxa"/>
              <w:bottom w:w="0" w:type="dxa"/>
              <w:right w:w="0" w:type="dxa"/>
            </w:tcMar>
            <w:vAlign w:val="center"/>
          </w:tcPr>
          <w:p w14:paraId="252A0771"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-0.014</w:t>
            </w:r>
          </w:p>
        </w:tc>
        <w:tc>
          <w:tcPr>
            <w:tcW w:w="1925" w:type="dxa"/>
            <w:tcBorders>
              <w:bottom w:val="single" w:sz="4" w:space="0" w:color="D9D9D9" w:themeColor="background1" w:themeShade="D9"/>
            </w:tcBorders>
            <w:shd w:val="clear" w:color="auto" w:fill="FFFFFF"/>
            <w:tcMar>
              <w:top w:w="0" w:type="dxa"/>
              <w:left w:w="0" w:type="dxa"/>
              <w:bottom w:w="0" w:type="dxa"/>
              <w:right w:w="0" w:type="dxa"/>
            </w:tcMar>
            <w:vAlign w:val="center"/>
          </w:tcPr>
          <w:p w14:paraId="252A0772"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-0.754</w:t>
            </w:r>
          </w:p>
        </w:tc>
        <w:tc>
          <w:tcPr>
            <w:tcW w:w="1925" w:type="dxa"/>
            <w:tcBorders>
              <w:bottom w:val="single" w:sz="4" w:space="0" w:color="D9D9D9" w:themeColor="background1" w:themeShade="D9"/>
            </w:tcBorders>
            <w:shd w:val="clear" w:color="auto" w:fill="FFFFFF"/>
            <w:tcMar>
              <w:top w:w="0" w:type="dxa"/>
              <w:left w:w="0" w:type="dxa"/>
              <w:bottom w:w="0" w:type="dxa"/>
              <w:right w:w="0" w:type="dxa"/>
            </w:tcMar>
            <w:vAlign w:val="center"/>
          </w:tcPr>
          <w:p w14:paraId="252A0773"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-0.165</w:t>
            </w:r>
          </w:p>
        </w:tc>
        <w:tc>
          <w:tcPr>
            <w:tcW w:w="1925" w:type="dxa"/>
            <w:tcBorders>
              <w:bottom w:val="single" w:sz="4" w:space="0" w:color="D9D9D9" w:themeColor="background1" w:themeShade="D9"/>
            </w:tcBorders>
            <w:shd w:val="clear" w:color="auto" w:fill="FFFFFF"/>
            <w:tcMar>
              <w:top w:w="0" w:type="dxa"/>
              <w:left w:w="0" w:type="dxa"/>
              <w:bottom w:w="0" w:type="dxa"/>
              <w:right w:w="0" w:type="dxa"/>
            </w:tcMar>
            <w:vAlign w:val="center"/>
          </w:tcPr>
          <w:p w14:paraId="252A0774"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0.009</w:t>
            </w:r>
          </w:p>
        </w:tc>
        <w:tc>
          <w:tcPr>
            <w:tcW w:w="1925" w:type="dxa"/>
            <w:tcBorders>
              <w:bottom w:val="single" w:sz="4" w:space="0" w:color="D9D9D9" w:themeColor="background1" w:themeShade="D9"/>
            </w:tcBorders>
            <w:shd w:val="clear" w:color="auto" w:fill="FFFFFF"/>
            <w:tcMar>
              <w:top w:w="0" w:type="dxa"/>
              <w:left w:w="0" w:type="dxa"/>
              <w:bottom w:w="0" w:type="dxa"/>
              <w:right w:w="0" w:type="dxa"/>
            </w:tcMar>
            <w:vAlign w:val="center"/>
          </w:tcPr>
          <w:p w14:paraId="252A0775"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-0.328</w:t>
            </w:r>
          </w:p>
        </w:tc>
      </w:tr>
      <w:tr w:rsidR="0035070B" w14:paraId="252A077E" w14:textId="77777777" w:rsidTr="009B4CCE">
        <w:trPr>
          <w:trHeight w:val="432"/>
          <w:jc w:val="center"/>
        </w:trPr>
        <w:tc>
          <w:tcPr>
            <w:tcW w:w="2327" w:type="dxa"/>
            <w:tcBorders>
              <w:top w:val="single" w:sz="4" w:space="0" w:color="D9D9D9" w:themeColor="background1" w:themeShade="D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77" w14:textId="2E01FC01" w:rsidR="0035070B" w:rsidRPr="00D9399F" w:rsidRDefault="00CF328A">
            <w:pPr>
              <w:pBdr>
                <w:top w:val="none" w:sz="0" w:space="0" w:color="000000"/>
                <w:left w:val="none" w:sz="0" w:space="0" w:color="000000"/>
                <w:bottom w:val="none" w:sz="0" w:space="0" w:color="000000"/>
                <w:right w:val="none" w:sz="0" w:space="0" w:color="000000"/>
              </w:pBdr>
              <w:spacing w:before="100" w:after="100"/>
              <w:ind w:left="100" w:right="100"/>
              <w:rPr>
                <w:rFonts w:ascii="Inter" w:eastAsia="Arial" w:hAnsi="Inter" w:cs="Arial"/>
                <w:color w:val="000000"/>
                <w:sz w:val="22"/>
                <w:szCs w:val="22"/>
              </w:rPr>
            </w:pPr>
            <w:r w:rsidRPr="00D9399F">
              <w:rPr>
                <w:rFonts w:ascii="Inter" w:eastAsia="Arial" w:hAnsi="Inter" w:cs="Arial"/>
                <w:color w:val="000000"/>
                <w:sz w:val="22"/>
                <w:szCs w:val="22"/>
              </w:rPr>
              <w:t xml:space="preserve">First in </w:t>
            </w:r>
            <w:r w:rsidR="006B36DE" w:rsidRPr="00D9399F">
              <w:rPr>
                <w:rFonts w:ascii="Inter" w:eastAsia="Arial" w:hAnsi="Inter" w:cs="Arial"/>
                <w:color w:val="000000"/>
                <w:sz w:val="22"/>
                <w:szCs w:val="22"/>
              </w:rPr>
              <w:t>f</w:t>
            </w:r>
            <w:r w:rsidRPr="00D9399F">
              <w:rPr>
                <w:rFonts w:ascii="Inter" w:eastAsia="Arial" w:hAnsi="Inter" w:cs="Arial"/>
                <w:color w:val="000000"/>
                <w:sz w:val="22"/>
                <w:szCs w:val="22"/>
              </w:rPr>
              <w:t>amily</w:t>
            </w:r>
          </w:p>
        </w:tc>
        <w:tc>
          <w:tcPr>
            <w:tcW w:w="1924" w:type="dxa"/>
            <w:tcBorders>
              <w:top w:val="single" w:sz="4" w:space="0" w:color="D9D9D9" w:themeColor="background1" w:themeShade="D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78"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-0.123</w:t>
            </w:r>
          </w:p>
        </w:tc>
        <w:tc>
          <w:tcPr>
            <w:tcW w:w="1925" w:type="dxa"/>
            <w:tcBorders>
              <w:top w:val="single" w:sz="4" w:space="0" w:color="D9D9D9" w:themeColor="background1" w:themeShade="D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79"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0.152</w:t>
            </w:r>
          </w:p>
        </w:tc>
        <w:tc>
          <w:tcPr>
            <w:tcW w:w="1925" w:type="dxa"/>
            <w:tcBorders>
              <w:top w:val="single" w:sz="4" w:space="0" w:color="D9D9D9" w:themeColor="background1" w:themeShade="D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7A"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-0.667</w:t>
            </w:r>
          </w:p>
        </w:tc>
        <w:tc>
          <w:tcPr>
            <w:tcW w:w="1925" w:type="dxa"/>
            <w:tcBorders>
              <w:top w:val="single" w:sz="4" w:space="0" w:color="D9D9D9" w:themeColor="background1" w:themeShade="D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7B"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0.507</w:t>
            </w:r>
          </w:p>
        </w:tc>
        <w:tc>
          <w:tcPr>
            <w:tcW w:w="1925" w:type="dxa"/>
            <w:tcBorders>
              <w:top w:val="single" w:sz="4" w:space="0" w:color="D9D9D9" w:themeColor="background1" w:themeShade="D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7C"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0.443</w:t>
            </w:r>
          </w:p>
        </w:tc>
        <w:tc>
          <w:tcPr>
            <w:tcW w:w="1925" w:type="dxa"/>
            <w:tcBorders>
              <w:top w:val="single" w:sz="4" w:space="0" w:color="D9D9D9" w:themeColor="background1" w:themeShade="D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7D"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0.183</w:t>
            </w:r>
          </w:p>
        </w:tc>
      </w:tr>
      <w:tr w:rsidR="0035070B" w14:paraId="252A0786" w14:textId="77777777" w:rsidTr="00E33DE1">
        <w:trPr>
          <w:trHeight w:val="450"/>
          <w:jc w:val="center"/>
        </w:trPr>
        <w:tc>
          <w:tcPr>
            <w:tcW w:w="23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7F" w14:textId="77777777" w:rsidR="0035070B" w:rsidRPr="00D9399F" w:rsidRDefault="00CF328A">
            <w:pPr>
              <w:pBdr>
                <w:top w:val="none" w:sz="0" w:space="0" w:color="000000"/>
                <w:left w:val="none" w:sz="0" w:space="0" w:color="000000"/>
                <w:bottom w:val="none" w:sz="0" w:space="0" w:color="000000"/>
                <w:right w:val="none" w:sz="0" w:space="0" w:color="000000"/>
              </w:pBdr>
              <w:spacing w:before="100" w:after="100"/>
              <w:ind w:left="100" w:right="100"/>
              <w:rPr>
                <w:rFonts w:ascii="Inter" w:eastAsia="Arial" w:hAnsi="Inter" w:cs="Arial"/>
                <w:color w:val="000000"/>
                <w:sz w:val="22"/>
                <w:szCs w:val="22"/>
              </w:rPr>
            </w:pPr>
            <w:r w:rsidRPr="00D9399F">
              <w:rPr>
                <w:rFonts w:ascii="Inter" w:eastAsia="Arial" w:hAnsi="Inter" w:cs="Arial"/>
                <w:color w:val="000000"/>
                <w:sz w:val="22"/>
                <w:szCs w:val="22"/>
              </w:rPr>
              <w:t>NESB</w:t>
            </w:r>
          </w:p>
        </w:tc>
        <w:tc>
          <w:tcPr>
            <w:tcW w:w="19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80"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0.408</w:t>
            </w:r>
          </w:p>
        </w:tc>
        <w:tc>
          <w:tcPr>
            <w:tcW w:w="19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81"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0.739</w:t>
            </w:r>
          </w:p>
        </w:tc>
        <w:tc>
          <w:tcPr>
            <w:tcW w:w="19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82"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0.429</w:t>
            </w:r>
          </w:p>
        </w:tc>
        <w:tc>
          <w:tcPr>
            <w:tcW w:w="19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83"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0.605</w:t>
            </w:r>
          </w:p>
        </w:tc>
        <w:tc>
          <w:tcPr>
            <w:tcW w:w="19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84"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-0.396</w:t>
            </w:r>
          </w:p>
        </w:tc>
        <w:tc>
          <w:tcPr>
            <w:tcW w:w="192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A0785"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0.115</w:t>
            </w:r>
          </w:p>
        </w:tc>
      </w:tr>
      <w:tr w:rsidR="0035070B" w14:paraId="252A078E" w14:textId="77777777" w:rsidTr="00E33DE1">
        <w:trPr>
          <w:trHeight w:val="432"/>
          <w:jc w:val="center"/>
        </w:trPr>
        <w:tc>
          <w:tcPr>
            <w:tcW w:w="232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A0787" w14:textId="77777777" w:rsidR="0035070B" w:rsidRPr="00D9399F" w:rsidRDefault="00CF328A">
            <w:pPr>
              <w:pBdr>
                <w:top w:val="none" w:sz="0" w:space="0" w:color="000000"/>
                <w:left w:val="none" w:sz="0" w:space="0" w:color="000000"/>
                <w:bottom w:val="none" w:sz="0" w:space="0" w:color="000000"/>
                <w:right w:val="none" w:sz="0" w:space="0" w:color="000000"/>
              </w:pBdr>
              <w:spacing w:before="100" w:after="100"/>
              <w:ind w:left="100" w:right="100"/>
              <w:rPr>
                <w:rFonts w:ascii="Inter" w:eastAsia="Arial" w:hAnsi="Inter" w:cs="Arial"/>
                <w:color w:val="000000"/>
                <w:sz w:val="22"/>
                <w:szCs w:val="22"/>
              </w:rPr>
            </w:pPr>
            <w:r w:rsidRPr="00D9399F">
              <w:rPr>
                <w:rFonts w:ascii="Inter" w:eastAsia="Arial" w:hAnsi="Inter" w:cs="Arial"/>
                <w:color w:val="000000"/>
                <w:sz w:val="22"/>
                <w:szCs w:val="22"/>
              </w:rPr>
              <w:t>WINTA</w:t>
            </w:r>
          </w:p>
        </w:tc>
        <w:tc>
          <w:tcPr>
            <w:tcW w:w="192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A0788"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0.473</w:t>
            </w:r>
          </w:p>
        </w:tc>
        <w:tc>
          <w:tcPr>
            <w:tcW w:w="192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A0789"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0.024</w:t>
            </w:r>
          </w:p>
        </w:tc>
        <w:tc>
          <w:tcPr>
            <w:tcW w:w="192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A078A"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0.421</w:t>
            </w:r>
          </w:p>
        </w:tc>
        <w:tc>
          <w:tcPr>
            <w:tcW w:w="192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A078B"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0.057</w:t>
            </w:r>
          </w:p>
        </w:tc>
        <w:tc>
          <w:tcPr>
            <w:tcW w:w="192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A078C"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0.194</w:t>
            </w:r>
          </w:p>
        </w:tc>
        <w:tc>
          <w:tcPr>
            <w:tcW w:w="192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A078D" w14:textId="77777777" w:rsidR="0035070B" w:rsidRPr="00D9399F" w:rsidRDefault="00CF328A" w:rsidP="00AA5522">
            <w:pPr>
              <w:pBdr>
                <w:top w:val="none" w:sz="0" w:space="0" w:color="000000"/>
                <w:left w:val="none" w:sz="0" w:space="0" w:color="000000"/>
                <w:bottom w:val="none" w:sz="0" w:space="0" w:color="000000"/>
                <w:right w:val="none" w:sz="0" w:space="0" w:color="000000"/>
              </w:pBdr>
              <w:spacing w:before="100" w:after="100"/>
              <w:ind w:left="100" w:right="100"/>
              <w:jc w:val="center"/>
              <w:rPr>
                <w:rFonts w:ascii="Inter" w:eastAsia="Arial" w:hAnsi="Inter" w:cs="Arial"/>
                <w:color w:val="000000"/>
                <w:sz w:val="22"/>
                <w:szCs w:val="22"/>
              </w:rPr>
            </w:pPr>
            <w:r w:rsidRPr="00D9399F">
              <w:rPr>
                <w:rFonts w:ascii="Inter" w:eastAsia="Arial" w:hAnsi="Inter" w:cs="Arial"/>
                <w:color w:val="000000"/>
                <w:sz w:val="22"/>
                <w:szCs w:val="22"/>
              </w:rPr>
              <w:t>0.479</w:t>
            </w:r>
          </w:p>
        </w:tc>
      </w:tr>
    </w:tbl>
    <w:p w14:paraId="252A078F" w14:textId="77777777" w:rsidR="0035070B" w:rsidRDefault="00CF328A">
      <w:r>
        <w:br w:type="page"/>
      </w:r>
    </w:p>
    <w:p w14:paraId="252A0790" w14:textId="77777777" w:rsidR="0035070B" w:rsidRDefault="00CF328A" w:rsidP="002158A5">
      <w:pPr>
        <w:pStyle w:val="Heading2"/>
        <w:spacing w:before="0" w:after="360"/>
      </w:pPr>
      <w:bookmarkStart w:id="22" w:name="X89a045c245689531a2938f8c57dbd0fa63f8e0c"/>
      <w:bookmarkEnd w:id="20"/>
      <w:r>
        <w:lastRenderedPageBreak/>
        <w:t>Equity participation and institution size correlations over time</w:t>
      </w:r>
    </w:p>
    <w:p w14:paraId="252A0791" w14:textId="4EBD9F71" w:rsidR="0035070B" w:rsidRDefault="00CF328A" w:rsidP="00F4073A">
      <w:pPr>
        <w:pStyle w:val="FirstParagraph"/>
      </w:pPr>
      <w:r>
        <w:t xml:space="preserve">Figure </w:t>
      </w:r>
      <w:hyperlink w:anchor="correlations-time">
        <w:r w:rsidR="0035070B" w:rsidRPr="0062455E">
          <w:fldChar w:fldCharType="begin"/>
        </w:r>
        <w:r w:rsidR="0035070B" w:rsidRPr="0062455E">
          <w:instrText xml:space="preserve"> REF correlations-time \h</w:instrText>
        </w:r>
        <w:r w:rsidR="0062455E" w:rsidRPr="0062455E">
          <w:instrText xml:space="preserve"> \* MERGEFORMAT </w:instrText>
        </w:r>
        <w:r w:rsidR="0035070B" w:rsidRPr="0062455E">
          <w:fldChar w:fldCharType="separate"/>
        </w:r>
        <w:r w:rsidR="0035070B" w:rsidRPr="0062455E">
          <w:rPr>
            <w:noProof/>
          </w:rPr>
          <w:t>9</w:t>
        </w:r>
        <w:r w:rsidR="0035070B" w:rsidRPr="0062455E">
          <w:fldChar w:fldCharType="end"/>
        </w:r>
      </w:hyperlink>
      <w:r>
        <w:t xml:space="preserve"> shows the correlations between university size and participation shares for all students belonging to the four key equity groups over time. The correlations for students with disability jumped from weakly negative to negligible, coinciding with the change in definition of </w:t>
      </w:r>
      <w:r w:rsidR="00455879">
        <w:t>“</w:t>
      </w:r>
      <w:r w:rsidR="00B73714">
        <w:t xml:space="preserve">students with </w:t>
      </w:r>
      <w:r>
        <w:t>disability</w:t>
      </w:r>
      <w:r w:rsidR="00455879">
        <w:t>”</w:t>
      </w:r>
      <w:r w:rsidR="00B73714">
        <w:t xml:space="preserve"> (to include “mental health conditions”)</w:t>
      </w:r>
      <w:r>
        <w:t xml:space="preserve"> introduced in 2020.</w:t>
      </w:r>
    </w:p>
    <w:p w14:paraId="252A0792" w14:textId="77A6ECCF" w:rsidR="0035070B" w:rsidRDefault="00CF328A" w:rsidP="00F4073A">
      <w:pPr>
        <w:pStyle w:val="ImageCaption"/>
      </w:pPr>
      <w:r w:rsidRPr="000E1352">
        <w:rPr>
          <w:bCs/>
        </w:rPr>
        <w:t xml:space="preserve">Figure </w:t>
      </w:r>
      <w:bookmarkStart w:id="23" w:name="correlations-time"/>
      <w:r w:rsidRPr="000E1352">
        <w:rPr>
          <w:bCs/>
        </w:rPr>
        <w:fldChar w:fldCharType="begin"/>
      </w:r>
      <w:r w:rsidRPr="000E1352">
        <w:rPr>
          <w:bCs/>
        </w:rPr>
        <w:instrText>SEQ fig \* Arabic</w:instrText>
      </w:r>
      <w:r w:rsidRPr="000E1352">
        <w:rPr>
          <w:bCs/>
        </w:rPr>
        <w:fldChar w:fldCharType="separate"/>
      </w:r>
      <w:r w:rsidR="006B36DE" w:rsidRPr="000E1352">
        <w:rPr>
          <w:bCs/>
          <w:noProof/>
        </w:rPr>
        <w:t>9</w:t>
      </w:r>
      <w:r w:rsidRPr="000E1352">
        <w:rPr>
          <w:bCs/>
        </w:rPr>
        <w:fldChar w:fldCharType="end"/>
      </w:r>
      <w:bookmarkEnd w:id="23"/>
      <w:r w:rsidRPr="000E1352">
        <w:rPr>
          <w:bCs/>
        </w:rPr>
        <w:t>:</w:t>
      </w:r>
      <w:r>
        <w:rPr>
          <w:b/>
        </w:rPr>
        <w:t xml:space="preserve"> </w:t>
      </w:r>
      <w:r>
        <w:t>Correlation between institution size and participation rate by equity group, 2017–2024</w:t>
      </w:r>
    </w:p>
    <w:p w14:paraId="252A0793" w14:textId="77777777" w:rsidR="0035070B" w:rsidRDefault="00CF328A">
      <w:pPr>
        <w:pStyle w:val="Figure"/>
        <w:jc w:val="center"/>
      </w:pPr>
      <w:r>
        <w:rPr>
          <w:noProof/>
        </w:rPr>
        <w:drawing>
          <wp:inline distT="0" distB="0" distL="0" distR="0" wp14:anchorId="252A07A4" wp14:editId="534912D6">
            <wp:extent cx="7553325" cy="4196292"/>
            <wp:effectExtent l="0" t="0" r="0" b="0"/>
            <wp:docPr id="17" name="Picture 17" descr="Line graph showing correlation coefficient (R) trends from 2017 to 2024 for six equity groups, illustrating changes in correlation over time. Notable elements include: a rising positive trend for non-equity (black line); a significant declining negative trend for low SES (yellow line); declining trends for regional/remote (orange line), First Nations Australians (pink line), and all equity (blue line); and a distinct upward jump in 2020 for students with disability (purpl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ine graph showing correlation coefficient (R) trends from 2017 to 2024 for six equity groups, illustrating changes in correlation over time. Notable elements include: a rising positive trend for non-equity (black line); a significant declining negative trend for low SES (yellow line); declining trends for regional/remote (orange line), First Nations Australians (pink line), and all equity (blue line); and a distinct upward jump in 2020 for students with disability (purple line)."/>
                    <pic:cNvPicPr>
                      <a:picLocks noChangeAspect="1" noChangeArrowheads="1"/>
                    </pic:cNvPicPr>
                  </pic:nvPicPr>
                  <pic:blipFill>
                    <a:blip r:embed="rId18"/>
                    <a:stretch>
                      <a:fillRect/>
                    </a:stretch>
                  </pic:blipFill>
                  <pic:spPr bwMode="auto">
                    <a:xfrm>
                      <a:off x="0" y="0"/>
                      <a:ext cx="7568644" cy="4204802"/>
                    </a:xfrm>
                    <a:prstGeom prst="rect">
                      <a:avLst/>
                    </a:prstGeom>
                    <a:noFill/>
                  </pic:spPr>
                </pic:pic>
              </a:graphicData>
            </a:graphic>
          </wp:inline>
        </w:drawing>
      </w:r>
      <w:bookmarkEnd w:id="0"/>
      <w:bookmarkEnd w:id="22"/>
    </w:p>
    <w:sectPr w:rsidR="0035070B" w:rsidSect="00CA1F77">
      <w:footerReference w:type="default" r:id="rId19"/>
      <w:footerReference w:type="first" r:id="rId20"/>
      <w:pgSz w:w="16840" w:h="11907" w:orient="landscape" w:code="9"/>
      <w:pgMar w:top="1021" w:right="1383" w:bottom="1021" w:left="1440" w:header="454" w:footer="3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70CE9" w14:textId="77777777" w:rsidR="00B70F0B" w:rsidRDefault="00B70F0B">
      <w:pPr>
        <w:spacing w:after="0"/>
      </w:pPr>
      <w:r>
        <w:separator/>
      </w:r>
    </w:p>
  </w:endnote>
  <w:endnote w:type="continuationSeparator" w:id="0">
    <w:p w14:paraId="14784F42" w14:textId="77777777" w:rsidR="00B70F0B" w:rsidRDefault="00B70F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panose1 w:val="02000503000000020004"/>
    <w:charset w:val="00"/>
    <w:family w:val="auto"/>
    <w:pitch w:val="variable"/>
    <w:sig w:usb0="E00002FF" w:usb1="1200A1FF" w:usb2="00000001" w:usb3="00000000" w:csb0="0000019F" w:csb1="00000000"/>
  </w:font>
  <w:font w:name="Cambria">
    <w:panose1 w:val="02040503050406030204"/>
    <w:charset w:val="00"/>
    <w:family w:val="roman"/>
    <w:pitch w:val="variable"/>
    <w:sig w:usb0="E00006FF" w:usb1="420024FF" w:usb2="02000000" w:usb3="00000000" w:csb0="0000019F" w:csb1="00000000"/>
  </w:font>
  <w:font w:name="Inter Medium">
    <w:altName w:val="Calibri"/>
    <w:panose1 w:val="02000503000000020004"/>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Inter" w:hAnsi="Inter"/>
        <w:sz w:val="22"/>
        <w:szCs w:val="22"/>
      </w:rPr>
      <w:id w:val="972177194"/>
      <w:docPartObj>
        <w:docPartGallery w:val="Page Numbers (Bottom of Page)"/>
        <w:docPartUnique/>
      </w:docPartObj>
    </w:sdtPr>
    <w:sdtEndPr/>
    <w:sdtContent>
      <w:p w14:paraId="252A07A9" w14:textId="77777777" w:rsidR="00493A1B" w:rsidRPr="00593CC2" w:rsidRDefault="00CF328A">
        <w:pPr>
          <w:pStyle w:val="Footer"/>
          <w:jc w:val="center"/>
          <w:rPr>
            <w:rFonts w:ascii="Inter" w:hAnsi="Inter"/>
            <w:sz w:val="22"/>
            <w:szCs w:val="22"/>
          </w:rPr>
        </w:pPr>
        <w:r w:rsidRPr="00593CC2">
          <w:rPr>
            <w:rFonts w:ascii="Inter" w:hAnsi="Inter"/>
            <w:sz w:val="22"/>
            <w:szCs w:val="22"/>
          </w:rPr>
          <w:fldChar w:fldCharType="begin"/>
        </w:r>
        <w:r w:rsidRPr="00593CC2">
          <w:rPr>
            <w:rFonts w:ascii="Inter" w:hAnsi="Inter"/>
            <w:sz w:val="22"/>
            <w:szCs w:val="22"/>
          </w:rPr>
          <w:instrText xml:space="preserve"> PAGE   \* MERGEFORMAT </w:instrText>
        </w:r>
        <w:r w:rsidRPr="00593CC2">
          <w:rPr>
            <w:rFonts w:ascii="Inter" w:hAnsi="Inter"/>
            <w:sz w:val="22"/>
            <w:szCs w:val="22"/>
          </w:rPr>
          <w:fldChar w:fldCharType="separate"/>
        </w:r>
        <w:r w:rsidRPr="00593CC2">
          <w:rPr>
            <w:rFonts w:ascii="Inter" w:hAnsi="Inter"/>
            <w:sz w:val="22"/>
            <w:szCs w:val="22"/>
          </w:rPr>
          <w:t>2</w:t>
        </w:r>
        <w:r w:rsidRPr="00593CC2">
          <w:rPr>
            <w:rFonts w:ascii="Inter" w:hAnsi="Inter"/>
            <w:sz w:val="22"/>
            <w:szCs w:val="22"/>
          </w:rPr>
          <w:fldChar w:fldCharType="end"/>
        </w:r>
      </w:p>
    </w:sdtContent>
  </w:sdt>
  <w:p w14:paraId="252A07AA" w14:textId="77777777" w:rsidR="00493A1B" w:rsidRPr="00593CC2" w:rsidRDefault="00493A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07AC" w14:textId="77777777" w:rsidR="00493A1B" w:rsidRPr="00593CC2" w:rsidRDefault="00CF328A" w:rsidP="00FF445D">
    <w:pPr>
      <w:pStyle w:val="Footer"/>
      <w:jc w:val="right"/>
    </w:pPr>
    <w:r w:rsidRPr="00593CC2">
      <w:rPr>
        <w:noProof/>
      </w:rPr>
      <w:drawing>
        <wp:inline distT="0" distB="0" distL="0" distR="0" wp14:anchorId="252A07AD" wp14:editId="252A07AE">
          <wp:extent cx="5315578" cy="492593"/>
          <wp:effectExtent l="0" t="0" r="0" b="3175"/>
          <wp:docPr id="2003017752" name="Picture 1" descr="Standard co-branded logo for ACSES and Curti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017752" name="Picture 1" descr="Standard co-branded logo for ACSES and Curtin University"/>
                  <pic:cNvPicPr/>
                </pic:nvPicPr>
                <pic:blipFill>
                  <a:blip r:embed="rId1">
                    <a:extLst>
                      <a:ext uri="{28A0092B-C50C-407E-A947-70E740481C1C}">
                        <a14:useLocalDpi xmlns:a14="http://schemas.microsoft.com/office/drawing/2010/main" val="0"/>
                      </a:ext>
                    </a:extLst>
                  </a:blip>
                  <a:stretch>
                    <a:fillRect/>
                  </a:stretch>
                </pic:blipFill>
                <pic:spPr>
                  <a:xfrm>
                    <a:off x="0" y="0"/>
                    <a:ext cx="5434414" cy="5036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0363E" w14:textId="77777777" w:rsidR="00B70F0B" w:rsidRDefault="00B70F0B">
      <w:pPr>
        <w:spacing w:after="0"/>
      </w:pPr>
      <w:r>
        <w:separator/>
      </w:r>
    </w:p>
  </w:footnote>
  <w:footnote w:type="continuationSeparator" w:id="0">
    <w:p w14:paraId="0BACFE5D" w14:textId="77777777" w:rsidR="00B70F0B" w:rsidRDefault="00B70F0B">
      <w:pPr>
        <w:spacing w:after="0"/>
      </w:pPr>
      <w:r>
        <w:continuationSeparator/>
      </w:r>
    </w:p>
  </w:footnote>
  <w:footnote w:id="1">
    <w:p w14:paraId="252A07B0" w14:textId="1E65CA3C" w:rsidR="0035070B" w:rsidRDefault="00CF328A">
      <w:pPr>
        <w:pStyle w:val="FootnoteText"/>
      </w:pPr>
      <w:r w:rsidRPr="00F3324A">
        <w:rPr>
          <w:rStyle w:val="FootnoteReference"/>
          <w:i w:val="0"/>
          <w:iCs/>
        </w:rPr>
        <w:footnoteRef/>
      </w:r>
      <w:r>
        <w:t xml:space="preserve"> Australian Government Department of Education</w:t>
      </w:r>
      <w:r w:rsidR="008B6DFA">
        <w:t>.</w:t>
      </w:r>
      <w:r>
        <w:t xml:space="preserve"> (2025). </w:t>
      </w:r>
      <w:r w:rsidRPr="00F3324A">
        <w:rPr>
          <w:i/>
          <w:iCs/>
        </w:rPr>
        <w:t>Higher Education Statistics, Private Request (</w:t>
      </w:r>
      <w:r w:rsidR="00F457DB">
        <w:rPr>
          <w:i/>
          <w:iCs/>
        </w:rPr>
        <w:t xml:space="preserve">September </w:t>
      </w:r>
      <w:r w:rsidRPr="00F3324A">
        <w:rPr>
          <w:i/>
          <w:iCs/>
        </w:rPr>
        <w:t>2025)</w:t>
      </w:r>
      <w:r>
        <w:t>. Canberra: Department of Education.</w:t>
      </w:r>
    </w:p>
  </w:footnote>
  <w:footnote w:id="2">
    <w:p w14:paraId="252A07B1" w14:textId="4046DD7D" w:rsidR="0035070B" w:rsidRDefault="00CF328A">
      <w:pPr>
        <w:pStyle w:val="FootnoteText"/>
      </w:pPr>
      <w:r w:rsidRPr="007963CC">
        <w:rPr>
          <w:rStyle w:val="FootnoteReference"/>
          <w:i w:val="0"/>
          <w:iCs/>
        </w:rPr>
        <w:footnoteRef/>
      </w:r>
      <w:r>
        <w:t xml:space="preserve"> </w:t>
      </w:r>
      <w:r w:rsidR="00C65A06">
        <w:t>These include: n</w:t>
      </w:r>
      <w:r>
        <w:t xml:space="preserve">atural and </w:t>
      </w:r>
      <w:r w:rsidR="00C65A06">
        <w:t>p</w:t>
      </w:r>
      <w:r>
        <w:t xml:space="preserve">hysical </w:t>
      </w:r>
      <w:r w:rsidR="00C65A06">
        <w:t>s</w:t>
      </w:r>
      <w:r>
        <w:t xml:space="preserve">ciences; </w:t>
      </w:r>
      <w:r w:rsidR="00C65A06">
        <w:t>i</w:t>
      </w:r>
      <w:r>
        <w:t xml:space="preserve">nformation </w:t>
      </w:r>
      <w:r w:rsidR="00C65A06">
        <w:t>t</w:t>
      </w:r>
      <w:r>
        <w:t xml:space="preserve">echnology; </w:t>
      </w:r>
      <w:r w:rsidR="00C65A06">
        <w:t>e</w:t>
      </w:r>
      <w:r>
        <w:t xml:space="preserve">ngineering and </w:t>
      </w:r>
      <w:r w:rsidR="00C65A06">
        <w:t>r</w:t>
      </w:r>
      <w:r>
        <w:t xml:space="preserve">elated </w:t>
      </w:r>
      <w:r w:rsidR="00C65A06">
        <w:t>t</w:t>
      </w:r>
      <w:r>
        <w:t xml:space="preserve">echnologies; </w:t>
      </w:r>
      <w:r w:rsidR="00C65A06">
        <w:t>a</w:t>
      </w:r>
      <w:r>
        <w:t xml:space="preserve">rchitecture and </w:t>
      </w:r>
      <w:r w:rsidR="00C65A06">
        <w:t>b</w:t>
      </w:r>
      <w:r>
        <w:t xml:space="preserve">uilding; </w:t>
      </w:r>
      <w:r w:rsidR="00C65A06">
        <w:t>a</w:t>
      </w:r>
      <w:r>
        <w:t xml:space="preserve">griculture, </w:t>
      </w:r>
      <w:r w:rsidR="00C65A06">
        <w:t>e</w:t>
      </w:r>
      <w:r>
        <w:t>nvironmental</w:t>
      </w:r>
      <w:r w:rsidR="00C65A06">
        <w:t>,</w:t>
      </w:r>
      <w:r>
        <w:t xml:space="preserve"> and </w:t>
      </w:r>
      <w:r w:rsidR="00C65A06">
        <w:t>r</w:t>
      </w:r>
      <w:r>
        <w:t xml:space="preserve">elated </w:t>
      </w:r>
      <w:r w:rsidR="00C65A06">
        <w:t>s</w:t>
      </w:r>
      <w:r>
        <w:t xml:space="preserve">tudies; </w:t>
      </w:r>
      <w:r w:rsidR="00C65A06">
        <w:t>m</w:t>
      </w:r>
      <w:r>
        <w:t xml:space="preserve">anagement and </w:t>
      </w:r>
      <w:r w:rsidR="00C65A06">
        <w:t>c</w:t>
      </w:r>
      <w:r>
        <w:t xml:space="preserve">ommerce; and </w:t>
      </w:r>
      <w:r w:rsidR="00C65A06">
        <w:t>e</w:t>
      </w:r>
      <w:r>
        <w:t xml:space="preserve">conomics and </w:t>
      </w:r>
      <w:r w:rsidR="00C65A06">
        <w:t>e</w:t>
      </w:r>
      <w:r>
        <w:t xml:space="preserve">conometrics (a narrow field of education in </w:t>
      </w:r>
      <w:r w:rsidR="00C65A06">
        <w:t>s</w:t>
      </w:r>
      <w:r>
        <w:t xml:space="preserve">ociety and </w:t>
      </w:r>
      <w:r w:rsidR="00C65A06">
        <w:t>c</w:t>
      </w:r>
      <w:r>
        <w:t>ulture)</w:t>
      </w:r>
      <w:r w:rsidR="00C65A06">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1CE37D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15F331D6"/>
    <w:multiLevelType w:val="hybridMultilevel"/>
    <w:tmpl w:val="33CA16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92322D"/>
    <w:multiLevelType w:val="hybridMultilevel"/>
    <w:tmpl w:val="5718CB58"/>
    <w:lvl w:ilvl="0" w:tplc="3B406B28">
      <w:numFmt w:val="bullet"/>
      <w:lvlText w:val="•"/>
      <w:lvlJc w:val="left"/>
      <w:pPr>
        <w:ind w:left="720" w:hanging="360"/>
      </w:pPr>
      <w:rPr>
        <w:rFonts w:ascii="Inter" w:eastAsiaTheme="minorHAnsi" w:hAnsi="Inter"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2533EC"/>
    <w:multiLevelType w:val="hybridMultilevel"/>
    <w:tmpl w:val="5EEE4EFA"/>
    <w:lvl w:ilvl="0" w:tplc="3B406B28">
      <w:numFmt w:val="bullet"/>
      <w:lvlText w:val="•"/>
      <w:lvlJc w:val="left"/>
      <w:pPr>
        <w:ind w:left="720" w:hanging="360"/>
      </w:pPr>
      <w:rPr>
        <w:rFonts w:ascii="Inter" w:eastAsiaTheme="minorHAnsi" w:hAnsi="Inter"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D1C5E7B"/>
    <w:multiLevelType w:val="hybridMultilevel"/>
    <w:tmpl w:val="675820FE"/>
    <w:lvl w:ilvl="0" w:tplc="3B406B28">
      <w:numFmt w:val="bullet"/>
      <w:lvlText w:val="•"/>
      <w:lvlJc w:val="left"/>
      <w:pPr>
        <w:ind w:left="720" w:hanging="360"/>
      </w:pPr>
      <w:rPr>
        <w:rFonts w:ascii="Inter" w:eastAsiaTheme="minorHAnsi" w:hAnsi="Inter"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1516877">
    <w:abstractNumId w:val="0"/>
  </w:num>
  <w:num w:numId="2" w16cid:durableId="279066696">
    <w:abstractNumId w:val="0"/>
  </w:num>
  <w:num w:numId="3" w16cid:durableId="1755472460">
    <w:abstractNumId w:val="0"/>
  </w:num>
  <w:num w:numId="4" w16cid:durableId="608708353">
    <w:abstractNumId w:val="1"/>
  </w:num>
  <w:num w:numId="5" w16cid:durableId="847331916">
    <w:abstractNumId w:val="4"/>
  </w:num>
  <w:num w:numId="6" w16cid:durableId="1769540789">
    <w:abstractNumId w:val="2"/>
  </w:num>
  <w:num w:numId="7" w16cid:durableId="9717165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70B"/>
    <w:rsid w:val="00024C03"/>
    <w:rsid w:val="000E1352"/>
    <w:rsid w:val="001274DC"/>
    <w:rsid w:val="00133BEB"/>
    <w:rsid w:val="001542B8"/>
    <w:rsid w:val="001614B2"/>
    <w:rsid w:val="001768C5"/>
    <w:rsid w:val="002158A5"/>
    <w:rsid w:val="0023055C"/>
    <w:rsid w:val="002460A8"/>
    <w:rsid w:val="002E0A21"/>
    <w:rsid w:val="002F1F68"/>
    <w:rsid w:val="0032407D"/>
    <w:rsid w:val="003468DD"/>
    <w:rsid w:val="0035070B"/>
    <w:rsid w:val="00363471"/>
    <w:rsid w:val="003D4154"/>
    <w:rsid w:val="003F48FE"/>
    <w:rsid w:val="00426DBB"/>
    <w:rsid w:val="00435544"/>
    <w:rsid w:val="00455879"/>
    <w:rsid w:val="00485E53"/>
    <w:rsid w:val="0049108B"/>
    <w:rsid w:val="00493A1B"/>
    <w:rsid w:val="004D7FDB"/>
    <w:rsid w:val="004F79E7"/>
    <w:rsid w:val="005327B1"/>
    <w:rsid w:val="00592218"/>
    <w:rsid w:val="005C25D7"/>
    <w:rsid w:val="005F2763"/>
    <w:rsid w:val="0062455E"/>
    <w:rsid w:val="006739D2"/>
    <w:rsid w:val="006914CD"/>
    <w:rsid w:val="006B36DE"/>
    <w:rsid w:val="007344C7"/>
    <w:rsid w:val="00772997"/>
    <w:rsid w:val="00782AE0"/>
    <w:rsid w:val="007963CC"/>
    <w:rsid w:val="007A11DD"/>
    <w:rsid w:val="007C1C37"/>
    <w:rsid w:val="007C5A41"/>
    <w:rsid w:val="00812A02"/>
    <w:rsid w:val="0082579C"/>
    <w:rsid w:val="008671BE"/>
    <w:rsid w:val="008B6DFA"/>
    <w:rsid w:val="008C6AEF"/>
    <w:rsid w:val="008F6A21"/>
    <w:rsid w:val="00935397"/>
    <w:rsid w:val="00937573"/>
    <w:rsid w:val="00945B83"/>
    <w:rsid w:val="009B2468"/>
    <w:rsid w:val="009B4CCE"/>
    <w:rsid w:val="009E11A9"/>
    <w:rsid w:val="009F2E19"/>
    <w:rsid w:val="009F5197"/>
    <w:rsid w:val="00A11277"/>
    <w:rsid w:val="00A13830"/>
    <w:rsid w:val="00A35ABD"/>
    <w:rsid w:val="00A35B99"/>
    <w:rsid w:val="00A3739D"/>
    <w:rsid w:val="00A95F2B"/>
    <w:rsid w:val="00AA5522"/>
    <w:rsid w:val="00AC25B0"/>
    <w:rsid w:val="00B02D0C"/>
    <w:rsid w:val="00B54A69"/>
    <w:rsid w:val="00B70F0B"/>
    <w:rsid w:val="00B73714"/>
    <w:rsid w:val="00BA0B42"/>
    <w:rsid w:val="00C20FEE"/>
    <w:rsid w:val="00C26DDA"/>
    <w:rsid w:val="00C27E0E"/>
    <w:rsid w:val="00C30EE9"/>
    <w:rsid w:val="00C65A06"/>
    <w:rsid w:val="00CB6849"/>
    <w:rsid w:val="00CF328A"/>
    <w:rsid w:val="00D22900"/>
    <w:rsid w:val="00D53226"/>
    <w:rsid w:val="00D81E17"/>
    <w:rsid w:val="00D9399F"/>
    <w:rsid w:val="00DB04E2"/>
    <w:rsid w:val="00DB3E08"/>
    <w:rsid w:val="00DD2FD8"/>
    <w:rsid w:val="00DE779D"/>
    <w:rsid w:val="00E24017"/>
    <w:rsid w:val="00E33DE1"/>
    <w:rsid w:val="00E36D3B"/>
    <w:rsid w:val="00E82E1D"/>
    <w:rsid w:val="00EB38A4"/>
    <w:rsid w:val="00EE5592"/>
    <w:rsid w:val="00F275B1"/>
    <w:rsid w:val="00F3324A"/>
    <w:rsid w:val="00F4073A"/>
    <w:rsid w:val="00F457DB"/>
    <w:rsid w:val="00F54113"/>
    <w:rsid w:val="00F862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A06F7"/>
  <w15:docId w15:val="{D6199F16-A1AD-4CD4-AC12-D478281D4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caption"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AU"/>
    </w:rPr>
  </w:style>
  <w:style w:type="paragraph" w:styleId="Heading1">
    <w:name w:val="heading 1"/>
    <w:basedOn w:val="Normal"/>
    <w:next w:val="BodyText"/>
    <w:uiPriority w:val="9"/>
    <w:qFormat/>
    <w:rsid w:val="005F3803"/>
    <w:pPr>
      <w:keepNext/>
      <w:keepLines/>
      <w:spacing w:before="480" w:after="0"/>
      <w:outlineLvl w:val="0"/>
    </w:pPr>
    <w:rPr>
      <w:rFonts w:ascii="Inter" w:eastAsiaTheme="majorEastAsia" w:hAnsi="Inter" w:cstheme="majorBidi"/>
      <w:color w:val="6B3B57"/>
      <w:sz w:val="40"/>
      <w:szCs w:val="40"/>
    </w:rPr>
  </w:style>
  <w:style w:type="paragraph" w:styleId="Heading2">
    <w:name w:val="heading 2"/>
    <w:basedOn w:val="Normal"/>
    <w:next w:val="BodyText"/>
    <w:uiPriority w:val="9"/>
    <w:unhideWhenUsed/>
    <w:qFormat/>
    <w:rsid w:val="005F3803"/>
    <w:pPr>
      <w:keepNext/>
      <w:keepLines/>
      <w:spacing w:before="200" w:after="0"/>
      <w:outlineLvl w:val="1"/>
    </w:pPr>
    <w:rPr>
      <w:rFonts w:ascii="Inter Medium" w:eastAsiaTheme="majorEastAsia" w:hAnsi="Inter Medium" w:cstheme="majorBidi"/>
      <w:color w:val="6B3B57"/>
      <w:sz w:val="52"/>
      <w:szCs w:val="5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F914C0"/>
    <w:pPr>
      <w:spacing w:after="180" w:line="274" w:lineRule="auto"/>
    </w:pPr>
    <w:rPr>
      <w:rFonts w:ascii="Inter" w:hAnsi="Inter"/>
      <w:sz w:val="22"/>
      <w:szCs w:val="22"/>
    </w:rPr>
  </w:style>
  <w:style w:type="paragraph" w:customStyle="1" w:styleId="FirstParagraph">
    <w:name w:val="First Paragraph"/>
    <w:basedOn w:val="BodyText"/>
    <w:next w:val="BodyText"/>
    <w:qFormat/>
    <w:rsid w:val="008E2CD2"/>
  </w:style>
  <w:style w:type="paragraph" w:customStyle="1" w:styleId="Compact">
    <w:name w:val="Compact"/>
    <w:basedOn w:val="BodyText"/>
    <w:qFormat/>
    <w:pPr>
      <w:spacing w:before="36" w:after="36"/>
    </w:pPr>
  </w:style>
  <w:style w:type="paragraph" w:styleId="Title">
    <w:name w:val="Title"/>
    <w:basedOn w:val="Normal"/>
    <w:next w:val="BodyText"/>
    <w:qFormat/>
    <w:rsid w:val="00B3105D"/>
    <w:pPr>
      <w:keepNext/>
      <w:keepLines/>
      <w:spacing w:before="480" w:after="240"/>
      <w:jc w:val="center"/>
    </w:pPr>
    <w:rPr>
      <w:rFonts w:ascii="Inter" w:eastAsiaTheme="majorEastAsia" w:hAnsi="Inter" w:cstheme="majorBidi"/>
      <w:color w:val="6B3B57"/>
      <w:sz w:val="104"/>
      <w:szCs w:val="104"/>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rsid w:val="00050606"/>
    <w:rPr>
      <w:rFonts w:ascii="Inter" w:hAnsi="Inter"/>
      <w:sz w:val="20"/>
      <w:szCs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qFormat/>
    <w:rsid w:val="008F222F"/>
    <w:pPr>
      <w:spacing w:after="120"/>
    </w:pPr>
    <w:rPr>
      <w:rFonts w:ascii="Inter" w:hAnsi="Inter"/>
      <w:i/>
      <w:sz w:val="22"/>
    </w:rPr>
  </w:style>
  <w:style w:type="paragraph" w:customStyle="1" w:styleId="TableCaption">
    <w:name w:val="Table Caption"/>
    <w:basedOn w:val="Caption"/>
    <w:pPr>
      <w:keepNext/>
    </w:pPr>
  </w:style>
  <w:style w:type="paragraph" w:customStyle="1" w:styleId="ImageCaption">
    <w:name w:val="Image Caption"/>
    <w:basedOn w:val="BodyText"/>
    <w:rsid w:val="006E7FF2"/>
    <w:rPr>
      <w:i/>
    </w:rPr>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rsid w:val="008F222F"/>
    <w:rPr>
      <w:rFonts w:ascii="Inter" w:hAnsi="Inter"/>
      <w:i/>
      <w:sz w:val="22"/>
    </w:rPr>
  </w:style>
  <w:style w:type="character" w:customStyle="1" w:styleId="VerbatimChar">
    <w:name w:val="Verbatim Char"/>
    <w:basedOn w:val="CaptionChar"/>
    <w:link w:val="SourceCode"/>
    <w:rPr>
      <w:rFonts w:ascii="Consolas" w:hAnsi="Consolas"/>
      <w:i/>
      <w:sz w:val="22"/>
    </w:rPr>
  </w:style>
  <w:style w:type="character" w:customStyle="1" w:styleId="SectionNumber">
    <w:name w:val="Section Number"/>
    <w:basedOn w:val="CaptionChar"/>
    <w:rPr>
      <w:rFonts w:ascii="Inter" w:hAnsi="Inter"/>
      <w:i/>
      <w:sz w:val="22"/>
    </w:rPr>
  </w:style>
  <w:style w:type="character" w:styleId="FootnoteReference">
    <w:name w:val="footnote reference"/>
    <w:basedOn w:val="CaptionChar"/>
    <w:rPr>
      <w:rFonts w:ascii="Inter" w:hAnsi="Inter"/>
      <w:i/>
      <w:sz w:val="22"/>
      <w:vertAlign w:val="superscript"/>
    </w:rPr>
  </w:style>
  <w:style w:type="character" w:styleId="Hyperlink">
    <w:name w:val="Hyperlink"/>
    <w:basedOn w:val="CaptionChar"/>
    <w:rPr>
      <w:rFonts w:ascii="Inter" w:hAnsi="Inter"/>
      <w:i/>
      <w:color w:val="4F81BD" w:themeColor="accent1"/>
      <w:sz w:val="22"/>
    </w:rPr>
  </w:style>
  <w:style w:type="paragraph" w:styleId="TOCHeading">
    <w:name w:val="TOC Heading"/>
    <w:basedOn w:val="Heading1"/>
    <w:next w:val="BodyText"/>
    <w:uiPriority w:val="39"/>
    <w:unhideWhenUsed/>
    <w:qFormat/>
    <w:pPr>
      <w:spacing w:before="240" w:line="259" w:lineRule="auto"/>
      <w:outlineLvl w:val="9"/>
    </w:pPr>
    <w:rPr>
      <w:b/>
      <w:bCs/>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i/>
      <w:color w:val="204A87"/>
      <w:sz w:val="22"/>
      <w:shd w:val="clear" w:color="auto" w:fill="F8F8F8"/>
    </w:rPr>
  </w:style>
  <w:style w:type="character" w:customStyle="1" w:styleId="DataTypeTok">
    <w:name w:val="DataTypeTok"/>
    <w:basedOn w:val="VerbatimChar"/>
    <w:rPr>
      <w:rFonts w:ascii="Consolas" w:hAnsi="Consolas"/>
      <w:i/>
      <w:color w:val="204A87"/>
      <w:sz w:val="22"/>
      <w:shd w:val="clear" w:color="auto" w:fill="F8F8F8"/>
    </w:rPr>
  </w:style>
  <w:style w:type="character" w:customStyle="1" w:styleId="DecValTok">
    <w:name w:val="DecValTok"/>
    <w:basedOn w:val="VerbatimChar"/>
    <w:rPr>
      <w:rFonts w:ascii="Consolas" w:hAnsi="Consolas"/>
      <w:i/>
      <w:color w:val="0000CF"/>
      <w:sz w:val="22"/>
      <w:shd w:val="clear" w:color="auto" w:fill="F8F8F8"/>
    </w:rPr>
  </w:style>
  <w:style w:type="character" w:customStyle="1" w:styleId="BaseNTok">
    <w:name w:val="BaseNTok"/>
    <w:basedOn w:val="VerbatimChar"/>
    <w:rPr>
      <w:rFonts w:ascii="Consolas" w:hAnsi="Consolas"/>
      <w:i/>
      <w:color w:val="0000CF"/>
      <w:sz w:val="22"/>
      <w:shd w:val="clear" w:color="auto" w:fill="F8F8F8"/>
    </w:rPr>
  </w:style>
  <w:style w:type="character" w:customStyle="1" w:styleId="FloatTok">
    <w:name w:val="FloatTok"/>
    <w:basedOn w:val="VerbatimChar"/>
    <w:rPr>
      <w:rFonts w:ascii="Consolas" w:hAnsi="Consolas"/>
      <w:i/>
      <w:color w:val="0000CF"/>
      <w:sz w:val="22"/>
      <w:shd w:val="clear" w:color="auto" w:fill="F8F8F8"/>
    </w:rPr>
  </w:style>
  <w:style w:type="character" w:customStyle="1" w:styleId="ConstantTok">
    <w:name w:val="ConstantTok"/>
    <w:basedOn w:val="VerbatimChar"/>
    <w:rPr>
      <w:rFonts w:ascii="Consolas" w:hAnsi="Consolas"/>
      <w:i/>
      <w:color w:val="8F5902"/>
      <w:sz w:val="22"/>
      <w:shd w:val="clear" w:color="auto" w:fill="F8F8F8"/>
    </w:rPr>
  </w:style>
  <w:style w:type="character" w:customStyle="1" w:styleId="CharTok">
    <w:name w:val="CharTok"/>
    <w:basedOn w:val="VerbatimChar"/>
    <w:rPr>
      <w:rFonts w:ascii="Consolas" w:hAnsi="Consolas"/>
      <w:i/>
      <w:color w:val="4E9A06"/>
      <w:sz w:val="22"/>
      <w:shd w:val="clear" w:color="auto" w:fill="F8F8F8"/>
    </w:rPr>
  </w:style>
  <w:style w:type="character" w:customStyle="1" w:styleId="SpecialCharTok">
    <w:name w:val="SpecialCharTok"/>
    <w:basedOn w:val="VerbatimChar"/>
    <w:rPr>
      <w:rFonts w:ascii="Consolas" w:hAnsi="Consolas"/>
      <w:b/>
      <w:i/>
      <w:color w:val="CE5C00"/>
      <w:sz w:val="22"/>
      <w:shd w:val="clear" w:color="auto" w:fill="F8F8F8"/>
    </w:rPr>
  </w:style>
  <w:style w:type="character" w:customStyle="1" w:styleId="StringTok">
    <w:name w:val="StringTok"/>
    <w:basedOn w:val="VerbatimChar"/>
    <w:rPr>
      <w:rFonts w:ascii="Consolas" w:hAnsi="Consolas"/>
      <w:i/>
      <w:color w:val="4E9A06"/>
      <w:sz w:val="22"/>
      <w:shd w:val="clear" w:color="auto" w:fill="F8F8F8"/>
    </w:rPr>
  </w:style>
  <w:style w:type="character" w:customStyle="1" w:styleId="VerbatimStringTok">
    <w:name w:val="VerbatimStringTok"/>
    <w:basedOn w:val="VerbatimChar"/>
    <w:rPr>
      <w:rFonts w:ascii="Consolas" w:hAnsi="Consolas"/>
      <w:i/>
      <w:color w:val="4E9A06"/>
      <w:sz w:val="22"/>
      <w:shd w:val="clear" w:color="auto" w:fill="F8F8F8"/>
    </w:rPr>
  </w:style>
  <w:style w:type="character" w:customStyle="1" w:styleId="SpecialStringTok">
    <w:name w:val="SpecialStringTok"/>
    <w:basedOn w:val="VerbatimChar"/>
    <w:rPr>
      <w:rFonts w:ascii="Consolas" w:hAnsi="Consolas"/>
      <w:i/>
      <w:color w:val="4E9A06"/>
      <w:sz w:val="22"/>
      <w:shd w:val="clear" w:color="auto" w:fill="F8F8F8"/>
    </w:rPr>
  </w:style>
  <w:style w:type="character" w:customStyle="1" w:styleId="ImportTok">
    <w:name w:val="ImportTok"/>
    <w:basedOn w:val="VerbatimChar"/>
    <w:rPr>
      <w:rFonts w:ascii="Consolas" w:hAnsi="Consolas"/>
      <w:i/>
      <w:sz w:val="22"/>
      <w:shd w:val="clear" w:color="auto" w:fill="F8F8F8"/>
    </w:rPr>
  </w:style>
  <w:style w:type="character" w:customStyle="1" w:styleId="CommentTok">
    <w:name w:val="CommentTok"/>
    <w:basedOn w:val="VerbatimChar"/>
    <w:rPr>
      <w:rFonts w:ascii="Consolas" w:hAnsi="Consolas"/>
      <w:i w:val="0"/>
      <w:color w:val="8F5902"/>
      <w:sz w:val="22"/>
      <w:shd w:val="clear" w:color="auto" w:fill="F8F8F8"/>
    </w:rPr>
  </w:style>
  <w:style w:type="character" w:customStyle="1" w:styleId="DocumentationTok">
    <w:name w:val="DocumentationTok"/>
    <w:basedOn w:val="VerbatimChar"/>
    <w:rPr>
      <w:rFonts w:ascii="Consolas" w:hAnsi="Consolas"/>
      <w:b/>
      <w:i w:val="0"/>
      <w:color w:val="8F5902"/>
      <w:sz w:val="22"/>
      <w:shd w:val="clear" w:color="auto" w:fill="F8F8F8"/>
    </w:rPr>
  </w:style>
  <w:style w:type="character" w:customStyle="1" w:styleId="AnnotationTok">
    <w:name w:val="AnnotationTok"/>
    <w:basedOn w:val="VerbatimChar"/>
    <w:rPr>
      <w:rFonts w:ascii="Consolas" w:hAnsi="Consolas"/>
      <w:b/>
      <w:i w:val="0"/>
      <w:color w:val="8F5902"/>
      <w:sz w:val="22"/>
      <w:shd w:val="clear" w:color="auto" w:fill="F8F8F8"/>
    </w:rPr>
  </w:style>
  <w:style w:type="character" w:customStyle="1" w:styleId="CommentVarTok">
    <w:name w:val="CommentVarTok"/>
    <w:basedOn w:val="VerbatimChar"/>
    <w:rPr>
      <w:rFonts w:ascii="Consolas" w:hAnsi="Consolas"/>
      <w:b/>
      <w:i w:val="0"/>
      <w:color w:val="8F5902"/>
      <w:sz w:val="22"/>
      <w:shd w:val="clear" w:color="auto" w:fill="F8F8F8"/>
    </w:rPr>
  </w:style>
  <w:style w:type="character" w:customStyle="1" w:styleId="OtherTok">
    <w:name w:val="OtherTok"/>
    <w:basedOn w:val="VerbatimChar"/>
    <w:rPr>
      <w:rFonts w:ascii="Consolas" w:hAnsi="Consolas"/>
      <w:i/>
      <w:color w:val="8F5902"/>
      <w:sz w:val="22"/>
      <w:shd w:val="clear" w:color="auto" w:fill="F8F8F8"/>
    </w:rPr>
  </w:style>
  <w:style w:type="character" w:customStyle="1" w:styleId="FunctionTok">
    <w:name w:val="FunctionTok"/>
    <w:basedOn w:val="VerbatimChar"/>
    <w:rPr>
      <w:rFonts w:ascii="Consolas" w:hAnsi="Consolas"/>
      <w:b/>
      <w:i/>
      <w:color w:val="204A87"/>
      <w:sz w:val="22"/>
      <w:shd w:val="clear" w:color="auto" w:fill="F8F8F8"/>
    </w:rPr>
  </w:style>
  <w:style w:type="character" w:customStyle="1" w:styleId="VariableTok">
    <w:name w:val="VariableTok"/>
    <w:basedOn w:val="VerbatimChar"/>
    <w:rPr>
      <w:rFonts w:ascii="Consolas" w:hAnsi="Consolas"/>
      <w:i/>
      <w:color w:val="000000"/>
      <w:sz w:val="22"/>
      <w:shd w:val="clear" w:color="auto" w:fill="F8F8F8"/>
    </w:rPr>
  </w:style>
  <w:style w:type="character" w:customStyle="1" w:styleId="ControlFlowTok">
    <w:name w:val="ControlFlowTok"/>
    <w:basedOn w:val="VerbatimChar"/>
    <w:rPr>
      <w:rFonts w:ascii="Consolas" w:hAnsi="Consolas"/>
      <w:b/>
      <w:i/>
      <w:color w:val="204A87"/>
      <w:sz w:val="22"/>
      <w:shd w:val="clear" w:color="auto" w:fill="F8F8F8"/>
    </w:rPr>
  </w:style>
  <w:style w:type="character" w:customStyle="1" w:styleId="OperatorTok">
    <w:name w:val="OperatorTok"/>
    <w:basedOn w:val="VerbatimChar"/>
    <w:rPr>
      <w:rFonts w:ascii="Consolas" w:hAnsi="Consolas"/>
      <w:b/>
      <w:i/>
      <w:color w:val="CE5C00"/>
      <w:sz w:val="22"/>
      <w:shd w:val="clear" w:color="auto" w:fill="F8F8F8"/>
    </w:rPr>
  </w:style>
  <w:style w:type="character" w:customStyle="1" w:styleId="BuiltInTok">
    <w:name w:val="BuiltInTok"/>
    <w:basedOn w:val="VerbatimChar"/>
    <w:rPr>
      <w:rFonts w:ascii="Consolas" w:hAnsi="Consolas"/>
      <w:i/>
      <w:sz w:val="22"/>
      <w:shd w:val="clear" w:color="auto" w:fill="F8F8F8"/>
    </w:rPr>
  </w:style>
  <w:style w:type="character" w:customStyle="1" w:styleId="ExtensionTok">
    <w:name w:val="ExtensionTok"/>
    <w:basedOn w:val="VerbatimChar"/>
    <w:rPr>
      <w:rFonts w:ascii="Consolas" w:hAnsi="Consolas"/>
      <w:i/>
      <w:sz w:val="22"/>
      <w:shd w:val="clear" w:color="auto" w:fill="F8F8F8"/>
    </w:rPr>
  </w:style>
  <w:style w:type="character" w:customStyle="1" w:styleId="PreprocessorTok">
    <w:name w:val="PreprocessorTok"/>
    <w:basedOn w:val="VerbatimChar"/>
    <w:rPr>
      <w:rFonts w:ascii="Consolas" w:hAnsi="Consolas"/>
      <w:i w:val="0"/>
      <w:color w:val="8F5902"/>
      <w:sz w:val="22"/>
      <w:shd w:val="clear" w:color="auto" w:fill="F8F8F8"/>
    </w:rPr>
  </w:style>
  <w:style w:type="character" w:customStyle="1" w:styleId="AttributeTok">
    <w:name w:val="AttributeTok"/>
    <w:basedOn w:val="VerbatimChar"/>
    <w:rPr>
      <w:rFonts w:ascii="Consolas" w:hAnsi="Consolas"/>
      <w:i/>
      <w:color w:val="204A87"/>
      <w:sz w:val="22"/>
      <w:shd w:val="clear" w:color="auto" w:fill="F8F8F8"/>
    </w:rPr>
  </w:style>
  <w:style w:type="character" w:customStyle="1" w:styleId="RegionMarkerTok">
    <w:name w:val="RegionMarkerTok"/>
    <w:basedOn w:val="VerbatimChar"/>
    <w:rPr>
      <w:rFonts w:ascii="Consolas" w:hAnsi="Consolas"/>
      <w:i/>
      <w:sz w:val="22"/>
      <w:shd w:val="clear" w:color="auto" w:fill="F8F8F8"/>
    </w:rPr>
  </w:style>
  <w:style w:type="character" w:customStyle="1" w:styleId="InformationTok">
    <w:name w:val="InformationTok"/>
    <w:basedOn w:val="VerbatimChar"/>
    <w:rPr>
      <w:rFonts w:ascii="Consolas" w:hAnsi="Consolas"/>
      <w:b/>
      <w:i w:val="0"/>
      <w:color w:val="8F5902"/>
      <w:sz w:val="22"/>
      <w:shd w:val="clear" w:color="auto" w:fill="F8F8F8"/>
    </w:rPr>
  </w:style>
  <w:style w:type="character" w:customStyle="1" w:styleId="WarningTok">
    <w:name w:val="WarningTok"/>
    <w:basedOn w:val="VerbatimChar"/>
    <w:rPr>
      <w:rFonts w:ascii="Consolas" w:hAnsi="Consolas"/>
      <w:b/>
      <w:i w:val="0"/>
      <w:color w:val="8F5902"/>
      <w:sz w:val="22"/>
      <w:shd w:val="clear" w:color="auto" w:fill="F8F8F8"/>
    </w:rPr>
  </w:style>
  <w:style w:type="character" w:customStyle="1" w:styleId="AlertTok">
    <w:name w:val="AlertTok"/>
    <w:basedOn w:val="VerbatimChar"/>
    <w:rPr>
      <w:rFonts w:ascii="Consolas" w:hAnsi="Consolas"/>
      <w:i/>
      <w:color w:val="EF2929"/>
      <w:sz w:val="22"/>
      <w:shd w:val="clear" w:color="auto" w:fill="F8F8F8"/>
    </w:rPr>
  </w:style>
  <w:style w:type="character" w:customStyle="1" w:styleId="ErrorTok">
    <w:name w:val="ErrorTok"/>
    <w:basedOn w:val="VerbatimChar"/>
    <w:rPr>
      <w:rFonts w:ascii="Consolas" w:hAnsi="Consolas"/>
      <w:b/>
      <w:i/>
      <w:color w:val="A40000"/>
      <w:sz w:val="22"/>
      <w:shd w:val="clear" w:color="auto" w:fill="F8F8F8"/>
    </w:rPr>
  </w:style>
  <w:style w:type="character" w:customStyle="1" w:styleId="NormalTok">
    <w:name w:val="NormalTok"/>
    <w:basedOn w:val="VerbatimChar"/>
    <w:rPr>
      <w:rFonts w:ascii="Consolas" w:hAnsi="Consolas"/>
      <w:i/>
      <w:sz w:val="22"/>
      <w:shd w:val="clear" w:color="auto" w:fill="F8F8F8"/>
    </w:rPr>
  </w:style>
  <w:style w:type="paragraph" w:styleId="Header">
    <w:name w:val="header"/>
    <w:basedOn w:val="Normal"/>
    <w:link w:val="HeaderChar"/>
    <w:rsid w:val="00A55E6D"/>
    <w:pPr>
      <w:tabs>
        <w:tab w:val="center" w:pos="4513"/>
        <w:tab w:val="right" w:pos="9026"/>
      </w:tabs>
      <w:spacing w:after="0"/>
    </w:pPr>
  </w:style>
  <w:style w:type="character" w:customStyle="1" w:styleId="HeaderChar">
    <w:name w:val="Header Char"/>
    <w:basedOn w:val="DefaultParagraphFont"/>
    <w:link w:val="Header"/>
    <w:rsid w:val="00A55E6D"/>
  </w:style>
  <w:style w:type="paragraph" w:styleId="Footer">
    <w:name w:val="footer"/>
    <w:basedOn w:val="Normal"/>
    <w:link w:val="FooterChar"/>
    <w:uiPriority w:val="99"/>
    <w:rsid w:val="00A55E6D"/>
    <w:pPr>
      <w:tabs>
        <w:tab w:val="center" w:pos="4513"/>
        <w:tab w:val="right" w:pos="9026"/>
      </w:tabs>
      <w:spacing w:after="0"/>
    </w:pPr>
  </w:style>
  <w:style w:type="character" w:customStyle="1" w:styleId="FooterChar">
    <w:name w:val="Footer Char"/>
    <w:basedOn w:val="DefaultParagraphFont"/>
    <w:link w:val="Footer"/>
    <w:uiPriority w:val="99"/>
    <w:rsid w:val="00A55E6D"/>
  </w:style>
  <w:style w:type="table" w:customStyle="1" w:styleId="ACSEStable">
    <w:name w:val="ACSES table"/>
    <w:basedOn w:val="TableNormal"/>
    <w:uiPriority w:val="49"/>
    <w:rsid w:val="001D121C"/>
    <w:pPr>
      <w:spacing w:after="0"/>
    </w:pPr>
    <w:rPr>
      <w:rFonts w:ascii="Inter" w:eastAsia="Cambria" w:hAnsi="Inter" w:cs="Times New Roman"/>
      <w:kern w:val="2"/>
      <w:sz w:val="22"/>
      <w:szCs w:val="22"/>
      <w14:ligatures w14:val="standardContextual"/>
    </w:rPr>
    <w:tblPr>
      <w:tblStyleRowBandSize w:val="1"/>
      <w:tblStyleColBandSize w:val="1"/>
      <w:tblInd w:w="0" w:type="nil"/>
      <w:tblBorders>
        <w:top w:val="single" w:sz="4" w:space="0" w:color="A55776"/>
        <w:left w:val="single" w:sz="4" w:space="0" w:color="A55776"/>
        <w:bottom w:val="single" w:sz="4" w:space="0" w:color="A55776"/>
        <w:right w:val="single" w:sz="4" w:space="0" w:color="A55776"/>
        <w:insideH w:val="single" w:sz="4" w:space="0" w:color="A55776"/>
        <w:insideV w:val="single" w:sz="4" w:space="0" w:color="A55776"/>
      </w:tblBorders>
    </w:tblPr>
    <w:tblStylePr w:type="firstRow">
      <w:rPr>
        <w:b/>
        <w:bCs/>
        <w:color w:val="EDE8E0"/>
      </w:rPr>
      <w:tblPr/>
      <w:tcPr>
        <w:tcBorders>
          <w:top w:val="single" w:sz="4" w:space="0" w:color="351C26"/>
          <w:left w:val="single" w:sz="4" w:space="0" w:color="351C26"/>
          <w:bottom w:val="single" w:sz="4" w:space="0" w:color="351C26"/>
          <w:right w:val="single" w:sz="4" w:space="0" w:color="351C26"/>
          <w:insideH w:val="nil"/>
          <w:insideV w:val="nil"/>
        </w:tcBorders>
        <w:shd w:val="clear" w:color="auto" w:fill="351C26"/>
      </w:tcPr>
    </w:tblStylePr>
    <w:tblStylePr w:type="lastRow">
      <w:rPr>
        <w:b/>
        <w:bCs/>
      </w:rPr>
      <w:tblPr/>
      <w:tcPr>
        <w:tcBorders>
          <w:top w:val="double" w:sz="4" w:space="0" w:color="351C26"/>
        </w:tcBorders>
      </w:tcPr>
    </w:tblStylePr>
    <w:tblStylePr w:type="firstCol">
      <w:rPr>
        <w:b/>
        <w:bCs/>
      </w:rPr>
    </w:tblStylePr>
    <w:tblStylePr w:type="lastCol">
      <w:rPr>
        <w:b/>
        <w:bCs/>
      </w:rPr>
    </w:tblStylePr>
    <w:tblStylePr w:type="band1Vert">
      <w:tblPr/>
      <w:tcPr>
        <w:shd w:val="clear" w:color="auto" w:fill="E1C6D1"/>
      </w:tcPr>
    </w:tblStylePr>
    <w:tblStylePr w:type="band1Horz">
      <w:tblPr/>
      <w:tcPr>
        <w:shd w:val="clear" w:color="auto" w:fill="E1C6D1"/>
      </w:tcPr>
    </w:tblStylePr>
  </w:style>
  <w:style w:type="table" w:styleId="GridTable4-Accent1">
    <w:name w:val="Grid Table 4 Accent 1"/>
    <w:basedOn w:val="TableNormal"/>
    <w:uiPriority w:val="49"/>
    <w:rsid w:val="009E3362"/>
    <w:pPr>
      <w:spacing w:after="0"/>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84CD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rsid w:val="00CB6849"/>
    <w:pPr>
      <w:spacing w:after="0"/>
    </w:pPr>
    <w:rPr>
      <w:lang w:val="en-AU"/>
    </w:rPr>
  </w:style>
  <w:style w:type="character" w:styleId="UnresolvedMention">
    <w:name w:val="Unresolved Mention"/>
    <w:basedOn w:val="DefaultParagraphFont"/>
    <w:uiPriority w:val="99"/>
    <w:semiHidden/>
    <w:unhideWhenUsed/>
    <w:rsid w:val="00F862E3"/>
    <w:rPr>
      <w:color w:val="605E5C"/>
      <w:shd w:val="clear" w:color="auto" w:fill="E1DFDD"/>
    </w:rPr>
  </w:style>
  <w:style w:type="character" w:styleId="FollowedHyperlink">
    <w:name w:val="FollowedHyperlink"/>
    <w:basedOn w:val="DefaultParagraphFont"/>
    <w:rsid w:val="00F862E3"/>
    <w:rPr>
      <w:color w:val="800080" w:themeColor="followedHyperlink"/>
      <w:u w:val="single"/>
    </w:rPr>
  </w:style>
  <w:style w:type="character" w:styleId="CommentReference">
    <w:name w:val="annotation reference"/>
    <w:basedOn w:val="DefaultParagraphFont"/>
    <w:rsid w:val="00E24017"/>
    <w:rPr>
      <w:sz w:val="16"/>
      <w:szCs w:val="16"/>
    </w:rPr>
  </w:style>
  <w:style w:type="paragraph" w:styleId="CommentText">
    <w:name w:val="annotation text"/>
    <w:basedOn w:val="Normal"/>
    <w:link w:val="CommentTextChar"/>
    <w:rsid w:val="00E24017"/>
    <w:rPr>
      <w:sz w:val="20"/>
      <w:szCs w:val="20"/>
    </w:rPr>
  </w:style>
  <w:style w:type="character" w:customStyle="1" w:styleId="CommentTextChar">
    <w:name w:val="Comment Text Char"/>
    <w:basedOn w:val="DefaultParagraphFont"/>
    <w:link w:val="CommentText"/>
    <w:rsid w:val="00E24017"/>
    <w:rPr>
      <w:sz w:val="20"/>
      <w:szCs w:val="20"/>
      <w:lang w:val="en-AU"/>
    </w:rPr>
  </w:style>
  <w:style w:type="paragraph" w:styleId="CommentSubject">
    <w:name w:val="annotation subject"/>
    <w:basedOn w:val="CommentText"/>
    <w:next w:val="CommentText"/>
    <w:link w:val="CommentSubjectChar"/>
    <w:rsid w:val="00E24017"/>
    <w:rPr>
      <w:b/>
      <w:bCs/>
    </w:rPr>
  </w:style>
  <w:style w:type="character" w:customStyle="1" w:styleId="CommentSubjectChar">
    <w:name w:val="Comment Subject Char"/>
    <w:basedOn w:val="CommentTextChar"/>
    <w:link w:val="CommentSubject"/>
    <w:rsid w:val="00E24017"/>
    <w:rPr>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ses.edu.au/data/interactive-tool/"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cses.edu.au/" TargetMode="External"/><Relationship Id="rId14" Type="http://schemas.openxmlformats.org/officeDocument/2006/relationships/image" Target="media/image5.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17633-5C62-474C-BC61-6F1DD563A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15</Pages>
  <Words>1840</Words>
  <Characters>10493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University size and equity participation</vt:lpstr>
    </vt:vector>
  </TitlesOfParts>
  <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size and equity participation</dc:title>
  <dc:creator/>
  <cp:keywords/>
  <cp:lastModifiedBy>Anna Will</cp:lastModifiedBy>
  <cp:revision>55</cp:revision>
  <dcterms:created xsi:type="dcterms:W3CDTF">2026-10-12T07:17:00Z</dcterms:created>
  <dcterms:modified xsi:type="dcterms:W3CDTF">2026-11-03T01:34:00Z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ies>
</file>