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13EC9" w14:textId="77777777" w:rsidR="00E16C76" w:rsidRDefault="00CF5F20" w:rsidP="0009631A">
      <w:pPr>
        <w:pStyle w:val="Title"/>
        <w:jc w:val="left"/>
      </w:pPr>
      <w:r>
        <w:t>Enabling programs in Australian higher education</w:t>
      </w:r>
    </w:p>
    <w:p w14:paraId="20D28169" w14:textId="77777777" w:rsidR="00E16C76" w:rsidRDefault="00CF5F20">
      <w:pPr>
        <w:pStyle w:val="Heading1"/>
      </w:pPr>
      <w:bookmarkStart w:id="0" w:name="acses-data-insights-series"/>
      <w:r>
        <w:t>ACSES Data Insights Series</w:t>
      </w:r>
    </w:p>
    <w:p w14:paraId="46BB4B32" w14:textId="77777777" w:rsidR="00E16C76" w:rsidRDefault="00CF5F20">
      <w:r>
        <w:br w:type="page"/>
      </w:r>
    </w:p>
    <w:p w14:paraId="1A40A3E5" w14:textId="77777777" w:rsidR="00E16C76" w:rsidRDefault="00CF5F20">
      <w:pPr>
        <w:pStyle w:val="Heading2"/>
      </w:pPr>
      <w:bookmarkStart w:id="1" w:name="acknowledgements"/>
      <w:r>
        <w:lastRenderedPageBreak/>
        <w:t>Acknowledgements</w:t>
      </w:r>
    </w:p>
    <w:p w14:paraId="54D3024A" w14:textId="77777777" w:rsidR="0009631A" w:rsidRPr="0009631A" w:rsidRDefault="0009631A" w:rsidP="0009631A">
      <w:pPr>
        <w:pStyle w:val="BodyText"/>
      </w:pPr>
    </w:p>
    <w:p w14:paraId="3CDC3CCB" w14:textId="77777777" w:rsidR="00E16C76" w:rsidRDefault="00CF5F20">
      <w:pPr>
        <w:pStyle w:val="FirstParagraph"/>
      </w:pPr>
      <w:r>
        <w:t>This report was prepared by the Data Program of the Australian Centre for Student Equity and Success (ACSES) at Curtin University.</w:t>
      </w:r>
    </w:p>
    <w:p w14:paraId="6814FEDA" w14:textId="77777777" w:rsidR="00E16C76" w:rsidRDefault="00CF5F20">
      <w:pPr>
        <w:pStyle w:val="BodyText"/>
      </w:pPr>
      <w:r>
        <w:t>The authors would like to acknowledge the staff at ACSES for their comments and assistance in the production of this publication and extend thanks to the Australian Government Department of Education for the provision of student equity data.</w:t>
      </w:r>
    </w:p>
    <w:p w14:paraId="0881D980" w14:textId="77777777" w:rsidR="00E16C76" w:rsidRDefault="00CF5F20">
      <w:pPr>
        <w:pStyle w:val="BodyText"/>
      </w:pPr>
      <w:r>
        <w:t xml:space="preserve">The report may be cited as: ACSES Data Program. (2026). </w:t>
      </w:r>
      <w:r>
        <w:rPr>
          <w:i/>
          <w:iCs/>
        </w:rPr>
        <w:t>Enabling programs in Australian higher education</w:t>
      </w:r>
      <w:r>
        <w:t>. Australian Centre for Student Equity and Success (ACSES), Perth: Curtin University.</w:t>
      </w:r>
    </w:p>
    <w:p w14:paraId="7881B0FA" w14:textId="67928F6D" w:rsidR="00E16C76" w:rsidRPr="00645C59" w:rsidRDefault="00CF5F20">
      <w:pPr>
        <w:pStyle w:val="BodyText"/>
      </w:pPr>
      <w:r>
        <w:t xml:space="preserve">This report focuses on changes in participation rates in enabling programs from 2014 to 2023, retention rates from 2021 and 2022, and success rates from 2021 to 2023. For further information on retention, participation, success, </w:t>
      </w:r>
      <w:r w:rsidR="00FD6356">
        <w:t xml:space="preserve">and </w:t>
      </w:r>
      <w:r>
        <w:t>six- and nine-year cohort completion</w:t>
      </w:r>
      <w:r w:rsidR="00FD6356">
        <w:t>,</w:t>
      </w:r>
      <w:r>
        <w:t xml:space="preserve"> please </w:t>
      </w:r>
      <w:r w:rsidR="00A0080B">
        <w:t>refer to</w:t>
      </w:r>
      <w:r>
        <w:t xml:space="preserve"> the ACSES </w:t>
      </w:r>
      <w:r w:rsidR="00D034E4">
        <w:t>s</w:t>
      </w:r>
      <w:r>
        <w:t xml:space="preserve">tudent </w:t>
      </w:r>
      <w:r w:rsidR="00D034E4">
        <w:t>e</w:t>
      </w:r>
      <w:r>
        <w:t xml:space="preserve">quity </w:t>
      </w:r>
      <w:r w:rsidR="00D034E4">
        <w:t>d</w:t>
      </w:r>
      <w:r>
        <w:t xml:space="preserve">ata </w:t>
      </w:r>
      <w:r w:rsidR="006411D1">
        <w:t>Interactive Tool</w:t>
      </w:r>
      <w:r>
        <w:t xml:space="preserve">: </w:t>
      </w:r>
      <w:hyperlink r:id="rId7">
        <w:r w:rsidRPr="00281F1C">
          <w:rPr>
            <w:rStyle w:val="Hyperlink"/>
            <w:i w:val="0"/>
            <w:iCs/>
            <w:color w:val="254C8C"/>
          </w:rPr>
          <w:t>www.acses.edu.au/data/interactive-tool</w:t>
        </w:r>
      </w:hyperlink>
      <w:r w:rsidR="00645C59">
        <w:t>.</w:t>
      </w:r>
    </w:p>
    <w:p w14:paraId="226F70D7" w14:textId="06421B6E" w:rsidR="00E16C76" w:rsidRDefault="00CF5F20">
      <w:pPr>
        <w:pStyle w:val="BodyText"/>
      </w:pPr>
      <w:r>
        <w:t>Copyright ownership of this material resides with Curtin University.</w:t>
      </w:r>
      <w:r w:rsidR="003F5D59">
        <w:t xml:space="preserve"> </w:t>
      </w:r>
    </w:p>
    <w:p w14:paraId="6AAAD0E0" w14:textId="77777777" w:rsidR="00B30D20" w:rsidRPr="00B30D20" w:rsidRDefault="00CF5F20" w:rsidP="00B30D20">
      <w:pPr>
        <w:pStyle w:val="BodyText"/>
      </w:pPr>
      <w:r w:rsidRPr="00B30D20">
        <w:t xml:space="preserve">ISBN - </w:t>
      </w:r>
      <w:r w:rsidR="00B30D20" w:rsidRPr="00B30D20">
        <w:t>978-1-7645328-8-4</w:t>
      </w:r>
    </w:p>
    <w:p w14:paraId="2848B210" w14:textId="361C0DF2" w:rsidR="00E16C76" w:rsidRDefault="00E16C76">
      <w:pPr>
        <w:pStyle w:val="BodyText"/>
      </w:pPr>
    </w:p>
    <w:p w14:paraId="07E3CE02" w14:textId="77777777" w:rsidR="00E16C76" w:rsidRDefault="00CF5F20">
      <w:r>
        <w:br w:type="page"/>
      </w:r>
    </w:p>
    <w:p w14:paraId="4962CD10" w14:textId="77777777" w:rsidR="00E16C76" w:rsidRDefault="00CF5F20">
      <w:pPr>
        <w:pStyle w:val="Heading2"/>
      </w:pPr>
      <w:bookmarkStart w:id="2" w:name="Xd5011d5efd06eff49e328a6d4b72f1a59c57ba8"/>
      <w:bookmarkEnd w:id="1"/>
      <w:r>
        <w:lastRenderedPageBreak/>
        <w:t>The Australian Centre for Student Equity and Success Data Insights Series</w:t>
      </w:r>
    </w:p>
    <w:p w14:paraId="601D12D4" w14:textId="77777777" w:rsidR="0009631A" w:rsidRPr="0009631A" w:rsidRDefault="0009631A" w:rsidP="0009631A">
      <w:pPr>
        <w:pStyle w:val="BodyText"/>
      </w:pPr>
    </w:p>
    <w:p w14:paraId="6E61AA56" w14:textId="61A0951E" w:rsidR="00E16C76" w:rsidRDefault="00CF5F20">
      <w:pPr>
        <w:pStyle w:val="FirstParagraph"/>
      </w:pPr>
      <w:r>
        <w:t xml:space="preserve">The Australian Centre for Student Equity and Success (ACSES) is an evidence-based research and public policy centre based at Curtin University and funded by the </w:t>
      </w:r>
      <w:hyperlink r:id="rId8">
        <w:r w:rsidRPr="00EA0AF0">
          <w:rPr>
            <w:rStyle w:val="Hyperlink"/>
            <w:i w:val="0"/>
            <w:iCs/>
            <w:color w:val="254C8C"/>
          </w:rPr>
          <w:t>Australian Government Department of Education</w:t>
        </w:r>
      </w:hyperlink>
      <w:r>
        <w:t>. ACSES is committed to providing the higher education sector with tangible proof of what works to improve the quality and impact of student equity practices in higher education.</w:t>
      </w:r>
    </w:p>
    <w:p w14:paraId="33D0A90B" w14:textId="77777777" w:rsidR="00E16C76" w:rsidRDefault="00CF5F20">
      <w:pPr>
        <w:pStyle w:val="BodyText"/>
      </w:pPr>
      <w:r>
        <w:t>The ACSES Data Insights Series reports on equity student participation and outcomes in Australian higher education. It focuses on trends among identified equity groups</w:t>
      </w:r>
      <w:r w:rsidRPr="00773C8D">
        <w:rPr>
          <w:rStyle w:val="FootnoteReference"/>
          <w:i w:val="0"/>
          <w:iCs/>
        </w:rPr>
        <w:footnoteReference w:id="1"/>
      </w:r>
      <w:r>
        <w:t xml:space="preserve"> in domestic undergraduate enrolments in Australia, including, but not limited to:</w:t>
      </w:r>
    </w:p>
    <w:p w14:paraId="66F1D1F3" w14:textId="52D344D6" w:rsidR="00E16C76" w:rsidRDefault="00905830" w:rsidP="009B0E62">
      <w:pPr>
        <w:pStyle w:val="BodyText"/>
        <w:numPr>
          <w:ilvl w:val="0"/>
          <w:numId w:val="5"/>
        </w:numPr>
      </w:pPr>
      <w:r>
        <w:t>l</w:t>
      </w:r>
      <w:r w:rsidR="00CF5F20">
        <w:t>ow socio-economic status (SES) students</w:t>
      </w:r>
    </w:p>
    <w:p w14:paraId="66105801" w14:textId="6256C9B4" w:rsidR="00E16C76" w:rsidRDefault="00905830" w:rsidP="009B0E62">
      <w:pPr>
        <w:pStyle w:val="BodyText"/>
        <w:numPr>
          <w:ilvl w:val="0"/>
          <w:numId w:val="5"/>
        </w:numPr>
      </w:pPr>
      <w:r>
        <w:t>s</w:t>
      </w:r>
      <w:r w:rsidR="00CF5F20">
        <w:t xml:space="preserve">tudents with </w:t>
      </w:r>
      <w:r>
        <w:t>d</w:t>
      </w:r>
      <w:r w:rsidR="00CF5F20">
        <w:t>isability</w:t>
      </w:r>
    </w:p>
    <w:p w14:paraId="1C0CFA74" w14:textId="7346BB80" w:rsidR="00E16C76" w:rsidRDefault="00CF5F20" w:rsidP="009B0E62">
      <w:pPr>
        <w:pStyle w:val="BodyText"/>
        <w:numPr>
          <w:ilvl w:val="0"/>
          <w:numId w:val="5"/>
        </w:numPr>
      </w:pPr>
      <w:r>
        <w:t>First Nations (Aboriginal and Torres Strait Islander) Australian students</w:t>
      </w:r>
    </w:p>
    <w:p w14:paraId="38F0F0AF" w14:textId="3684F4A1" w:rsidR="00E16C76" w:rsidRDefault="00905830" w:rsidP="009B0E62">
      <w:pPr>
        <w:pStyle w:val="BodyText"/>
        <w:numPr>
          <w:ilvl w:val="0"/>
          <w:numId w:val="5"/>
        </w:numPr>
      </w:pPr>
      <w:r>
        <w:t>r</w:t>
      </w:r>
      <w:r w:rsidR="00CF5F20">
        <w:t>egional students</w:t>
      </w:r>
    </w:p>
    <w:p w14:paraId="0E4E3A6D" w14:textId="25A99018" w:rsidR="00E16C76" w:rsidRDefault="00905830" w:rsidP="009B0E62">
      <w:pPr>
        <w:pStyle w:val="BodyText"/>
        <w:numPr>
          <w:ilvl w:val="0"/>
          <w:numId w:val="5"/>
        </w:numPr>
      </w:pPr>
      <w:r>
        <w:t>r</w:t>
      </w:r>
      <w:r w:rsidR="00CF5F20">
        <w:t>emote students</w:t>
      </w:r>
      <w:r>
        <w:t>.</w:t>
      </w:r>
    </w:p>
    <w:p w14:paraId="6A241AB2" w14:textId="1C27E7A5" w:rsidR="00E16C76" w:rsidRDefault="00CF5F20">
      <w:pPr>
        <w:pStyle w:val="BodyText"/>
      </w:pPr>
      <w:r>
        <w:t xml:space="preserve">For further information on ACSES, please visit </w:t>
      </w:r>
      <w:hyperlink r:id="rId9" w:history="1">
        <w:r w:rsidRPr="00EA0AF0">
          <w:rPr>
            <w:rStyle w:val="Hyperlink"/>
            <w:i w:val="0"/>
            <w:iCs/>
            <w:color w:val="254C8C"/>
          </w:rPr>
          <w:t>www.acses.edu.au</w:t>
        </w:r>
      </w:hyperlink>
      <w:r w:rsidR="00905830">
        <w:t>.</w:t>
      </w:r>
    </w:p>
    <w:p w14:paraId="06211A3A" w14:textId="77777777" w:rsidR="00E16C76" w:rsidRDefault="00CF5F20">
      <w:r>
        <w:br w:type="page"/>
      </w:r>
    </w:p>
    <w:p w14:paraId="3EF7C457" w14:textId="3C40E7C7" w:rsidR="00E16C76" w:rsidRDefault="00CF5F20">
      <w:pPr>
        <w:pStyle w:val="Heading2"/>
      </w:pPr>
      <w:bookmarkStart w:id="3" w:name="data-explanatory-notes"/>
      <w:bookmarkEnd w:id="2"/>
      <w:r>
        <w:lastRenderedPageBreak/>
        <w:t xml:space="preserve">Data </w:t>
      </w:r>
      <w:r w:rsidR="006847CD">
        <w:t>e</w:t>
      </w:r>
      <w:r w:rsidRPr="006847CD">
        <w:t xml:space="preserve">xplanatory </w:t>
      </w:r>
      <w:r w:rsidR="006847CD">
        <w:t>n</w:t>
      </w:r>
      <w:r w:rsidRPr="006847CD">
        <w:t>otes</w:t>
      </w:r>
    </w:p>
    <w:p w14:paraId="08E2D5E1" w14:textId="77777777" w:rsidR="0009631A" w:rsidRPr="0009631A" w:rsidRDefault="0009631A" w:rsidP="0009631A">
      <w:pPr>
        <w:pStyle w:val="BodyText"/>
      </w:pPr>
    </w:p>
    <w:p w14:paraId="423409F5" w14:textId="77777777" w:rsidR="00E16C76" w:rsidRDefault="00CF5F20">
      <w:pPr>
        <w:pStyle w:val="FirstParagraph"/>
      </w:pPr>
      <w:r>
        <w:t>All student data reported in this document are sourced from a customised request to the Australian Government Department of Education</w:t>
      </w:r>
      <w:r w:rsidRPr="00773C8D">
        <w:rPr>
          <w:rStyle w:val="FootnoteReference"/>
          <w:i w:val="0"/>
          <w:iCs/>
        </w:rPr>
        <w:footnoteReference w:id="2"/>
      </w:r>
      <w:r>
        <w:t>.</w:t>
      </w:r>
    </w:p>
    <w:p w14:paraId="616ED95D" w14:textId="2108938A" w:rsidR="00E16C76" w:rsidRDefault="00AF72CC">
      <w:pPr>
        <w:pStyle w:val="BodyText"/>
      </w:pPr>
      <w:r>
        <w:t>For</w:t>
      </w:r>
      <w:r w:rsidR="00CF5F20">
        <w:t xml:space="preserve"> this report:</w:t>
      </w:r>
    </w:p>
    <w:p w14:paraId="7495AB0F" w14:textId="2F323495" w:rsidR="00E16C76" w:rsidRDefault="00CF5F20" w:rsidP="00F40164">
      <w:pPr>
        <w:pStyle w:val="BodyText"/>
        <w:numPr>
          <w:ilvl w:val="0"/>
          <w:numId w:val="5"/>
        </w:numPr>
      </w:pPr>
      <w:r>
        <w:t>Some longitudinal analysis is provided, but the focus is on the most recent data available, which is for 2023.</w:t>
      </w:r>
    </w:p>
    <w:p w14:paraId="2CD05C55" w14:textId="6FA44D64" w:rsidR="00E16C76" w:rsidRDefault="00CF5F20" w:rsidP="00F40164">
      <w:pPr>
        <w:pStyle w:val="BodyText"/>
        <w:numPr>
          <w:ilvl w:val="0"/>
          <w:numId w:val="5"/>
        </w:numPr>
      </w:pPr>
      <w:r>
        <w:t xml:space="preserve">For the purposes of aggregation and presentation of results, cell counts of less than </w:t>
      </w:r>
      <w:r w:rsidR="00AF72CC">
        <w:t>five</w:t>
      </w:r>
      <w:r>
        <w:t xml:space="preserve"> have been excluded from presentation. For retention rates</w:t>
      </w:r>
      <w:r w:rsidR="00AF72CC">
        <w:t>,</w:t>
      </w:r>
      <w:r>
        <w:t xml:space="preserve"> this suppresses institutions with headcounts less than </w:t>
      </w:r>
      <w:r w:rsidR="00AF72CC">
        <w:t>five</w:t>
      </w:r>
      <w:r>
        <w:t>, while for success rates</w:t>
      </w:r>
      <w:r w:rsidR="00AF72CC">
        <w:t>,</w:t>
      </w:r>
      <w:r>
        <w:t xml:space="preserve"> it suppresses institutions with fewer than </w:t>
      </w:r>
      <w:r w:rsidR="00AF72CC">
        <w:t>five</w:t>
      </w:r>
      <w:r>
        <w:t xml:space="preserve"> Equivalent Full</w:t>
      </w:r>
      <w:r w:rsidR="00AF72CC">
        <w:t>-</w:t>
      </w:r>
      <w:r>
        <w:t xml:space="preserve">Time Student Loads (EFTSL). This means </w:t>
      </w:r>
      <w:r w:rsidR="00AF4E85">
        <w:t>this report</w:t>
      </w:r>
      <w:r>
        <w:t xml:space="preserve"> may suppress success rates for institutions </w:t>
      </w:r>
      <w:r w:rsidR="00AF4E85">
        <w:t>whose</w:t>
      </w:r>
      <w:r>
        <w:t xml:space="preserve"> retention rates </w:t>
      </w:r>
      <w:r w:rsidR="00AF4E85">
        <w:t>are otherwise included</w:t>
      </w:r>
      <w:r>
        <w:t>.</w:t>
      </w:r>
    </w:p>
    <w:p w14:paraId="5072E259" w14:textId="2048D4AF" w:rsidR="00E16C76" w:rsidRDefault="00CF5F20" w:rsidP="00F40164">
      <w:pPr>
        <w:pStyle w:val="BodyText"/>
        <w:numPr>
          <w:ilvl w:val="0"/>
          <w:numId w:val="5"/>
        </w:numPr>
      </w:pPr>
      <w:r>
        <w:t>Analysis includes only Table A universities (</w:t>
      </w:r>
      <w:r w:rsidR="004B759C">
        <w:t xml:space="preserve">as defined under the </w:t>
      </w:r>
      <w:r>
        <w:t>Higher Education Support Act 2003).</w:t>
      </w:r>
    </w:p>
    <w:p w14:paraId="62625662" w14:textId="76B9699E" w:rsidR="00E16C76" w:rsidRDefault="00CF5F20" w:rsidP="00F40164">
      <w:pPr>
        <w:pStyle w:val="BodyText"/>
        <w:numPr>
          <w:ilvl w:val="0"/>
          <w:numId w:val="5"/>
        </w:numPr>
      </w:pPr>
      <w:r>
        <w:t xml:space="preserve">The identification of students from low SES, regional, and remote backgrounds is based on their </w:t>
      </w:r>
      <w:r w:rsidRPr="00811069">
        <w:t>first address</w:t>
      </w:r>
      <w:r>
        <w:t>.</w:t>
      </w:r>
    </w:p>
    <w:p w14:paraId="7198D693" w14:textId="7041D590" w:rsidR="00E16C76" w:rsidRDefault="00903581" w:rsidP="00F40164">
      <w:pPr>
        <w:pStyle w:val="BodyText"/>
        <w:numPr>
          <w:ilvl w:val="0"/>
          <w:numId w:val="5"/>
        </w:numPr>
      </w:pPr>
      <w:r>
        <w:t>“</w:t>
      </w:r>
      <w:r w:rsidR="00CF5F20" w:rsidRPr="006847CD">
        <w:t>Equity students</w:t>
      </w:r>
      <w:r>
        <w:t>”</w:t>
      </w:r>
      <w:r w:rsidR="00CF5F20">
        <w:t xml:space="preserve"> or </w:t>
      </w:r>
      <w:r>
        <w:t>“</w:t>
      </w:r>
      <w:r w:rsidR="00CF5F20">
        <w:t>all equity students</w:t>
      </w:r>
      <w:r>
        <w:t>”</w:t>
      </w:r>
      <w:r w:rsidR="00CF5F20">
        <w:t xml:space="preserve"> refers to students who belong to at least one of the four key equity groups presented in this report, namely, students with disability, First Nations Australian students, students from low SES areas, and students from regional and remote areas.</w:t>
      </w:r>
    </w:p>
    <w:p w14:paraId="0F6CB19A" w14:textId="3D832C50" w:rsidR="00E16C76" w:rsidRDefault="00903581" w:rsidP="00F40164">
      <w:pPr>
        <w:pStyle w:val="BodyText"/>
        <w:numPr>
          <w:ilvl w:val="0"/>
          <w:numId w:val="5"/>
        </w:numPr>
      </w:pPr>
      <w:r>
        <w:t>“</w:t>
      </w:r>
      <w:r w:rsidR="00CF5F20">
        <w:t>Non-equity students</w:t>
      </w:r>
      <w:r>
        <w:t>”</w:t>
      </w:r>
      <w:r w:rsidR="00CF5F20">
        <w:t xml:space="preserve"> refers to students who </w:t>
      </w:r>
      <w:r w:rsidR="00CF5F20" w:rsidRPr="000E7EBB">
        <w:t>do not</w:t>
      </w:r>
      <w:r w:rsidR="00CF5F20">
        <w:t xml:space="preserve"> belong to any of the key equity groups</w:t>
      </w:r>
      <w:r>
        <w:t xml:space="preserve"> described above</w:t>
      </w:r>
      <w:r w:rsidR="00CF5F20">
        <w:t>.</w:t>
      </w:r>
    </w:p>
    <w:p w14:paraId="57E61F82" w14:textId="7FCACE11" w:rsidR="00E16C76" w:rsidRDefault="00903581" w:rsidP="00C0552C">
      <w:pPr>
        <w:pStyle w:val="BodyText"/>
        <w:numPr>
          <w:ilvl w:val="0"/>
          <w:numId w:val="5"/>
        </w:numPr>
      </w:pPr>
      <w:r>
        <w:t>“</w:t>
      </w:r>
      <w:r w:rsidR="00CF5F20">
        <w:t>First</w:t>
      </w:r>
      <w:r>
        <w:t>-</w:t>
      </w:r>
      <w:r w:rsidR="00CF5F20">
        <w:t>in</w:t>
      </w:r>
      <w:r>
        <w:t>-</w:t>
      </w:r>
      <w:r w:rsidR="00CF5F20">
        <w:t>family</w:t>
      </w:r>
      <w:r>
        <w:t>”</w:t>
      </w:r>
      <w:r w:rsidR="00CF5F20">
        <w:t xml:space="preserve"> refers to students whose parents</w:t>
      </w:r>
      <w:r w:rsidR="008B30DD">
        <w:t xml:space="preserve"> or </w:t>
      </w:r>
      <w:r w:rsidR="00CF5F20">
        <w:t xml:space="preserve">guardians </w:t>
      </w:r>
      <w:r w:rsidR="00CF5F20" w:rsidRPr="000E7EBB">
        <w:t>have not</w:t>
      </w:r>
      <w:r w:rsidR="00CF5F20">
        <w:t xml:space="preserve"> completed a bachelor’s degree (AQF Level 7) or higher. We are including </w:t>
      </w:r>
      <w:r w:rsidR="008B30DD">
        <w:t>f</w:t>
      </w:r>
      <w:r w:rsidR="00CF5F20">
        <w:t>irst</w:t>
      </w:r>
      <w:r w:rsidR="008B30DD">
        <w:t>-</w:t>
      </w:r>
      <w:r w:rsidR="00CF5F20">
        <w:t>in</w:t>
      </w:r>
      <w:r w:rsidR="008B30DD">
        <w:t>-f</w:t>
      </w:r>
      <w:r w:rsidR="00CF5F20">
        <w:t xml:space="preserve">amily status as a complementary equity lens. At present, </w:t>
      </w:r>
      <w:r w:rsidR="008B30DD">
        <w:t>first-in-family students</w:t>
      </w:r>
      <w:r w:rsidR="00CF5F20">
        <w:t xml:space="preserve"> are not recognised as an official national equity group and are not included in </w:t>
      </w:r>
      <w:r w:rsidR="008B30DD">
        <w:t>“</w:t>
      </w:r>
      <w:r w:rsidR="00CF5F20">
        <w:t>all equity students</w:t>
      </w:r>
      <w:r w:rsidR="008B30DD">
        <w:t>”</w:t>
      </w:r>
      <w:r w:rsidR="00CF5F20">
        <w:t xml:space="preserve"> numbers.</w:t>
      </w:r>
      <w:r w:rsidR="00CF5F20" w:rsidRPr="00773C8D">
        <w:rPr>
          <w:rStyle w:val="FootnoteReference"/>
          <w:i w:val="0"/>
          <w:iCs/>
        </w:rPr>
        <w:footnoteReference w:id="3"/>
      </w:r>
    </w:p>
    <w:p w14:paraId="3E502792" w14:textId="4410106D" w:rsidR="0009631A" w:rsidRPr="0009631A" w:rsidRDefault="008B30DD" w:rsidP="0009631A">
      <w:pPr>
        <w:pStyle w:val="BodyText"/>
        <w:numPr>
          <w:ilvl w:val="0"/>
          <w:numId w:val="5"/>
        </w:numPr>
      </w:pPr>
      <w:r>
        <w:t>The</w:t>
      </w:r>
      <w:r w:rsidR="00CF5F20">
        <w:t xml:space="preserve"> definition </w:t>
      </w:r>
      <w:r>
        <w:t xml:space="preserve">of “students with disability” was changed </w:t>
      </w:r>
      <w:r w:rsidR="00CF5F20">
        <w:t xml:space="preserve">in 2020 to include </w:t>
      </w:r>
      <w:r>
        <w:t>“</w:t>
      </w:r>
      <w:r w:rsidR="00CF5F20">
        <w:t>mental health conditions</w:t>
      </w:r>
      <w:r>
        <w:t>”</w:t>
      </w:r>
      <w:r w:rsidR="00CF5F20">
        <w:t xml:space="preserve">. This change in definition </w:t>
      </w:r>
      <w:r>
        <w:t>has driven</w:t>
      </w:r>
      <w:r w:rsidR="00CF5F20">
        <w:t xml:space="preserve"> </w:t>
      </w:r>
      <w:r>
        <w:t>much</w:t>
      </w:r>
      <w:r w:rsidR="00CF5F20">
        <w:t xml:space="preserve"> of the increase in participation by equity students in enabling programs.</w:t>
      </w:r>
      <w:bookmarkStart w:id="4" w:name="data-explanatory-notes-cont."/>
      <w:bookmarkEnd w:id="3"/>
    </w:p>
    <w:p w14:paraId="2DDEF17C" w14:textId="28FA5D89" w:rsidR="00E16C76" w:rsidRDefault="00CF5F20" w:rsidP="00CE73CC">
      <w:pPr>
        <w:pStyle w:val="FirstParagraph"/>
        <w:numPr>
          <w:ilvl w:val="0"/>
          <w:numId w:val="5"/>
        </w:numPr>
      </w:pPr>
      <w:r>
        <w:lastRenderedPageBreak/>
        <w:t xml:space="preserve">The participation rate for an equity group refers to the percentage of students within the enabling program who are part of the specified equity group. </w:t>
      </w:r>
      <w:r w:rsidR="0073285C">
        <w:t>The p</w:t>
      </w:r>
      <w:r>
        <w:t>articipation rate measures participation in a university enabling program, not university participation for students from enabling programs.</w:t>
      </w:r>
    </w:p>
    <w:p w14:paraId="5CE2DB24" w14:textId="6FD067B4" w:rsidR="00E16C76" w:rsidRDefault="00CF5F20" w:rsidP="00CE73CC">
      <w:pPr>
        <w:pStyle w:val="BodyText"/>
        <w:numPr>
          <w:ilvl w:val="0"/>
          <w:numId w:val="5"/>
        </w:numPr>
      </w:pPr>
      <w:r>
        <w:t xml:space="preserve">The success and retention rates are for commencing onshore domestic university students who entered university through enabling programs or via </w:t>
      </w:r>
      <w:r w:rsidR="0078714A" w:rsidRPr="0078714A">
        <w:t>Australian Tertiary Admission Rank</w:t>
      </w:r>
      <w:r w:rsidR="0078714A">
        <w:t xml:space="preserve"> (</w:t>
      </w:r>
      <w:r>
        <w:t>ATAR</w:t>
      </w:r>
      <w:r w:rsidR="0078714A">
        <w:t>)</w:t>
      </w:r>
      <w:r>
        <w:t xml:space="preserve"> pathways. Success rate measur</w:t>
      </w:r>
      <w:r w:rsidR="0078714A">
        <w:t>es</w:t>
      </w:r>
      <w:r>
        <w:t xml:space="preserve"> performance at university, not performance within the enabling program used to gain admission to university. Retention rate measur</w:t>
      </w:r>
      <w:r w:rsidR="0078714A">
        <w:t>es</w:t>
      </w:r>
      <w:r>
        <w:t xml:space="preserve"> retention of university students within the university sector, not retention in an enabling program.</w:t>
      </w:r>
    </w:p>
    <w:p w14:paraId="05FDDDA8" w14:textId="3CB819BD" w:rsidR="00E16C76" w:rsidRDefault="00CF5F20" w:rsidP="00CE73CC">
      <w:pPr>
        <w:pStyle w:val="BodyText"/>
        <w:numPr>
          <w:ilvl w:val="0"/>
          <w:numId w:val="5"/>
        </w:numPr>
      </w:pPr>
      <w:r>
        <w:t>The retention rate used is the Sector Retention Rate (New Adjusted Retention Rate)</w:t>
      </w:r>
      <w:r w:rsidRPr="00773C8D">
        <w:rPr>
          <w:rStyle w:val="FootnoteReference"/>
          <w:i w:val="0"/>
          <w:iCs/>
        </w:rPr>
        <w:footnoteReference w:id="4"/>
      </w:r>
      <w:r>
        <w:t>, which counts students who switch institutions in the previous year as being retained within the higher education system.</w:t>
      </w:r>
    </w:p>
    <w:p w14:paraId="772D26E2" w14:textId="09BA1621" w:rsidR="00E16C76" w:rsidRDefault="00CF5F20" w:rsidP="00CE73CC">
      <w:pPr>
        <w:pStyle w:val="BodyText"/>
        <w:numPr>
          <w:ilvl w:val="0"/>
          <w:numId w:val="5"/>
        </w:numPr>
      </w:pPr>
      <w:r>
        <w:t>Retention rate is a lagging indicator. This means that data labelled “2022” refers to students from 2022 who returned to higher education in 2023.</w:t>
      </w:r>
    </w:p>
    <w:p w14:paraId="1A39966D" w14:textId="414F6D7A" w:rsidR="00E16C76" w:rsidRDefault="00CF5F20" w:rsidP="00CE73CC">
      <w:pPr>
        <w:pStyle w:val="BodyText"/>
        <w:numPr>
          <w:ilvl w:val="0"/>
          <w:numId w:val="5"/>
        </w:numPr>
      </w:pPr>
      <w:r>
        <w:t>Success rate measures the proportion of subject load passed by undergraduate students in their first year at university. The success rate is equal to the EFTSL passed by students in a selected group as a percentage of EFTSL certified (EFTSL passed, failed, or withdrawn) among all students in the group</w:t>
      </w:r>
      <w:r w:rsidRPr="00773C8D">
        <w:rPr>
          <w:rStyle w:val="FootnoteReference"/>
          <w:i w:val="0"/>
          <w:iCs/>
        </w:rPr>
        <w:footnoteReference w:id="5"/>
      </w:r>
      <w:r w:rsidRPr="00773C8D">
        <w:rPr>
          <w:i/>
          <w:iCs/>
        </w:rPr>
        <w:t>.</w:t>
      </w:r>
    </w:p>
    <w:p w14:paraId="2E4CA3D9" w14:textId="234913D8" w:rsidR="00E16C76" w:rsidRDefault="00D1340D" w:rsidP="00CE73CC">
      <w:pPr>
        <w:pStyle w:val="BodyText"/>
        <w:numPr>
          <w:ilvl w:val="0"/>
          <w:numId w:val="5"/>
        </w:numPr>
      </w:pPr>
      <w:r>
        <w:t>“</w:t>
      </w:r>
      <w:r w:rsidR="00CF5F20">
        <w:t>Enabling program students</w:t>
      </w:r>
      <w:r>
        <w:t>”</w:t>
      </w:r>
      <w:r w:rsidR="00CF5F20">
        <w:t xml:space="preserve"> refers to domestic undergraduate students at university whose main basis of admission was through enabling program pathways. </w:t>
      </w:r>
      <w:r>
        <w:t>“</w:t>
      </w:r>
      <w:r w:rsidR="00CF5F20">
        <w:t>ATAR students</w:t>
      </w:r>
      <w:r>
        <w:t>”</w:t>
      </w:r>
      <w:r w:rsidR="00CF5F20">
        <w:t xml:space="preserve"> refers to domestic undergraduate students whose main basis of admission was through their ATAR.</w:t>
      </w:r>
    </w:p>
    <w:p w14:paraId="4D3683EA" w14:textId="77777777" w:rsidR="00E16C76" w:rsidRDefault="00CF5F20">
      <w:r>
        <w:br w:type="page"/>
      </w:r>
    </w:p>
    <w:p w14:paraId="3F6F77CF" w14:textId="77777777" w:rsidR="00E16C76" w:rsidRDefault="00CF5F20">
      <w:pPr>
        <w:pStyle w:val="Heading2"/>
      </w:pPr>
      <w:bookmarkStart w:id="5" w:name="Xb6d81ba1845573c84600da51d884a1b6366a9d4"/>
      <w:bookmarkEnd w:id="4"/>
      <w:r>
        <w:lastRenderedPageBreak/>
        <w:t>Enabling programs in Australian higher education</w:t>
      </w:r>
    </w:p>
    <w:p w14:paraId="513BA4B6" w14:textId="77777777" w:rsidR="0009631A" w:rsidRPr="0009631A" w:rsidRDefault="0009631A" w:rsidP="0009631A">
      <w:pPr>
        <w:pStyle w:val="BodyText"/>
      </w:pPr>
    </w:p>
    <w:p w14:paraId="325404D6" w14:textId="2E475726" w:rsidR="00E16C76" w:rsidRDefault="00CF5F20">
      <w:pPr>
        <w:pStyle w:val="FirstParagraph"/>
      </w:pPr>
      <w:r>
        <w:t>An enabling program (or enabling course) is a course of instruction that enables a person to undertake a course leading to a higher education award but does not itself offer an award (Higher Education Support Act, 2003). As of 2024</w:t>
      </w:r>
      <w:r w:rsidR="0086756A">
        <w:t>,</w:t>
      </w:r>
      <w:r>
        <w:t xml:space="preserve"> there were 48 enabling programs across Australia (NAEEA, 2024).</w:t>
      </w:r>
    </w:p>
    <w:p w14:paraId="5C4A47E7" w14:textId="5057D7CB" w:rsidR="00E16C76" w:rsidRDefault="00CF5F20">
      <w:pPr>
        <w:pStyle w:val="BodyText"/>
      </w:pPr>
      <w:r>
        <w:t xml:space="preserve">Enabling programs are a key mechanism for widening participation in Australian higher education, particularly for equity students. Some enabling programs are designed for specific equity groups, </w:t>
      </w:r>
      <w:r w:rsidR="00D66825">
        <w:t>including</w:t>
      </w:r>
      <w:r>
        <w:t xml:space="preserve"> 15 </w:t>
      </w:r>
      <w:r w:rsidR="00B21189">
        <w:t xml:space="preserve">that are </w:t>
      </w:r>
      <w:r>
        <w:t>explicitly for First Nations students (NAEEA, 2024). Enabling programs also attract substantial participation from students in regional</w:t>
      </w:r>
      <w:r w:rsidR="00B21189">
        <w:t xml:space="preserve"> and </w:t>
      </w:r>
      <w:r>
        <w:t>remote areas, highlighting their role as an alternative entry pathway for students who may face geographic and structural barriers to direct entry.</w:t>
      </w:r>
    </w:p>
    <w:p w14:paraId="28B551AB" w14:textId="74795B8F" w:rsidR="00E16C76" w:rsidRDefault="00CF5F20">
      <w:pPr>
        <w:pStyle w:val="BodyText"/>
      </w:pPr>
      <w:r>
        <w:t>This report presents enabling program participation rates, as well as retention and success rates for university students whose main basis of admission to university was via an enabling program. Retention and success rates are presented across two comparative dimensions: (1) equity students entering via enabling programs compared with non-equity students entering via enabling programs; and (2) equity students entering via enabling programs compared with equity students entering via ATAR.</w:t>
      </w:r>
    </w:p>
    <w:p w14:paraId="4F0AE469" w14:textId="77777777" w:rsidR="00E16C76" w:rsidRDefault="00CF5F20">
      <w:pPr>
        <w:pStyle w:val="BodyText"/>
      </w:pPr>
      <w:r>
        <w:t>These two comparison dimensions are intended to support meaningful benchmarking and interpretation of equity outcomes. Comparing equity and non-equity students provides a within-cohort reference point that helps quantify equity gaps and identify where outcomes diverge, consistent with ACSES guidance on the importance of comparative data for understanding equity performance and improvement priorities</w:t>
      </w:r>
      <w:r w:rsidRPr="006B0080">
        <w:rPr>
          <w:rStyle w:val="FootnoteReference"/>
          <w:i w:val="0"/>
          <w:iCs/>
        </w:rPr>
        <w:footnoteReference w:id="6"/>
      </w:r>
      <w:r>
        <w:t>. Comparing equity students entering via enabling programs with equity students entering via ATAR provides a pathway benchmark that helps understand how enabling programs perform for specific equity groups.</w:t>
      </w:r>
    </w:p>
    <w:p w14:paraId="6FE9816F" w14:textId="77777777" w:rsidR="00E16C76" w:rsidRDefault="00CF5F20">
      <w:pPr>
        <w:pStyle w:val="BodyText"/>
      </w:pPr>
      <w:r>
        <w:t>Enabling programs are not delivered in a uniform institutional context. At some universities, enabling programs are delivered wholly or partly within secondary school settings (“in‑school enabling programs”), often through partnerships between universities and schools, and are targeted at students while they are still enrolled in Year 11 or 12. These delivery arrangements are not differentiated in Department of Education administrative data, which record enabling programs as a single category regardless of whether delivery occurs on‑campus or within schools, limiting the capacity to disaggregate participation and outcomes by delivery context.</w:t>
      </w:r>
      <w:r w:rsidRPr="006B0080">
        <w:rPr>
          <w:rStyle w:val="FootnoteReference"/>
          <w:i w:val="0"/>
          <w:iCs/>
        </w:rPr>
        <w:footnoteReference w:id="7"/>
      </w:r>
    </w:p>
    <w:p w14:paraId="6C1771BD" w14:textId="77777777" w:rsidR="00E16C76" w:rsidRDefault="00CF5F20">
      <w:pPr>
        <w:pStyle w:val="BodyText"/>
      </w:pPr>
      <w:r>
        <w:lastRenderedPageBreak/>
        <w:t>Further reading on enabling programs:</w:t>
      </w:r>
    </w:p>
    <w:p w14:paraId="5A734796" w14:textId="5D918486" w:rsidR="00E16C76" w:rsidRDefault="00CF5F20" w:rsidP="00F536A1">
      <w:pPr>
        <w:pStyle w:val="BodyText"/>
        <w:numPr>
          <w:ilvl w:val="0"/>
          <w:numId w:val="5"/>
        </w:numPr>
      </w:pPr>
      <w:r>
        <w:t xml:space="preserve">National Association of Enabling Educators of Australia (NAEEA). (2024). </w:t>
      </w:r>
      <w:hyperlink r:id="rId10">
        <w:r w:rsidRPr="00D66825">
          <w:rPr>
            <w:rStyle w:val="Hyperlink"/>
            <w:color w:val="254C8C"/>
          </w:rPr>
          <w:t>Enabling Education Across Australia</w:t>
        </w:r>
      </w:hyperlink>
      <w:r>
        <w:t>.</w:t>
      </w:r>
    </w:p>
    <w:p w14:paraId="138E1CF0" w14:textId="7759D2D6" w:rsidR="00E16C76" w:rsidRDefault="00CF5F20" w:rsidP="00F536A1">
      <w:pPr>
        <w:pStyle w:val="BodyText"/>
        <w:numPr>
          <w:ilvl w:val="0"/>
          <w:numId w:val="5"/>
        </w:numPr>
      </w:pPr>
      <w:r>
        <w:t xml:space="preserve">National Association of Enabling Educators of Australia (NAEEA). (2023). </w:t>
      </w:r>
      <w:hyperlink r:id="rId11">
        <w:r w:rsidRPr="00D66825">
          <w:rPr>
            <w:rStyle w:val="Hyperlink"/>
            <w:color w:val="254C8C"/>
          </w:rPr>
          <w:t>Report on Benchmarking of Enabling Programs across Australia to the National Association of Enabling Educators of Australia (NAEEA)</w:t>
        </w:r>
      </w:hyperlink>
      <w:r>
        <w:t>.</w:t>
      </w:r>
    </w:p>
    <w:p w14:paraId="4DF8D5B0" w14:textId="08EB9AF1" w:rsidR="00E16C76" w:rsidRDefault="00CF5F20" w:rsidP="00F536A1">
      <w:pPr>
        <w:pStyle w:val="BodyText"/>
        <w:numPr>
          <w:ilvl w:val="0"/>
          <w:numId w:val="5"/>
        </w:numPr>
      </w:pPr>
      <w:r>
        <w:t xml:space="preserve">National Centre for Student Equity in Higher Education (NCSEHE). (2016). </w:t>
      </w:r>
      <w:hyperlink r:id="rId12">
        <w:r w:rsidRPr="00D66825">
          <w:rPr>
            <w:rStyle w:val="Hyperlink"/>
            <w:color w:val="254C8C"/>
          </w:rPr>
          <w:t xml:space="preserve">Pathways </w:t>
        </w:r>
        <w:r w:rsidR="001E218B" w:rsidRPr="00D66825">
          <w:rPr>
            <w:rStyle w:val="Hyperlink"/>
            <w:color w:val="254C8C"/>
          </w:rPr>
          <w:t>t</w:t>
        </w:r>
        <w:r w:rsidRPr="00D66825">
          <w:rPr>
            <w:rStyle w:val="Hyperlink"/>
            <w:color w:val="254C8C"/>
          </w:rPr>
          <w:t xml:space="preserve">o Higher Education: The Efficacy </w:t>
        </w:r>
        <w:r w:rsidR="001E218B" w:rsidRPr="00D66825">
          <w:rPr>
            <w:rStyle w:val="Hyperlink"/>
            <w:color w:val="254C8C"/>
          </w:rPr>
          <w:t>o</w:t>
        </w:r>
        <w:r w:rsidRPr="00D66825">
          <w:rPr>
            <w:rStyle w:val="Hyperlink"/>
            <w:color w:val="254C8C"/>
          </w:rPr>
          <w:t xml:space="preserve">f Enabling </w:t>
        </w:r>
        <w:r w:rsidR="001E218B" w:rsidRPr="00D66825">
          <w:rPr>
            <w:rStyle w:val="Hyperlink"/>
            <w:color w:val="254C8C"/>
          </w:rPr>
          <w:t>a</w:t>
        </w:r>
        <w:r w:rsidRPr="00D66825">
          <w:rPr>
            <w:rStyle w:val="Hyperlink"/>
            <w:color w:val="254C8C"/>
          </w:rPr>
          <w:t xml:space="preserve">nd Sub-Bachelor Pathways </w:t>
        </w:r>
        <w:r w:rsidR="001E218B" w:rsidRPr="00D66825">
          <w:rPr>
            <w:rStyle w:val="Hyperlink"/>
            <w:color w:val="254C8C"/>
          </w:rPr>
          <w:t>f</w:t>
        </w:r>
        <w:r w:rsidRPr="00D66825">
          <w:rPr>
            <w:rStyle w:val="Hyperlink"/>
            <w:color w:val="254C8C"/>
          </w:rPr>
          <w:t>or Disadvantaged Students</w:t>
        </w:r>
      </w:hyperlink>
      <w:r>
        <w:t>.</w:t>
      </w:r>
    </w:p>
    <w:p w14:paraId="5E2AAB1C" w14:textId="77777777" w:rsidR="00E16C76" w:rsidRDefault="00CF5F20">
      <w:r>
        <w:br w:type="page"/>
      </w:r>
    </w:p>
    <w:p w14:paraId="25F339C6" w14:textId="77777777" w:rsidR="00E16C76" w:rsidRPr="003050A8" w:rsidRDefault="00CF5F20">
      <w:pPr>
        <w:pStyle w:val="Heading2"/>
      </w:pPr>
      <w:bookmarkStart w:id="6" w:name="X8e42e40ca511d2a8236d6af55bca489df9fa229"/>
      <w:bookmarkEnd w:id="5"/>
      <w:r w:rsidRPr="003050A8">
        <w:lastRenderedPageBreak/>
        <w:t>Enabling program enrolments and participation rates</w:t>
      </w:r>
    </w:p>
    <w:p w14:paraId="2504EFD5" w14:textId="77777777" w:rsidR="00A25135" w:rsidRPr="00A25135" w:rsidRDefault="00A25135" w:rsidP="00A25135">
      <w:pPr>
        <w:pStyle w:val="BodyText"/>
      </w:pPr>
    </w:p>
    <w:p w14:paraId="7EFC2A48" w14:textId="17D57E55" w:rsidR="00E16C76" w:rsidRDefault="00CF5F20">
      <w:pPr>
        <w:pStyle w:val="FirstParagraph"/>
      </w:pPr>
      <w:r>
        <w:t>From 2014 to 2023, enrolments in enabling programs declined overall. Over the same period, enabling programs were increasingly comprised of equity students, with the disparity between equity and non-equity enrolments widening over time.</w:t>
      </w:r>
    </w:p>
    <w:p w14:paraId="2AEF05B1" w14:textId="47374D4D" w:rsidR="00E16C76" w:rsidRPr="00AF4E85" w:rsidRDefault="00CF5F20">
      <w:pPr>
        <w:pStyle w:val="ImageCaption"/>
      </w:pPr>
      <w:r w:rsidRPr="00AF4E85">
        <w:rPr>
          <w:bCs/>
        </w:rPr>
        <w:t xml:space="preserve">Figure </w:t>
      </w:r>
      <w:bookmarkStart w:id="7" w:name="unnamed-chunk-10"/>
      <w:r w:rsidRPr="00AF4E85">
        <w:rPr>
          <w:bCs/>
        </w:rPr>
        <w:fldChar w:fldCharType="begin"/>
      </w:r>
      <w:r w:rsidRPr="00AF4E85">
        <w:rPr>
          <w:bCs/>
        </w:rPr>
        <w:instrText>SEQ fig \* Arabic</w:instrText>
      </w:r>
      <w:r w:rsidRPr="00AF4E85">
        <w:rPr>
          <w:bCs/>
        </w:rPr>
        <w:fldChar w:fldCharType="separate"/>
      </w:r>
      <w:r w:rsidR="007F1DD8" w:rsidRPr="00AF4E85">
        <w:rPr>
          <w:bCs/>
          <w:noProof/>
        </w:rPr>
        <w:t>1</w:t>
      </w:r>
      <w:r w:rsidRPr="00AF4E85">
        <w:rPr>
          <w:bCs/>
        </w:rPr>
        <w:fldChar w:fldCharType="end"/>
      </w:r>
      <w:bookmarkEnd w:id="7"/>
      <w:r w:rsidRPr="00AF4E85">
        <w:rPr>
          <w:bCs/>
        </w:rPr>
        <w:t>:</w:t>
      </w:r>
      <w:r w:rsidRPr="00AF4E85">
        <w:rPr>
          <w:b/>
        </w:rPr>
        <w:t xml:space="preserve"> </w:t>
      </w:r>
      <w:r w:rsidRPr="00AF4E85">
        <w:t>Enrolments and participation rates of domestic students enrolled in enabling programs between 2014 and 2023</w:t>
      </w:r>
    </w:p>
    <w:p w14:paraId="2EBA22C1" w14:textId="77777777" w:rsidR="00E16C76" w:rsidRDefault="00CF5F20">
      <w:pPr>
        <w:pStyle w:val="Figure"/>
      </w:pPr>
      <w:r>
        <w:rPr>
          <w:noProof/>
        </w:rPr>
        <w:drawing>
          <wp:inline distT="0" distB="0" distL="0" distR="0" wp14:anchorId="65679297" wp14:editId="6DB7DF62">
            <wp:extent cx="9144000" cy="4114799"/>
            <wp:effectExtent l="0" t="0" r="0" b="635"/>
            <wp:docPr id="1" name="Picture 1" descr="The figure shows two line charts describing enrolments and participation rates of domestic students in enabling programs between 2014 and 2023, split by equity group. Year is plotted on the x-axis, with enrolment counts on the left y-axis and participation rates on the right y-axis. Enrolments for most groups rise slightly up to around 2019–2020 before declining steadily through to 2023. Over the same period, participation rates diverge, with equity student participation increasing consistently while non-equity participation declines, indicating that enabling programs have become increasingly concentrated with equity students. This change is primarily driven by increasing participation by students with disability, coinciding with the 2020 change in definition of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figure shows two line charts describing enrolments and participation rates of domestic students in enabling programs between 2014 and 2023, split by equity group. Year is plotted on the x-axis, with enrolment counts on the left y-axis and participation rates on the right y-axis. Enrolments for most groups rise slightly up to around 2019–2020 before declining steadily through to 2023. Over the same period, participation rates diverge, with equity student participation increasing consistently while non-equity participation declines, indicating that enabling programs have become increasingly concentrated with equity students. This change is primarily driven by increasing participation by students with disability, coinciding with the 2020 change in definition of disability."/>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9144000" cy="4114799"/>
                    </a:xfrm>
                    <a:prstGeom prst="rect">
                      <a:avLst/>
                    </a:prstGeom>
                    <a:noFill/>
                  </pic:spPr>
                </pic:pic>
              </a:graphicData>
            </a:graphic>
          </wp:inline>
        </w:drawing>
      </w:r>
    </w:p>
    <w:p w14:paraId="35D41C95" w14:textId="77777777" w:rsidR="00E16C76" w:rsidRDefault="00CF5F20">
      <w:r>
        <w:br w:type="page"/>
      </w:r>
    </w:p>
    <w:p w14:paraId="25594B22" w14:textId="77777777" w:rsidR="00E16C76" w:rsidRDefault="00CF5F20">
      <w:pPr>
        <w:pStyle w:val="Heading2"/>
        <w:rPr>
          <w:sz w:val="40"/>
          <w:szCs w:val="40"/>
        </w:rPr>
      </w:pPr>
      <w:bookmarkStart w:id="8" w:name="X98b1c1861c08752e5819478a39d004f7015fb31"/>
      <w:bookmarkEnd w:id="6"/>
      <w:r w:rsidRPr="00405D52">
        <w:rPr>
          <w:sz w:val="40"/>
          <w:szCs w:val="40"/>
        </w:rPr>
        <w:lastRenderedPageBreak/>
        <w:t>Enabling program enrolments and participation rates at Group of Eight universities</w:t>
      </w:r>
    </w:p>
    <w:p w14:paraId="3B6C83D3" w14:textId="77777777" w:rsidR="003E7E1B" w:rsidRPr="003E7E1B" w:rsidRDefault="003E7E1B" w:rsidP="003E7E1B">
      <w:pPr>
        <w:pStyle w:val="BodyText"/>
      </w:pPr>
    </w:p>
    <w:p w14:paraId="6DA42A5F" w14:textId="791D4107" w:rsidR="00E16C76" w:rsidRDefault="00CF5F20">
      <w:pPr>
        <w:pStyle w:val="FirstParagraph"/>
      </w:pPr>
      <w:r>
        <w:t>From 2014 to 2023, enrolment in enabling programs at Group of Eight universities halved. As of 2023, the share of students in enabling programs ha</w:t>
      </w:r>
      <w:r w:rsidR="006D7B87">
        <w:t>d</w:t>
      </w:r>
      <w:r>
        <w:t xml:space="preserve"> reached approximate parity.</w:t>
      </w:r>
    </w:p>
    <w:p w14:paraId="4DFA623E" w14:textId="77777777" w:rsidR="00E16C76" w:rsidRPr="00AF4E85" w:rsidRDefault="00CF5F20">
      <w:pPr>
        <w:pStyle w:val="ImageCaption"/>
      </w:pPr>
      <w:r w:rsidRPr="00AF4E85">
        <w:rPr>
          <w:bCs/>
        </w:rPr>
        <w:t xml:space="preserve">Figure </w:t>
      </w:r>
      <w:bookmarkStart w:id="9" w:name="unnamed-chunk-11"/>
      <w:r w:rsidRPr="00AF4E85">
        <w:rPr>
          <w:bCs/>
        </w:rPr>
        <w:fldChar w:fldCharType="begin"/>
      </w:r>
      <w:r w:rsidRPr="00AF4E85">
        <w:rPr>
          <w:bCs/>
        </w:rPr>
        <w:instrText>SEQ fig \* Arabic</w:instrText>
      </w:r>
      <w:r w:rsidRPr="00AF4E85">
        <w:rPr>
          <w:bCs/>
        </w:rPr>
        <w:fldChar w:fldCharType="separate"/>
      </w:r>
      <w:r w:rsidR="007F1DD8" w:rsidRPr="00AF4E85">
        <w:rPr>
          <w:bCs/>
          <w:noProof/>
        </w:rPr>
        <w:t>2</w:t>
      </w:r>
      <w:r w:rsidRPr="00AF4E85">
        <w:rPr>
          <w:bCs/>
        </w:rPr>
        <w:fldChar w:fldCharType="end"/>
      </w:r>
      <w:bookmarkEnd w:id="9"/>
      <w:r w:rsidRPr="00AF4E85">
        <w:rPr>
          <w:b/>
        </w:rPr>
        <w:t xml:space="preserve">: </w:t>
      </w:r>
      <w:r w:rsidRPr="00AF4E85">
        <w:t>Enrolments and participation rates of domestic students enrolled in enabling programs between 2014 and 2023 at Group of Eight universities</w:t>
      </w:r>
    </w:p>
    <w:p w14:paraId="6C15D6F9" w14:textId="506C6F8E" w:rsidR="00E16C76" w:rsidRDefault="00CF5F20" w:rsidP="00FE152A">
      <w:pPr>
        <w:pStyle w:val="Figure"/>
      </w:pPr>
      <w:r>
        <w:rPr>
          <w:noProof/>
        </w:rPr>
        <w:drawing>
          <wp:inline distT="0" distB="0" distL="0" distR="0" wp14:anchorId="40CEF4FB" wp14:editId="203334EC">
            <wp:extent cx="9144000" cy="4114799"/>
            <wp:effectExtent l="0" t="0" r="0" b="635"/>
            <wp:docPr id="3" name="Picture 3" descr="The figure shows enrolments and participation rates in enabling programs at Group of Eight universities from 2014 to 2023. Enrolments decline markedly over the period, approximately halving overall. Participation rates show equity and non-equity students converging over time, reaching near parity by 2023, reflecting a substantial shift in the composition of enabling program cohorts at Go8 instit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 figure shows enrolments and participation rates in enabling programs at Group of Eight universities from 2014 to 2023. Enrolments decline markedly over the period, approximately halving overall. Participation rates show equity and non-equity students converging over time, reaching near parity by 2023, reflecting a substantial shift in the composition of enabling program cohorts at Go8 institutions."/>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144000" cy="4114799"/>
                    </a:xfrm>
                    <a:prstGeom prst="rect">
                      <a:avLst/>
                    </a:prstGeom>
                    <a:noFill/>
                  </pic:spPr>
                </pic:pic>
              </a:graphicData>
            </a:graphic>
          </wp:inline>
        </w:drawing>
      </w:r>
    </w:p>
    <w:p w14:paraId="1CE50A04" w14:textId="77777777" w:rsidR="00E16C76" w:rsidRDefault="00CF5F20">
      <w:pPr>
        <w:pStyle w:val="Heading2"/>
        <w:rPr>
          <w:sz w:val="40"/>
          <w:szCs w:val="40"/>
        </w:rPr>
      </w:pPr>
      <w:bookmarkStart w:id="10" w:name="Xcdd9f78a53af1dd0814fa4a8a605ade1b565ccf"/>
      <w:bookmarkEnd w:id="8"/>
      <w:r w:rsidRPr="003B7371">
        <w:rPr>
          <w:sz w:val="40"/>
          <w:szCs w:val="40"/>
        </w:rPr>
        <w:lastRenderedPageBreak/>
        <w:t>Enabling program enrolments and participation rates at Australian Technology Network universities</w:t>
      </w:r>
    </w:p>
    <w:p w14:paraId="4F489209" w14:textId="77777777" w:rsidR="001F1EC1" w:rsidRPr="001F1EC1" w:rsidRDefault="001F1EC1" w:rsidP="001F1EC1">
      <w:pPr>
        <w:pStyle w:val="BodyText"/>
      </w:pPr>
    </w:p>
    <w:p w14:paraId="19BE032A" w14:textId="7E2C97D2" w:rsidR="00E16C76" w:rsidRDefault="00CF5F20">
      <w:pPr>
        <w:pStyle w:val="FirstParagraph"/>
      </w:pPr>
      <w:r>
        <w:t>From 2014 to 2023, enrolments from equity students in enabling programs at Australian Technology Network universities increased, while overall enrolments decreased. As of 2021, the share of students in enabling programs ha</w:t>
      </w:r>
      <w:r w:rsidR="00F63861">
        <w:t>d</w:t>
      </w:r>
      <w:r>
        <w:t xml:space="preserve"> become dominated by equity students.</w:t>
      </w:r>
    </w:p>
    <w:p w14:paraId="298C0F37" w14:textId="77777777" w:rsidR="00E16C76" w:rsidRPr="00AF4E85" w:rsidRDefault="00CF5F20">
      <w:pPr>
        <w:pStyle w:val="ImageCaption"/>
      </w:pPr>
      <w:r w:rsidRPr="00AF4E85">
        <w:rPr>
          <w:bCs/>
        </w:rPr>
        <w:t xml:space="preserve">Figure </w:t>
      </w:r>
      <w:bookmarkStart w:id="11" w:name="unnamed-chunk-12"/>
      <w:r w:rsidRPr="00AF4E85">
        <w:rPr>
          <w:bCs/>
        </w:rPr>
        <w:fldChar w:fldCharType="begin"/>
      </w:r>
      <w:r w:rsidRPr="00AF4E85">
        <w:rPr>
          <w:bCs/>
        </w:rPr>
        <w:instrText>SEQ fig \* Arabic</w:instrText>
      </w:r>
      <w:r w:rsidRPr="00AF4E85">
        <w:rPr>
          <w:bCs/>
        </w:rPr>
        <w:fldChar w:fldCharType="separate"/>
      </w:r>
      <w:r w:rsidR="007F1DD8" w:rsidRPr="00AF4E85">
        <w:rPr>
          <w:bCs/>
          <w:noProof/>
        </w:rPr>
        <w:t>3</w:t>
      </w:r>
      <w:r w:rsidRPr="00AF4E85">
        <w:rPr>
          <w:bCs/>
        </w:rPr>
        <w:fldChar w:fldCharType="end"/>
      </w:r>
      <w:bookmarkEnd w:id="11"/>
      <w:r w:rsidRPr="00AF4E85">
        <w:rPr>
          <w:bCs/>
        </w:rPr>
        <w:t>:</w:t>
      </w:r>
      <w:r w:rsidRPr="00AF4E85">
        <w:rPr>
          <w:b/>
        </w:rPr>
        <w:t xml:space="preserve"> </w:t>
      </w:r>
      <w:r w:rsidRPr="00AF4E85">
        <w:t>Enrolments and participation rates of domestic students enrolled in enabling programs between 2014 and 2023 at Australian Technology Network universities</w:t>
      </w:r>
    </w:p>
    <w:p w14:paraId="4A336CFF" w14:textId="22A4DAAE" w:rsidR="00E16C76" w:rsidRDefault="00CF5F20" w:rsidP="00AF4E85">
      <w:pPr>
        <w:pStyle w:val="Figure"/>
      </w:pPr>
      <w:r>
        <w:rPr>
          <w:noProof/>
        </w:rPr>
        <w:drawing>
          <wp:inline distT="0" distB="0" distL="0" distR="0" wp14:anchorId="3067011B" wp14:editId="377E530E">
            <wp:extent cx="9144000" cy="4114799"/>
            <wp:effectExtent l="0" t="0" r="0" b="635"/>
            <wp:docPr id="5" name="Picture 5" descr="The figure shows enrolments and participation rates in enabling programs at Australian Technology Network universities between 2014 and 2023. While total enrolments decrease overall, enrolments of equity students increase, resulting in equity students becoming the dominant group from around 2021 onwards. Participation rates for equity students rise steadily, primarily driven by increasing participation by students with disability, coinciding with the 2020 change in definition of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figure shows enrolments and participation rates in enabling programs at Australian Technology Network universities between 2014 and 2023. While total enrolments decrease overall, enrolments of equity students increase, resulting in equity students becoming the dominant group from around 2021 onwards. Participation rates for equity students rise steadily, primarily driven by increasing participation by students with disability, coinciding with the 2020 change in definition of disability."/>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144000" cy="4114799"/>
                    </a:xfrm>
                    <a:prstGeom prst="rect">
                      <a:avLst/>
                    </a:prstGeom>
                    <a:noFill/>
                  </pic:spPr>
                </pic:pic>
              </a:graphicData>
            </a:graphic>
          </wp:inline>
        </w:drawing>
      </w:r>
    </w:p>
    <w:p w14:paraId="31E946C8" w14:textId="77777777" w:rsidR="00E16C76" w:rsidRDefault="00CF5F20">
      <w:pPr>
        <w:pStyle w:val="Heading2"/>
        <w:rPr>
          <w:sz w:val="40"/>
          <w:szCs w:val="40"/>
        </w:rPr>
      </w:pPr>
      <w:bookmarkStart w:id="12" w:name="X07a5792d63181e7bd8255497d4e4a73c20029df"/>
      <w:bookmarkEnd w:id="10"/>
      <w:r w:rsidRPr="009935D3">
        <w:rPr>
          <w:sz w:val="40"/>
          <w:szCs w:val="40"/>
        </w:rPr>
        <w:lastRenderedPageBreak/>
        <w:t>Enabling program enrolments and participation rates at Innovative Research Universities</w:t>
      </w:r>
    </w:p>
    <w:p w14:paraId="6B6CC33A" w14:textId="77777777" w:rsidR="009935D3" w:rsidRPr="009935D3" w:rsidRDefault="009935D3" w:rsidP="009935D3">
      <w:pPr>
        <w:pStyle w:val="BodyText"/>
      </w:pPr>
    </w:p>
    <w:p w14:paraId="5D4D3FD2" w14:textId="79926059" w:rsidR="00E16C76" w:rsidRDefault="00CF5F20">
      <w:pPr>
        <w:pStyle w:val="FirstParagraph"/>
      </w:pPr>
      <w:r>
        <w:t>Enrolments of students in enabling programs at Innovative Research Universities peaked before 2020 and ha</w:t>
      </w:r>
      <w:r w:rsidR="00261305">
        <w:t>ve</w:t>
      </w:r>
      <w:r>
        <w:t xml:space="preserve"> been on the decline since. </w:t>
      </w:r>
      <w:r w:rsidR="003765ED">
        <w:t>As of 2023, t</w:t>
      </w:r>
      <w:r>
        <w:t>he share of students in enabling programs belonging to an equity group ha</w:t>
      </w:r>
      <w:r w:rsidR="003765ED">
        <w:t>d</w:t>
      </w:r>
      <w:r>
        <w:t xml:space="preserve"> increased to almost 50%.</w:t>
      </w:r>
    </w:p>
    <w:p w14:paraId="77963AF8" w14:textId="77777777" w:rsidR="00E16C76" w:rsidRPr="00AF4E85" w:rsidRDefault="00CF5F20">
      <w:pPr>
        <w:pStyle w:val="ImageCaption"/>
      </w:pPr>
      <w:r w:rsidRPr="00AF4E85">
        <w:rPr>
          <w:bCs/>
        </w:rPr>
        <w:t xml:space="preserve">Figure </w:t>
      </w:r>
      <w:bookmarkStart w:id="13" w:name="unnamed-chunk-13"/>
      <w:r w:rsidRPr="00AF4E85">
        <w:rPr>
          <w:bCs/>
        </w:rPr>
        <w:fldChar w:fldCharType="begin"/>
      </w:r>
      <w:r w:rsidRPr="00AF4E85">
        <w:rPr>
          <w:bCs/>
        </w:rPr>
        <w:instrText>SEQ fig \* Arabic</w:instrText>
      </w:r>
      <w:r w:rsidRPr="00AF4E85">
        <w:rPr>
          <w:bCs/>
        </w:rPr>
        <w:fldChar w:fldCharType="separate"/>
      </w:r>
      <w:r w:rsidR="007F1DD8" w:rsidRPr="00AF4E85">
        <w:rPr>
          <w:bCs/>
          <w:noProof/>
        </w:rPr>
        <w:t>4</w:t>
      </w:r>
      <w:r w:rsidRPr="00AF4E85">
        <w:rPr>
          <w:bCs/>
        </w:rPr>
        <w:fldChar w:fldCharType="end"/>
      </w:r>
      <w:bookmarkEnd w:id="13"/>
      <w:r w:rsidRPr="00AF4E85">
        <w:rPr>
          <w:bCs/>
        </w:rPr>
        <w:t>:</w:t>
      </w:r>
      <w:r w:rsidRPr="00AF4E85">
        <w:rPr>
          <w:b/>
        </w:rPr>
        <w:t xml:space="preserve"> </w:t>
      </w:r>
      <w:r w:rsidRPr="00AF4E85">
        <w:t>Enrolments and participation rates of domestic students enrolled in enabling programs between 2014 and 2023 at Innovative Research Universities</w:t>
      </w:r>
    </w:p>
    <w:p w14:paraId="0210E443" w14:textId="0B9E0138" w:rsidR="00E16C76" w:rsidRDefault="00CF5F20" w:rsidP="00FE152A">
      <w:pPr>
        <w:pStyle w:val="Figure"/>
      </w:pPr>
      <w:r>
        <w:rPr>
          <w:noProof/>
        </w:rPr>
        <w:drawing>
          <wp:inline distT="0" distB="0" distL="0" distR="0" wp14:anchorId="3CB5D98E" wp14:editId="215D00C5">
            <wp:extent cx="9144000" cy="4114799"/>
            <wp:effectExtent l="0" t="0" r="0" b="635"/>
            <wp:docPr id="7" name="Picture 7" descr="The figure shows enrolments and participation rates in enabling programs at Innovative Research Universities from 2014 to 2023. Enrolments peak prior to 2020 before declining in subsequent years. At the same time, participation rates show a gradual increase in the share of equity students, reaching close to half of all enabling program students b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figure shows enrolments and participation rates in enabling programs at Innovative Research Universities from 2014 to 2023. Enrolments peak prior to 2020 before declining in subsequent years. At the same time, participation rates show a gradual increase in the share of equity students, reaching close to half of all enabling program students by 2023."/>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9144000" cy="4114799"/>
                    </a:xfrm>
                    <a:prstGeom prst="rect">
                      <a:avLst/>
                    </a:prstGeom>
                    <a:noFill/>
                  </pic:spPr>
                </pic:pic>
              </a:graphicData>
            </a:graphic>
          </wp:inline>
        </w:drawing>
      </w:r>
    </w:p>
    <w:p w14:paraId="5D117D0F" w14:textId="77777777" w:rsidR="00E16C76" w:rsidRDefault="00CF5F20">
      <w:pPr>
        <w:pStyle w:val="Heading2"/>
        <w:rPr>
          <w:sz w:val="40"/>
          <w:szCs w:val="40"/>
        </w:rPr>
      </w:pPr>
      <w:bookmarkStart w:id="14" w:name="Xc15a51f8f711af4799e81ee07b6ecea882528ae"/>
      <w:bookmarkEnd w:id="12"/>
      <w:r w:rsidRPr="009935D3">
        <w:rPr>
          <w:sz w:val="40"/>
          <w:szCs w:val="40"/>
        </w:rPr>
        <w:lastRenderedPageBreak/>
        <w:t>Enabling program enrolments and participation rates at Regional Universities Network universities</w:t>
      </w:r>
    </w:p>
    <w:p w14:paraId="2FD5FEAA" w14:textId="77777777" w:rsidR="009935D3" w:rsidRPr="009935D3" w:rsidRDefault="009935D3" w:rsidP="009935D3">
      <w:pPr>
        <w:pStyle w:val="BodyText"/>
      </w:pPr>
    </w:p>
    <w:p w14:paraId="02F7946D" w14:textId="6E61BBD2" w:rsidR="00E16C76" w:rsidRDefault="00CF5F20">
      <w:pPr>
        <w:pStyle w:val="FirstParagraph"/>
      </w:pPr>
      <w:r>
        <w:t>Enrolments of students in enabling programs at Regional Universities Network universities ha</w:t>
      </w:r>
      <w:r w:rsidR="00261305">
        <w:t>ve</w:t>
      </w:r>
      <w:r>
        <w:t xml:space="preserve"> been declining since 2020. Between 2014 and 2023, the share of students in enabling programs </w:t>
      </w:r>
      <w:r w:rsidR="00261305">
        <w:t>was</w:t>
      </w:r>
      <w:r>
        <w:t xml:space="preserve"> dominated by regional</w:t>
      </w:r>
      <w:r w:rsidR="001A6DA9">
        <w:t xml:space="preserve"> and </w:t>
      </w:r>
      <w:r>
        <w:t>remote students.</w:t>
      </w:r>
    </w:p>
    <w:p w14:paraId="6F05DA42" w14:textId="77777777" w:rsidR="00E16C76" w:rsidRPr="00AF4E85" w:rsidRDefault="00CF5F20">
      <w:pPr>
        <w:pStyle w:val="ImageCaption"/>
      </w:pPr>
      <w:r w:rsidRPr="00AF4E85">
        <w:rPr>
          <w:bCs/>
        </w:rPr>
        <w:t xml:space="preserve">Figure </w:t>
      </w:r>
      <w:bookmarkStart w:id="15" w:name="unnamed-chunk-14"/>
      <w:r w:rsidRPr="00AF4E85">
        <w:rPr>
          <w:bCs/>
        </w:rPr>
        <w:fldChar w:fldCharType="begin"/>
      </w:r>
      <w:r w:rsidRPr="00AF4E85">
        <w:rPr>
          <w:bCs/>
        </w:rPr>
        <w:instrText>SEQ fig \* Arabic</w:instrText>
      </w:r>
      <w:r w:rsidRPr="00AF4E85">
        <w:rPr>
          <w:bCs/>
        </w:rPr>
        <w:fldChar w:fldCharType="separate"/>
      </w:r>
      <w:r w:rsidR="007F1DD8" w:rsidRPr="00AF4E85">
        <w:rPr>
          <w:bCs/>
          <w:noProof/>
        </w:rPr>
        <w:t>5</w:t>
      </w:r>
      <w:r w:rsidRPr="00AF4E85">
        <w:rPr>
          <w:bCs/>
        </w:rPr>
        <w:fldChar w:fldCharType="end"/>
      </w:r>
      <w:bookmarkEnd w:id="15"/>
      <w:r w:rsidRPr="00AF4E85">
        <w:rPr>
          <w:bCs/>
        </w:rPr>
        <w:t>:</w:t>
      </w:r>
      <w:r w:rsidRPr="00AF4E85">
        <w:rPr>
          <w:b/>
        </w:rPr>
        <w:t xml:space="preserve"> </w:t>
      </w:r>
      <w:r w:rsidRPr="00AF4E85">
        <w:t>Enrolments and participation rates of domestic students enrolled in enabling programs between 2014 and 2023 within the Regional Universities Network</w:t>
      </w:r>
    </w:p>
    <w:p w14:paraId="7A5F7BA0" w14:textId="5F91742A" w:rsidR="00E16C76" w:rsidRDefault="00CF5F20" w:rsidP="00AF4E85">
      <w:pPr>
        <w:pStyle w:val="Figure"/>
      </w:pPr>
      <w:r>
        <w:rPr>
          <w:noProof/>
        </w:rPr>
        <w:drawing>
          <wp:inline distT="0" distB="0" distL="0" distR="0" wp14:anchorId="5BF2336C" wp14:editId="32F3E331">
            <wp:extent cx="9144000" cy="4114799"/>
            <wp:effectExtent l="0" t="0" r="0" b="635"/>
            <wp:docPr id="9" name="Picture 9" descr="The figure shows enrolments and participation rates in enabling programs at Regional Universities Network institutions from 2014 to 2023. Enrolments decline after 2020. Participation rates indicate that enabling programs are consistently dominated by students from regional and remote backgrounds across the entir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e figure shows enrolments and participation rates in enabling programs at Regional Universities Network institutions from 2014 to 2023. Enrolments decline after 2020. Participation rates indicate that enabling programs are consistently dominated by students from regional and remote backgrounds across the entire period."/>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9144000" cy="4114799"/>
                    </a:xfrm>
                    <a:prstGeom prst="rect">
                      <a:avLst/>
                    </a:prstGeom>
                    <a:noFill/>
                  </pic:spPr>
                </pic:pic>
              </a:graphicData>
            </a:graphic>
          </wp:inline>
        </w:drawing>
      </w:r>
    </w:p>
    <w:p w14:paraId="3C1690D4" w14:textId="69585BB3" w:rsidR="00E16C76" w:rsidRDefault="00CF5F20">
      <w:pPr>
        <w:pStyle w:val="Heading2"/>
        <w:rPr>
          <w:sz w:val="40"/>
          <w:szCs w:val="40"/>
        </w:rPr>
      </w:pPr>
      <w:bookmarkStart w:id="16" w:name="X16322d11985ffcbf416a728afb608756a2a4850"/>
      <w:bookmarkEnd w:id="14"/>
      <w:r w:rsidRPr="009935D3">
        <w:rPr>
          <w:sz w:val="40"/>
          <w:szCs w:val="40"/>
        </w:rPr>
        <w:lastRenderedPageBreak/>
        <w:t xml:space="preserve">Enabling program enrolments and participation rates at </w:t>
      </w:r>
      <w:r w:rsidR="00796B89">
        <w:rPr>
          <w:sz w:val="40"/>
          <w:szCs w:val="40"/>
        </w:rPr>
        <w:t>n</w:t>
      </w:r>
      <w:r w:rsidRPr="009935D3">
        <w:rPr>
          <w:sz w:val="40"/>
          <w:szCs w:val="40"/>
        </w:rPr>
        <w:t>on-</w:t>
      </w:r>
      <w:r w:rsidR="00796B89">
        <w:rPr>
          <w:sz w:val="40"/>
          <w:szCs w:val="40"/>
        </w:rPr>
        <w:t>a</w:t>
      </w:r>
      <w:r w:rsidRPr="009935D3">
        <w:rPr>
          <w:sz w:val="40"/>
          <w:szCs w:val="40"/>
        </w:rPr>
        <w:t>ligned universities</w:t>
      </w:r>
    </w:p>
    <w:p w14:paraId="735F4B6C" w14:textId="77777777" w:rsidR="009935D3" w:rsidRPr="009935D3" w:rsidRDefault="009935D3" w:rsidP="009935D3">
      <w:pPr>
        <w:pStyle w:val="BodyText"/>
      </w:pPr>
    </w:p>
    <w:p w14:paraId="48BED77A" w14:textId="52807C50" w:rsidR="00E16C76" w:rsidRDefault="00CF5F20">
      <w:pPr>
        <w:pStyle w:val="FirstParagraph"/>
      </w:pPr>
      <w:r>
        <w:t xml:space="preserve">Enrolments of students in enabling programs at </w:t>
      </w:r>
      <w:r w:rsidR="00796B89">
        <w:t>n</w:t>
      </w:r>
      <w:r>
        <w:t>on-</w:t>
      </w:r>
      <w:r w:rsidR="00796B89">
        <w:t>a</w:t>
      </w:r>
      <w:r>
        <w:t>ligned universities ha</w:t>
      </w:r>
      <w:r w:rsidR="00B21FB3">
        <w:t>ve</w:t>
      </w:r>
      <w:r>
        <w:t xml:space="preserve"> been on a sharp decline since 2020. During this time, the share of students in enabling programs has been dominated by equity students.</w:t>
      </w:r>
    </w:p>
    <w:p w14:paraId="5C5D4194" w14:textId="4AF057DF" w:rsidR="00E16C76" w:rsidRPr="00AF4E85" w:rsidRDefault="00CF5F20">
      <w:pPr>
        <w:pStyle w:val="ImageCaption"/>
      </w:pPr>
      <w:r w:rsidRPr="00AF4E85">
        <w:rPr>
          <w:bCs/>
        </w:rPr>
        <w:t xml:space="preserve">Figure </w:t>
      </w:r>
      <w:bookmarkStart w:id="17" w:name="unnamed-chunk-15"/>
      <w:r w:rsidRPr="00AF4E85">
        <w:rPr>
          <w:bCs/>
        </w:rPr>
        <w:fldChar w:fldCharType="begin"/>
      </w:r>
      <w:r w:rsidRPr="00AF4E85">
        <w:rPr>
          <w:bCs/>
        </w:rPr>
        <w:instrText>SEQ fig \* Arabic</w:instrText>
      </w:r>
      <w:r w:rsidRPr="00AF4E85">
        <w:rPr>
          <w:bCs/>
        </w:rPr>
        <w:fldChar w:fldCharType="separate"/>
      </w:r>
      <w:r w:rsidR="007F1DD8" w:rsidRPr="00AF4E85">
        <w:rPr>
          <w:bCs/>
          <w:noProof/>
        </w:rPr>
        <w:t>6</w:t>
      </w:r>
      <w:r w:rsidRPr="00AF4E85">
        <w:rPr>
          <w:bCs/>
        </w:rPr>
        <w:fldChar w:fldCharType="end"/>
      </w:r>
      <w:bookmarkEnd w:id="17"/>
      <w:r w:rsidRPr="00AF4E85">
        <w:rPr>
          <w:bCs/>
        </w:rPr>
        <w:t>:</w:t>
      </w:r>
      <w:r w:rsidRPr="00AF4E85">
        <w:rPr>
          <w:b/>
        </w:rPr>
        <w:t xml:space="preserve"> </w:t>
      </w:r>
      <w:r w:rsidRPr="00AF4E85">
        <w:t xml:space="preserve">Enrolments and participation rates of domestic students enrolled in enabling programs between 2014 and 2023 at </w:t>
      </w:r>
      <w:r w:rsidR="00B21FB3" w:rsidRPr="00AF4E85">
        <w:t>n</w:t>
      </w:r>
      <w:r w:rsidRPr="00AF4E85">
        <w:t>on-</w:t>
      </w:r>
      <w:r w:rsidR="00B21FB3" w:rsidRPr="00AF4E85">
        <w:t>a</w:t>
      </w:r>
      <w:r w:rsidRPr="00AF4E85">
        <w:t>ligned universities</w:t>
      </w:r>
    </w:p>
    <w:p w14:paraId="0A023E9E" w14:textId="29F5C3FE" w:rsidR="00E16C76" w:rsidRDefault="00CF5F20" w:rsidP="00FE152A">
      <w:pPr>
        <w:pStyle w:val="Figure"/>
      </w:pPr>
      <w:r>
        <w:rPr>
          <w:noProof/>
        </w:rPr>
        <w:drawing>
          <wp:inline distT="0" distB="0" distL="0" distR="0" wp14:anchorId="52B46FB6" wp14:editId="3DFC1420">
            <wp:extent cx="9144000" cy="4114799"/>
            <wp:effectExtent l="0" t="0" r="0" b="635"/>
            <wp:docPr id="11" name="Picture 11" descr="The figure shows enrolments and participation rates in enabling programs at non-aligned universities between 2014 and 2023. Enrolments fall sharply after 2020. Participation rates demonstrate that equity students make up the majority of enabling program coh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figure shows enrolments and participation rates in enabling programs at non-aligned universities between 2014 and 2023. Enrolments fall sharply after 2020. Participation rates demonstrate that equity students make up the majority of enabling program cohorts."/>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9144000" cy="4114799"/>
                    </a:xfrm>
                    <a:prstGeom prst="rect">
                      <a:avLst/>
                    </a:prstGeom>
                    <a:noFill/>
                  </pic:spPr>
                </pic:pic>
              </a:graphicData>
            </a:graphic>
          </wp:inline>
        </w:drawing>
      </w:r>
    </w:p>
    <w:p w14:paraId="067F61D3" w14:textId="77777777" w:rsidR="0079011C" w:rsidRDefault="0079011C" w:rsidP="007055D3">
      <w:pPr>
        <w:pStyle w:val="Heading2"/>
        <w:spacing w:before="0"/>
        <w:rPr>
          <w:sz w:val="40"/>
          <w:szCs w:val="40"/>
        </w:rPr>
      </w:pPr>
      <w:bookmarkStart w:id="18" w:name="X99df80a584c3fae8aba24f89cd70f59e740bd64"/>
      <w:bookmarkEnd w:id="16"/>
    </w:p>
    <w:p w14:paraId="1328F15E" w14:textId="4DC12A44" w:rsidR="00E16C76" w:rsidRDefault="00CF5F20" w:rsidP="007055D3">
      <w:pPr>
        <w:pStyle w:val="Heading2"/>
        <w:spacing w:before="0"/>
        <w:rPr>
          <w:sz w:val="40"/>
          <w:szCs w:val="40"/>
        </w:rPr>
      </w:pPr>
      <w:r w:rsidRPr="009935D3">
        <w:rPr>
          <w:sz w:val="40"/>
          <w:szCs w:val="40"/>
        </w:rPr>
        <w:t>Sector-wide 2023 participation rates mask substantial variation across institutions</w:t>
      </w:r>
    </w:p>
    <w:p w14:paraId="4C9D9B38" w14:textId="77777777" w:rsidR="009935D3" w:rsidRPr="009935D3" w:rsidRDefault="009935D3" w:rsidP="009935D3">
      <w:pPr>
        <w:pStyle w:val="BodyText"/>
      </w:pPr>
    </w:p>
    <w:p w14:paraId="24C06A72" w14:textId="66C893BF" w:rsidR="00E16C76" w:rsidRPr="00AF4E85" w:rsidRDefault="00CF5F20">
      <w:pPr>
        <w:pStyle w:val="ImageCaption"/>
      </w:pPr>
      <w:r w:rsidRPr="00AF4E85">
        <w:rPr>
          <w:bCs/>
        </w:rPr>
        <w:t xml:space="preserve">Figure </w:t>
      </w:r>
      <w:bookmarkStart w:id="19" w:name="unnamed-chunk-16"/>
      <w:r w:rsidRPr="00AF4E85">
        <w:rPr>
          <w:bCs/>
        </w:rPr>
        <w:fldChar w:fldCharType="begin"/>
      </w:r>
      <w:r w:rsidRPr="00AF4E85">
        <w:rPr>
          <w:bCs/>
        </w:rPr>
        <w:instrText>SEQ fig \* Arabic</w:instrText>
      </w:r>
      <w:r w:rsidRPr="00AF4E85">
        <w:rPr>
          <w:bCs/>
        </w:rPr>
        <w:fldChar w:fldCharType="separate"/>
      </w:r>
      <w:r w:rsidR="007F1DD8" w:rsidRPr="00AF4E85">
        <w:rPr>
          <w:bCs/>
          <w:noProof/>
        </w:rPr>
        <w:t>7</w:t>
      </w:r>
      <w:r w:rsidRPr="00AF4E85">
        <w:rPr>
          <w:bCs/>
        </w:rPr>
        <w:fldChar w:fldCharType="end"/>
      </w:r>
      <w:bookmarkEnd w:id="19"/>
      <w:r w:rsidRPr="00AF4E85">
        <w:rPr>
          <w:bCs/>
        </w:rPr>
        <w:t>:</w:t>
      </w:r>
      <w:r w:rsidRPr="00AF4E85">
        <w:rPr>
          <w:b/>
        </w:rPr>
        <w:t xml:space="preserve"> </w:t>
      </w:r>
      <w:r w:rsidRPr="00AF4E85">
        <w:t>Participation rate of domestic undergraduate students enrolled in enabling programs in 2023, by equity group. Each dot represents a Table A institution with enrolments from enabling program students in 2023</w:t>
      </w:r>
      <w:r w:rsidR="00224249">
        <w:t>.</w:t>
      </w:r>
    </w:p>
    <w:p w14:paraId="61ED1894" w14:textId="604BB15A" w:rsidR="00E16C76" w:rsidRDefault="00CF5F20" w:rsidP="00FE152A">
      <w:pPr>
        <w:pStyle w:val="Figure"/>
      </w:pPr>
      <w:r>
        <w:rPr>
          <w:noProof/>
        </w:rPr>
        <w:drawing>
          <wp:inline distT="0" distB="0" distL="0" distR="0" wp14:anchorId="63CEF4BE" wp14:editId="2C497D92">
            <wp:extent cx="8229600" cy="4571999"/>
            <wp:effectExtent l="0" t="0" r="0" b="635"/>
            <wp:docPr id="13" name="Picture 13" descr="The figure is a jitter plot showing the distribution of participation rates in enabling programs in 2023 across seven equity groups: non‑equity students, all equity students, low SES students, regional and remote students, First Nations Australian students, students with disability, and first-in-family students. The x‑axis displays the equity groups as seven vertical columns, and the y‑axis shows participation rates. Each dot represents a Table A institution, with horizontal jitter used to show the spread of institutions within each group.  The plot shows substantial variation in participation rates across institutions for all equity groups. First Nations Australian, regional and remote, and low SES students display wide distributions, indicating large differences between institutions in the extent to which these groups are represented in enabling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e figure is a jitter plot showing the distribution of participation rates in enabling programs in 2023 across seven equity groups: non‑equity students, all equity students, low SES students, regional and remote students, First Nations Australian students, students with disability, and first-in-family students. The x‑axis displays the equity groups as seven vertical columns, and the y‑axis shows participation rates. Each dot represents a Table A institution, with horizontal jitter used to show the spread of institutions within each group.  The plot shows substantial variation in participation rates across institutions for all equity groups. First Nations Australian, regional and remote, and low SES students display wide distributions, indicating large differences between institutions in the extent to which these groups are represented in enabling programs."/>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5FD4CA5B" w14:textId="77777777" w:rsidR="00E16C76" w:rsidRDefault="00CF5F20">
      <w:pPr>
        <w:pStyle w:val="Heading2"/>
        <w:rPr>
          <w:sz w:val="40"/>
          <w:szCs w:val="40"/>
        </w:rPr>
      </w:pPr>
      <w:bookmarkStart w:id="20" w:name="enabling-program-participation-in-2023"/>
      <w:bookmarkEnd w:id="18"/>
      <w:r w:rsidRPr="009935D3">
        <w:rPr>
          <w:sz w:val="40"/>
          <w:szCs w:val="40"/>
        </w:rPr>
        <w:lastRenderedPageBreak/>
        <w:t>Enabling program participation in 2023</w:t>
      </w:r>
    </w:p>
    <w:p w14:paraId="4F79E713" w14:textId="77777777" w:rsidR="009935D3" w:rsidRPr="009935D3" w:rsidRDefault="009935D3" w:rsidP="009935D3">
      <w:pPr>
        <w:pStyle w:val="BodyText"/>
      </w:pPr>
    </w:p>
    <w:p w14:paraId="0163EC77" w14:textId="45CB658B" w:rsidR="00E16C76" w:rsidRPr="00AF4E85" w:rsidRDefault="00CF5F20" w:rsidP="009935D3">
      <w:pPr>
        <w:pStyle w:val="TableCaption"/>
        <w:rPr>
          <w:szCs w:val="22"/>
        </w:rPr>
      </w:pPr>
      <w:r w:rsidRPr="00AF4E85">
        <w:rPr>
          <w:szCs w:val="22"/>
        </w:rPr>
        <w:t xml:space="preserve">Table 1: </w:t>
      </w:r>
      <w:r w:rsidR="007F1DD8" w:rsidRPr="00AF4E85">
        <w:rPr>
          <w:szCs w:val="22"/>
        </w:rPr>
        <w:t>Enabling program participation for Table A universities</w:t>
      </w:r>
      <w:r w:rsidR="00DF6D5A" w:rsidRPr="00AF4E85">
        <w:rPr>
          <w:szCs w:val="22"/>
        </w:rPr>
        <w:t xml:space="preserve"> in 2023</w:t>
      </w:r>
      <w:r w:rsidR="007F1DD8" w:rsidRPr="00AF4E85">
        <w:rPr>
          <w:szCs w:val="22"/>
        </w:rPr>
        <w:t xml:space="preserve">. Equity group headcounts have been estimated based on their percentages and rounded to the nearest whole number. Counts fewer than </w:t>
      </w:r>
      <w:r w:rsidR="00DF6D5A" w:rsidRPr="00AF4E85">
        <w:rPr>
          <w:szCs w:val="22"/>
        </w:rPr>
        <w:t>five</w:t>
      </w:r>
      <w:r w:rsidR="007F1DD8" w:rsidRPr="00AF4E85">
        <w:rPr>
          <w:szCs w:val="22"/>
        </w:rPr>
        <w:t xml:space="preserve"> are suppressed and shown as </w:t>
      </w:r>
      <w:r w:rsidR="00DF6D5A" w:rsidRPr="00AF4E85">
        <w:rPr>
          <w:szCs w:val="22"/>
        </w:rPr>
        <w:t>“</w:t>
      </w:r>
      <w:r w:rsidR="007F1DD8" w:rsidRPr="00AF4E85">
        <w:rPr>
          <w:szCs w:val="22"/>
        </w:rPr>
        <w:t>&lt;5</w:t>
      </w:r>
      <w:r w:rsidR="00DF6D5A" w:rsidRPr="00AF4E85">
        <w:rPr>
          <w:szCs w:val="22"/>
        </w:rPr>
        <w:t>”</w:t>
      </w:r>
      <w:r w:rsidR="007F1DD8" w:rsidRPr="00AF4E85">
        <w:rPr>
          <w:szCs w:val="22"/>
        </w:rPr>
        <w:t xml:space="preserve">; associated percentages are upper bounds based on </w:t>
      </w:r>
      <w:r w:rsidR="00DF6D5A" w:rsidRPr="00AF4E85">
        <w:rPr>
          <w:szCs w:val="22"/>
        </w:rPr>
        <w:t>four</w:t>
      </w:r>
      <w:r w:rsidR="007F1DD8" w:rsidRPr="00AF4E85">
        <w:rPr>
          <w:szCs w:val="22"/>
        </w:rPr>
        <w:t xml:space="preserve"> students.</w:t>
      </w:r>
    </w:p>
    <w:p w14:paraId="07BB54DA" w14:textId="77777777" w:rsidR="009935D3" w:rsidRPr="009935D3" w:rsidRDefault="009935D3" w:rsidP="009935D3">
      <w:pPr>
        <w:pStyle w:val="TableCaption"/>
        <w:rPr>
          <w:sz w:val="18"/>
          <w:szCs w:val="18"/>
        </w:rPr>
      </w:pPr>
    </w:p>
    <w:tbl>
      <w:tblPr>
        <w:tblW w:w="0" w:type="auto"/>
        <w:jc w:val="center"/>
        <w:tblLayout w:type="fixed"/>
        <w:tblLook w:val="0420" w:firstRow="1" w:lastRow="0" w:firstColumn="0" w:lastColumn="0" w:noHBand="0" w:noVBand="1"/>
      </w:tblPr>
      <w:tblGrid>
        <w:gridCol w:w="3532"/>
        <w:gridCol w:w="1330"/>
        <w:gridCol w:w="1858"/>
        <w:gridCol w:w="1879"/>
        <w:gridCol w:w="1477"/>
        <w:gridCol w:w="1551"/>
        <w:gridCol w:w="1953"/>
        <w:gridCol w:w="1593"/>
      </w:tblGrid>
      <w:tr w:rsidR="00E16C76" w14:paraId="0A5A0408" w14:textId="77777777">
        <w:trPr>
          <w:tblHeader/>
          <w:jc w:val="center"/>
        </w:trPr>
        <w:tc>
          <w:tcPr>
            <w:tcW w:w="353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7337D1"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9"/>
                <w:szCs w:val="19"/>
              </w:rPr>
            </w:pPr>
            <w:r>
              <w:rPr>
                <w:rFonts w:ascii="Arial" w:eastAsia="Arial" w:hAnsi="Arial" w:cs="Arial"/>
                <w:color w:val="000000"/>
                <w:sz w:val="19"/>
                <w:szCs w:val="19"/>
              </w:rPr>
              <w:t>Institution</w:t>
            </w:r>
          </w:p>
        </w:tc>
        <w:tc>
          <w:tcPr>
            <w:tcW w:w="133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C313BAB"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9"/>
                <w:szCs w:val="19"/>
              </w:rPr>
            </w:pPr>
            <w:r>
              <w:rPr>
                <w:rFonts w:ascii="Arial" w:eastAsia="Arial" w:hAnsi="Arial" w:cs="Arial"/>
                <w:color w:val="000000"/>
                <w:sz w:val="19"/>
                <w:szCs w:val="19"/>
              </w:rPr>
              <w:t>Headcount</w:t>
            </w:r>
          </w:p>
        </w:tc>
        <w:tc>
          <w:tcPr>
            <w:tcW w:w="185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7CB0655" w14:textId="5CB5173F"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9"/>
                <w:szCs w:val="19"/>
              </w:rPr>
            </w:pPr>
            <w:r>
              <w:rPr>
                <w:rFonts w:ascii="Arial" w:eastAsia="Arial" w:hAnsi="Arial" w:cs="Arial"/>
                <w:color w:val="000000"/>
                <w:sz w:val="19"/>
                <w:szCs w:val="19"/>
              </w:rPr>
              <w:t>Low SES</w:t>
            </w:r>
          </w:p>
        </w:tc>
        <w:tc>
          <w:tcPr>
            <w:tcW w:w="187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2BEC46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9"/>
                <w:szCs w:val="19"/>
              </w:rPr>
            </w:pPr>
            <w:r>
              <w:rPr>
                <w:rFonts w:ascii="Arial" w:eastAsia="Arial" w:hAnsi="Arial" w:cs="Arial"/>
                <w:color w:val="000000"/>
                <w:sz w:val="19"/>
                <w:szCs w:val="19"/>
              </w:rPr>
              <w:t>Regional/Remote</w:t>
            </w:r>
          </w:p>
        </w:tc>
        <w:tc>
          <w:tcPr>
            <w:tcW w:w="147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B821908"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9"/>
                <w:szCs w:val="19"/>
              </w:rPr>
            </w:pPr>
            <w:r>
              <w:rPr>
                <w:rFonts w:ascii="Arial" w:eastAsia="Arial" w:hAnsi="Arial" w:cs="Arial"/>
                <w:color w:val="000000"/>
                <w:sz w:val="19"/>
                <w:szCs w:val="19"/>
              </w:rPr>
              <w:t>First Nations</w:t>
            </w:r>
            <w:r>
              <w:rPr>
                <w:rFonts w:ascii="Arial" w:eastAsia="Arial" w:hAnsi="Arial" w:cs="Arial"/>
                <w:color w:val="000000"/>
                <w:sz w:val="19"/>
                <w:szCs w:val="19"/>
              </w:rPr>
              <w:br/>
              <w:t>Australians</w:t>
            </w:r>
          </w:p>
        </w:tc>
        <w:tc>
          <w:tcPr>
            <w:tcW w:w="155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90731C7" w14:textId="27036DCC"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9"/>
                <w:szCs w:val="19"/>
              </w:rPr>
            </w:pPr>
            <w:r>
              <w:rPr>
                <w:rFonts w:ascii="Arial" w:eastAsia="Arial" w:hAnsi="Arial" w:cs="Arial"/>
                <w:color w:val="000000"/>
                <w:sz w:val="19"/>
                <w:szCs w:val="19"/>
              </w:rPr>
              <w:t>Students with</w:t>
            </w:r>
            <w:r>
              <w:rPr>
                <w:rFonts w:ascii="Arial" w:eastAsia="Arial" w:hAnsi="Arial" w:cs="Arial"/>
                <w:color w:val="000000"/>
                <w:sz w:val="19"/>
                <w:szCs w:val="19"/>
              </w:rPr>
              <w:br/>
            </w:r>
            <w:r w:rsidR="00844F39">
              <w:rPr>
                <w:rFonts w:ascii="Arial" w:eastAsia="Arial" w:hAnsi="Arial" w:cs="Arial"/>
                <w:color w:val="000000"/>
                <w:sz w:val="19"/>
                <w:szCs w:val="19"/>
              </w:rPr>
              <w:t>d</w:t>
            </w:r>
            <w:r>
              <w:rPr>
                <w:rFonts w:ascii="Arial" w:eastAsia="Arial" w:hAnsi="Arial" w:cs="Arial"/>
                <w:color w:val="000000"/>
                <w:sz w:val="19"/>
                <w:szCs w:val="19"/>
              </w:rPr>
              <w:t>isability</w:t>
            </w:r>
          </w:p>
        </w:tc>
        <w:tc>
          <w:tcPr>
            <w:tcW w:w="1953"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40DA963"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9"/>
                <w:szCs w:val="19"/>
              </w:rPr>
            </w:pPr>
            <w:r>
              <w:rPr>
                <w:rFonts w:ascii="Arial" w:eastAsia="Arial" w:hAnsi="Arial" w:cs="Arial"/>
                <w:color w:val="000000"/>
                <w:sz w:val="19"/>
                <w:szCs w:val="19"/>
              </w:rPr>
              <w:t>All equity students</w:t>
            </w:r>
          </w:p>
        </w:tc>
        <w:tc>
          <w:tcPr>
            <w:tcW w:w="1593"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B280BD0" w14:textId="671CBA4B"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9"/>
                <w:szCs w:val="19"/>
              </w:rPr>
            </w:pPr>
            <w:r>
              <w:rPr>
                <w:rFonts w:ascii="Arial" w:eastAsia="Arial" w:hAnsi="Arial" w:cs="Arial"/>
                <w:color w:val="000000"/>
                <w:sz w:val="19"/>
                <w:szCs w:val="19"/>
              </w:rPr>
              <w:t>First</w:t>
            </w:r>
            <w:r w:rsidR="001810BA">
              <w:rPr>
                <w:rFonts w:ascii="Arial" w:eastAsia="Arial" w:hAnsi="Arial" w:cs="Arial"/>
                <w:color w:val="000000"/>
                <w:sz w:val="19"/>
                <w:szCs w:val="19"/>
              </w:rPr>
              <w:t>-</w:t>
            </w:r>
            <w:r>
              <w:rPr>
                <w:rFonts w:ascii="Arial" w:eastAsia="Arial" w:hAnsi="Arial" w:cs="Arial"/>
                <w:color w:val="000000"/>
                <w:sz w:val="19"/>
                <w:szCs w:val="19"/>
              </w:rPr>
              <w:t>in</w:t>
            </w:r>
            <w:r w:rsidR="001810BA">
              <w:rPr>
                <w:rFonts w:ascii="Arial" w:eastAsia="Arial" w:hAnsi="Arial" w:cs="Arial"/>
                <w:color w:val="000000"/>
                <w:sz w:val="19"/>
                <w:szCs w:val="19"/>
              </w:rPr>
              <w:t>-f</w:t>
            </w:r>
            <w:r>
              <w:rPr>
                <w:rFonts w:ascii="Arial" w:eastAsia="Arial" w:hAnsi="Arial" w:cs="Arial"/>
                <w:color w:val="000000"/>
                <w:sz w:val="19"/>
                <w:szCs w:val="19"/>
              </w:rPr>
              <w:t>amily</w:t>
            </w:r>
          </w:p>
        </w:tc>
      </w:tr>
      <w:tr w:rsidR="00E16C76" w14:paraId="6811A497" w14:textId="77777777">
        <w:trPr>
          <w:jc w:val="center"/>
        </w:trPr>
        <w:tc>
          <w:tcPr>
            <w:tcW w:w="353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955BD"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CQUniversity</w:t>
            </w:r>
          </w:p>
        </w:tc>
        <w:tc>
          <w:tcPr>
            <w:tcW w:w="133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AFB4B"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1555</w:t>
            </w:r>
          </w:p>
        </w:tc>
        <w:tc>
          <w:tcPr>
            <w:tcW w:w="185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73899"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884 (56.9%)</w:t>
            </w:r>
          </w:p>
        </w:tc>
        <w:tc>
          <w:tcPr>
            <w:tcW w:w="1879"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322F2"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1335 (85.8%)</w:t>
            </w:r>
          </w:p>
        </w:tc>
        <w:tc>
          <w:tcPr>
            <w:tcW w:w="147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F05DD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164 (10.6%)</w:t>
            </w:r>
          </w:p>
        </w:tc>
        <w:tc>
          <w:tcPr>
            <w:tcW w:w="155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4C6588"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181 (11.6%)</w:t>
            </w:r>
          </w:p>
        </w:tc>
        <w:tc>
          <w:tcPr>
            <w:tcW w:w="1953"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FF23E"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1411 (90.7%)</w:t>
            </w:r>
          </w:p>
        </w:tc>
        <w:tc>
          <w:tcPr>
            <w:tcW w:w="1593"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5CF436"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793 (51%)</w:t>
            </w:r>
          </w:p>
        </w:tc>
      </w:tr>
      <w:tr w:rsidR="00E16C76" w14:paraId="640504C9"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42121"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Charles Darwin University</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7B485"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1063</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3541B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291 (27.4%)</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7A6F5"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706 (66.4%)</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CE0CB"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202 (19%)</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892C7"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213 (20%)</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3BD9F"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867 (81.6%)</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E7B17"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369 (34.7%)</w:t>
            </w:r>
          </w:p>
        </w:tc>
      </w:tr>
      <w:tr w:rsidR="00E16C76" w14:paraId="3A3EE8F1"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56E49"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Charles Sturt University</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B4A32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2287</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E34D88"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667 (29.2%)</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22FC0"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989 (43.2%)</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EAE52"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105 (4.6%)</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243E6"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161 (7%)</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3ACA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1272 (55.6%)</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F3D4FF"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1181 (51.7%)</w:t>
            </w:r>
          </w:p>
        </w:tc>
      </w:tr>
      <w:tr w:rsidR="00E16C76" w14:paraId="17FAB409"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B4922"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Curtin University</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B16031"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2035</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3EC2D"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576 (28.3%)</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852E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202 (9.9%)</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1A94F"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92 (4.5%)</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E90E6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252 (12.4%)</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DB0D18"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880 (43.2%)</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920C9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702 (34.5%)</w:t>
            </w:r>
          </w:p>
        </w:tc>
      </w:tr>
      <w:tr w:rsidR="00E16C76" w14:paraId="62014DF3"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D97E50"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Edith Cowan University</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CF69A7"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1474</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4F40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413 (28%)</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35C09"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237 (16.1%)</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E796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44 (3%)</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4E7E6"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231 (15.7%)</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9116D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686 (46.6%)</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26A128"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590 (40%)</w:t>
            </w:r>
          </w:p>
        </w:tc>
      </w:tr>
      <w:tr w:rsidR="00E16C76" w14:paraId="4ECA58FF"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85BF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Federation University Australia</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8DC44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278</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B01A61"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100 (36%)</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0F0B9"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156 (56.1%)</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4FE238"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12 (4.3%)</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63F3B"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57 (20.5%)</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49FD0"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204 (73.4%)</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3BF2F"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126 (45.3%)</w:t>
            </w:r>
          </w:p>
        </w:tc>
      </w:tr>
      <w:tr w:rsidR="00E16C76" w14:paraId="32A9A708"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51045"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Flinders University</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DF48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691</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B4B4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250 (36.2%)</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44B26"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116 (16.7%)</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33AE8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22 (3.2%)</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BFE1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115 (16.6%)</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105C6E"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367 (53.1%)</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B69CC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259 (37.5%)</w:t>
            </w:r>
          </w:p>
        </w:tc>
      </w:tr>
      <w:tr w:rsidR="00E16C76" w14:paraId="522AA86D"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9B9D9"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James Cook University</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DB7F71"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467</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4E212"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127 (27.2%)</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51CC71"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291 (62.4%)</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CE749"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41 (8.8%)</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1CC5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44 (9.4%)</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9D48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324 (69.3%)</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B9A49"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144 (30.9%)</w:t>
            </w:r>
          </w:p>
        </w:tc>
      </w:tr>
      <w:tr w:rsidR="00E16C76" w14:paraId="4A054E82"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8C497E"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La Trobe University</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C5632"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211</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37375"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63 (29.9%)</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6151A7"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96 (45.6%)</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66123"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5 (2.4%)</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49640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46 (21.8%)</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8EC14D"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150 (71.1%)</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A6443"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62 (29.4%)</w:t>
            </w:r>
          </w:p>
        </w:tc>
      </w:tr>
      <w:tr w:rsidR="00E16C76" w14:paraId="551F4183"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1A7EB"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Macquarie University</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B3C247"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99</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310AD1"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13 (12.6%)</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8B27E"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&lt;5 (4%)</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458F3"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0 (0%)</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53F8F"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19 (19%)</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4569F"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29 (29.5%)</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BED67"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21 (21%)</w:t>
            </w:r>
          </w:p>
        </w:tc>
      </w:tr>
      <w:tr w:rsidR="00E16C76" w14:paraId="542C21E3"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1282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Monash University</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0EAA7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31</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ECE47"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8 (25.8%)</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2C7055"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8 (25.9%)</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DE2E25"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15 (48.4%)</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CFCF0"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5 (16.1%)</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03F3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21 (67.7%)</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59AB1"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10 (32.3%)</w:t>
            </w:r>
          </w:p>
        </w:tc>
      </w:tr>
      <w:tr w:rsidR="00E16C76" w14:paraId="0A256E2B"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CD409"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Murdoch University</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FF3D8E"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753</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E933B9"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253 (33.6%)</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721075"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47 (6.3%)</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EE2096"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112 (14.9%)</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4EA4B"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189 (25.1%)</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D03E1"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410 (54.4%)</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AB743"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241 (32%)</w:t>
            </w:r>
          </w:p>
        </w:tc>
      </w:tr>
      <w:tr w:rsidR="00E16C76" w14:paraId="14AB7DA1"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01F8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RMIT University</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5F81F"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40</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CB00D"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5 (12.5%)</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AC70D"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8 (20.1%)</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31FE1"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&lt;5 (10%)</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AD2C7"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&lt;5 (10%)</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5068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12 (30%)</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F8CBB3"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8 (20%)</w:t>
            </w:r>
          </w:p>
        </w:tc>
      </w:tr>
      <w:tr w:rsidR="00E16C76" w14:paraId="37641CBF"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FF36A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Southern Cross University</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12C45"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956</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6C06FF"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283 (29.6%)</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55136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462 (48.3%)</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5CA5B"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71 (7.4%)</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C0D588"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95 (9.9%)</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C9F6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592 (61.9%)</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BA922"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238 (24.9%)</w:t>
            </w:r>
          </w:p>
        </w:tc>
      </w:tr>
      <w:tr w:rsidR="00E16C76" w14:paraId="446F704B"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FA95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The University of Adelaide</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09817"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98</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7A59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36 (37.1%)</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F94A3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11 (11.1%)</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19D50"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10 (10.3%)</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1CE4C5"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29 (29.9%)</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14A2F"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59 (59.8%)</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07C72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25 (25.8%)</w:t>
            </w:r>
          </w:p>
        </w:tc>
      </w:tr>
      <w:tr w:rsidR="00E16C76" w14:paraId="6DD0461B"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3BA47"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The University of Melbourne</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DDEC8"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51</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85FD9"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0 (0%)</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1D35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&lt;5 (7.8%)</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764DDB"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&lt;5 (7.8%)</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5B7CE"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13 (25.5%)</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92D3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15 (29.4%)</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910A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14 (27.4%)</w:t>
            </w:r>
          </w:p>
        </w:tc>
      </w:tr>
      <w:tr w:rsidR="00E16C76" w14:paraId="4DD4DAEA"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1E748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The University of New England</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9C05B"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466</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51DF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192 (41.2%)</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5AEAA3"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282 (60.4%)</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E8569E"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110 (23.7%)</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4FB85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124 (26.5%)</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01D1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368 (78.9%)</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84D9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188 (40.3%)</w:t>
            </w:r>
          </w:p>
        </w:tc>
      </w:tr>
      <w:tr w:rsidR="00E16C76" w14:paraId="7ADB44E5"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DF2D08"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lastRenderedPageBreak/>
              <w:t>The University of Newcastle</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CF720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3555</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68CED"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1154 (32.5%)</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928C8"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705 (19.8%)</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E527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312 (8.8%)</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EF9A5"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987 (27.8%)</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C1B4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2092 (58.9%)</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2FB26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1263 (35.5%)</w:t>
            </w:r>
          </w:p>
        </w:tc>
      </w:tr>
      <w:tr w:rsidR="00E16C76" w14:paraId="6C260503"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F0998"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The University of Notre Dame Australia</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4FD520"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420</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FFC5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68 (16.2%)</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70C65D"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30 (7.2%)</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6A412"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10 (2.4%)</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1088E"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52 (12.4%)</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31E40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139 (33.1%)</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60CCD"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131 (31.2%)</w:t>
            </w:r>
          </w:p>
        </w:tc>
      </w:tr>
      <w:tr w:rsidR="00E16C76" w14:paraId="3883AE62"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B3DB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The University of Queensland</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ACE60"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130</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C0442"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15 (11.7%)</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6C011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8 (6.2%)</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7384A8"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12 (9.4%)</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51A0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29 (22.7%)</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B4D8E1"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50 (38.3%)</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13B7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36 (27.3%)</w:t>
            </w:r>
          </w:p>
        </w:tc>
      </w:tr>
      <w:tr w:rsidR="00E16C76" w14:paraId="52B594EB"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5B121"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The University of Western Australia</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91C6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54</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4487B"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24 (44.4%)</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D6A3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36 (66.7%)</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12137"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35 (64.8%)</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41546"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17 (31.5%)</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0CD30"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53 (98.2%)</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C6B1B"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11 (20.4%)</w:t>
            </w:r>
          </w:p>
        </w:tc>
      </w:tr>
      <w:tr w:rsidR="00E16C76" w14:paraId="29581EE5"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ED85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University of Canberra</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5F04D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338</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A31AF"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18 (5.3%)</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0BE2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55 (16.3%)</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C6F49"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22 (6.5%)</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F5FA12"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29 (8.6%)</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874101"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90 (26.6%)</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5B39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129 (38.2%)</w:t>
            </w:r>
          </w:p>
        </w:tc>
      </w:tr>
      <w:tr w:rsidR="00E16C76" w14:paraId="2C521601"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A60C03"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University of New South Wales</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279A3E"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229</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551D7B"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38 (16.7%)</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8D32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17 (7.3%)</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A1082"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26 (11.4%)</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4816AE"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54 (23.8%)</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AE7AE"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101 (44%)</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6C938"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43 (18.9%)</w:t>
            </w:r>
          </w:p>
        </w:tc>
      </w:tr>
      <w:tr w:rsidR="00E16C76" w14:paraId="70B767F3"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2E1B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University of South Australia</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A93B5"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671</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15940"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345 (51.5%)</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9C591"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136 (20.3%)</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D12EE"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75 (11.2%)</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FC2AB3"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217 (32.4%)</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EE0A2"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473 (70.4%)</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C64E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246 (36.7%)</w:t>
            </w:r>
          </w:p>
        </w:tc>
      </w:tr>
      <w:tr w:rsidR="00E16C76" w14:paraId="531DC2A3"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BCF69"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University of Southern Queensland</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F0CBF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1668</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CE380D"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782 (46.9%)</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8F25D"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883 (52.9%)</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690A2"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164 (9.8%)</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77AB2"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144 (8.6%)</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AAFBE"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1271 (76.2%)</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4E4E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365 (21.9%)</w:t>
            </w:r>
          </w:p>
        </w:tc>
      </w:tr>
      <w:tr w:rsidR="00E16C76" w14:paraId="414F5A4A"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C0CFD1"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University of Tasmania</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14E47"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283</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4F35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131 (46.5%)</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7A8F8"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243 (85.9%)</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A0890"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33 (11.7%)</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74750"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67 (23.8%)</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57C172"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253 (89.4%)</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5162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97 (34.4%)</w:t>
            </w:r>
          </w:p>
        </w:tc>
      </w:tr>
      <w:tr w:rsidR="00E16C76" w14:paraId="216A4BC1"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7A26D"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University of Technology Sydney</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EE566"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11</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33D91"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&lt;5 (36.4%)</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DB068"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&lt;5 (36.4%)</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55042"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11 (100%)</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C4E2F3"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&lt;5 (36.4%)</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433833"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11 (100%)</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FF803"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&lt;5 (36.4%)</w:t>
            </w:r>
          </w:p>
        </w:tc>
      </w:tr>
      <w:tr w:rsidR="00E16C76" w14:paraId="0F85D6FD"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E8FB97"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University of Wollongong</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8867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148</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BE01F"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36 (24.5%)</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1CB05"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49 (33.2%)</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865CC6"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15 (10.2%)</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20F96"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29 (19.7%)</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CF0D7"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88 (59.2%)</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051FB"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33 (22.4%)</w:t>
            </w:r>
          </w:p>
        </w:tc>
      </w:tr>
      <w:tr w:rsidR="00E16C76" w14:paraId="093F40E3"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95625B"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University of the Sunshine Coast</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EB0A9C"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1113</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02DC70"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364 (32.7%)</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CF7F6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290 (26.1%)</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6FCD6"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75 (6.7%)</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E91F6"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230 (20.7%)</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A23347"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625 (56.1%)</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60B61"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483 (43.4%)</w:t>
            </w:r>
          </w:p>
        </w:tc>
      </w:tr>
      <w:tr w:rsidR="00E16C76" w14:paraId="5D5DF57C" w14:textId="77777777">
        <w:trPr>
          <w:jc w:val="center"/>
        </w:trPr>
        <w:tc>
          <w:tcPr>
            <w:tcW w:w="35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9043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Victoria University</w:t>
            </w:r>
          </w:p>
        </w:tc>
        <w:tc>
          <w:tcPr>
            <w:tcW w:w="13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4150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152</w:t>
            </w:r>
          </w:p>
        </w:tc>
        <w:tc>
          <w:tcPr>
            <w:tcW w:w="18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6FC2B"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35 (23%)</w:t>
            </w:r>
          </w:p>
        </w:tc>
        <w:tc>
          <w:tcPr>
            <w:tcW w:w="187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4BC8F"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11 (7.2%)</w:t>
            </w:r>
          </w:p>
        </w:tc>
        <w:tc>
          <w:tcPr>
            <w:tcW w:w="147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B2A9F7"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&lt;5 (2.6%)</w:t>
            </w:r>
          </w:p>
        </w:tc>
        <w:tc>
          <w:tcPr>
            <w:tcW w:w="15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F57C5"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10 (6.6%)</w:t>
            </w:r>
          </w:p>
        </w:tc>
        <w:tc>
          <w:tcPr>
            <w:tcW w:w="19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7284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49 (32.2%)</w:t>
            </w:r>
          </w:p>
        </w:tc>
        <w:tc>
          <w:tcPr>
            <w:tcW w:w="15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06A62"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64 (42.1%)</w:t>
            </w:r>
          </w:p>
        </w:tc>
      </w:tr>
      <w:tr w:rsidR="00E16C76" w14:paraId="4CDEFBB5" w14:textId="77777777">
        <w:trPr>
          <w:jc w:val="center"/>
        </w:trPr>
        <w:tc>
          <w:tcPr>
            <w:tcW w:w="353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89F859D"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18"/>
                <w:szCs w:val="18"/>
              </w:rPr>
            </w:pPr>
            <w:r>
              <w:rPr>
                <w:rFonts w:ascii="Arial" w:eastAsia="Arial" w:hAnsi="Arial" w:cs="Arial"/>
                <w:color w:val="000000"/>
                <w:sz w:val="18"/>
                <w:szCs w:val="18"/>
              </w:rPr>
              <w:t>Western Sydney University</w:t>
            </w:r>
          </w:p>
        </w:tc>
        <w:tc>
          <w:tcPr>
            <w:tcW w:w="133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D5C3A3"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925</w:t>
            </w:r>
          </w:p>
        </w:tc>
        <w:tc>
          <w:tcPr>
            <w:tcW w:w="185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5BEF166"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226 (24.5%)</w:t>
            </w:r>
          </w:p>
        </w:tc>
        <w:tc>
          <w:tcPr>
            <w:tcW w:w="1879"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93F9DD6"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41 (4.5%)</w:t>
            </w:r>
          </w:p>
        </w:tc>
        <w:tc>
          <w:tcPr>
            <w:tcW w:w="1477"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896F507"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28 (3%)</w:t>
            </w:r>
          </w:p>
        </w:tc>
        <w:tc>
          <w:tcPr>
            <w:tcW w:w="155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2430906"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87 (9.4%)</w:t>
            </w:r>
          </w:p>
        </w:tc>
        <w:tc>
          <w:tcPr>
            <w:tcW w:w="195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0BE123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326 (35.3%)</w:t>
            </w:r>
          </w:p>
        </w:tc>
        <w:tc>
          <w:tcPr>
            <w:tcW w:w="159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6CD4BBA"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18"/>
                <w:szCs w:val="18"/>
              </w:rPr>
            </w:pPr>
            <w:r>
              <w:rPr>
                <w:rFonts w:ascii="Arial" w:eastAsia="Arial" w:hAnsi="Arial" w:cs="Arial"/>
                <w:color w:val="000000"/>
                <w:sz w:val="18"/>
                <w:szCs w:val="18"/>
              </w:rPr>
              <w:t>378 (40.9%)</w:t>
            </w:r>
          </w:p>
        </w:tc>
      </w:tr>
    </w:tbl>
    <w:p w14:paraId="216B2021" w14:textId="77777777" w:rsidR="00E16C76" w:rsidRDefault="00CF5F20">
      <w:r>
        <w:br w:type="page"/>
      </w:r>
    </w:p>
    <w:p w14:paraId="25BC4F82" w14:textId="77777777" w:rsidR="00E16C76" w:rsidRPr="00C8732A" w:rsidRDefault="00CF5F20">
      <w:pPr>
        <w:pStyle w:val="Heading2"/>
      </w:pPr>
      <w:bookmarkStart w:id="21" w:name="X179cf6c61bc690460630b796768e9739b971781"/>
      <w:bookmarkEnd w:id="20"/>
      <w:r w:rsidRPr="00C8732A">
        <w:lastRenderedPageBreak/>
        <w:t>Retention rates in undergraduate study in 2022 for students who entered university via enabling programs</w:t>
      </w:r>
    </w:p>
    <w:p w14:paraId="487C068A" w14:textId="77777777" w:rsidR="004B3BD7" w:rsidRPr="004B3BD7" w:rsidRDefault="004B3BD7" w:rsidP="004B3BD7">
      <w:pPr>
        <w:pStyle w:val="BodyText"/>
      </w:pPr>
    </w:p>
    <w:p w14:paraId="4442E693" w14:textId="77777777" w:rsidR="00E16C76" w:rsidRPr="00AF4E85" w:rsidRDefault="00CF5F20">
      <w:pPr>
        <w:pStyle w:val="ImageCaption"/>
      </w:pPr>
      <w:r w:rsidRPr="00AF4E85">
        <w:rPr>
          <w:bCs/>
        </w:rPr>
        <w:t xml:space="preserve">Figure </w:t>
      </w:r>
      <w:bookmarkStart w:id="22" w:name="unnamed-chunk-25"/>
      <w:r w:rsidRPr="00AF4E85">
        <w:rPr>
          <w:bCs/>
        </w:rPr>
        <w:fldChar w:fldCharType="begin"/>
      </w:r>
      <w:r w:rsidRPr="00AF4E85">
        <w:rPr>
          <w:bCs/>
        </w:rPr>
        <w:instrText>SEQ fig \* Arabic</w:instrText>
      </w:r>
      <w:r w:rsidRPr="00AF4E85">
        <w:rPr>
          <w:bCs/>
        </w:rPr>
        <w:fldChar w:fldCharType="separate"/>
      </w:r>
      <w:r w:rsidR="007F1DD8" w:rsidRPr="00AF4E85">
        <w:rPr>
          <w:bCs/>
          <w:noProof/>
        </w:rPr>
        <w:t>8</w:t>
      </w:r>
      <w:r w:rsidRPr="00AF4E85">
        <w:rPr>
          <w:bCs/>
        </w:rPr>
        <w:fldChar w:fldCharType="end"/>
      </w:r>
      <w:bookmarkEnd w:id="22"/>
      <w:r w:rsidRPr="00AF4E85">
        <w:rPr>
          <w:bCs/>
        </w:rPr>
        <w:t>:</w:t>
      </w:r>
      <w:r w:rsidRPr="00AF4E85">
        <w:rPr>
          <w:b/>
        </w:rPr>
        <w:t xml:space="preserve"> </w:t>
      </w:r>
      <w:r w:rsidRPr="00AF4E85">
        <w:t>Retention rates of domestic undergraduate students admitted to university through enabling programs in 2022 (who returned to study in 2023). Each dot represents a Table A institution with enrolments from enabling program pathway students in 2022.</w:t>
      </w:r>
    </w:p>
    <w:p w14:paraId="38268A19" w14:textId="1153975F" w:rsidR="00E16C76" w:rsidRDefault="00CF5F20" w:rsidP="00EF6703">
      <w:pPr>
        <w:pStyle w:val="Figure"/>
      </w:pPr>
      <w:r>
        <w:rPr>
          <w:noProof/>
        </w:rPr>
        <w:drawing>
          <wp:inline distT="0" distB="0" distL="0" distR="0" wp14:anchorId="53149EE2" wp14:editId="5B9FDC4D">
            <wp:extent cx="8229600" cy="4571999"/>
            <wp:effectExtent l="0" t="0" r="0" b="635"/>
            <wp:docPr id="15" name="Picture 15" descr="The figure is a jitter plot showing the distribution of undergraduate retention rates in 2022 for domestic students who entered university through enabling programs and returned to study in 2023. The x‑axis displays equity groups as separate vertical columns, and the y‑axis shows retention rates. Each dot represents a Table A institution, with horizontal jitter used to show the spread of institutions within each equity group.  Retention rates vary substantially across institutions for all equity groups. First Nations Australian students and students from regional and remote areas show the widest spread of outcomes. The distribution indicates considerable institutional variation in retention for enabling program pathway students, particularly among equity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e figure is a jitter plot showing the distribution of undergraduate retention rates in 2022 for domestic students who entered university through enabling programs and returned to study in 2023. The x‑axis displays equity groups as separate vertical columns, and the y‑axis shows retention rates. Each dot represents a Table A institution, with horizontal jitter used to show the spread of institutions within each equity group.  Retention rates vary substantially across institutions for all equity groups. First Nations Australian students and students from regional and remote areas show the widest spread of outcomes. The distribution indicates considerable institutional variation in retention for enabling program pathway students, particularly among equity groups."/>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398CA14C" w14:textId="77777777" w:rsidR="00E16C76" w:rsidRDefault="00CF5F20">
      <w:pPr>
        <w:pStyle w:val="Heading2"/>
        <w:rPr>
          <w:sz w:val="40"/>
          <w:szCs w:val="40"/>
        </w:rPr>
      </w:pPr>
      <w:bookmarkStart w:id="23" w:name="X8c433c041cf76d68504e6c380fc11a027ad95b1"/>
      <w:bookmarkEnd w:id="21"/>
      <w:r w:rsidRPr="005B67B6">
        <w:rPr>
          <w:sz w:val="40"/>
          <w:szCs w:val="40"/>
        </w:rPr>
        <w:lastRenderedPageBreak/>
        <w:t>Undergraduate retention rates of all equity students from enabling program pathways in 2022</w:t>
      </w:r>
    </w:p>
    <w:p w14:paraId="3DE64C87" w14:textId="77777777" w:rsidR="005B67B6" w:rsidRPr="005B67B6" w:rsidRDefault="005B67B6" w:rsidP="005B67B6">
      <w:pPr>
        <w:pStyle w:val="BodyText"/>
      </w:pPr>
    </w:p>
    <w:p w14:paraId="6314ADA2" w14:textId="5423BF6A" w:rsidR="00E16C76" w:rsidRPr="00AF4E85" w:rsidRDefault="00CF5F20">
      <w:pPr>
        <w:pStyle w:val="ImageCaption"/>
      </w:pPr>
      <w:r w:rsidRPr="00AF4E85">
        <w:rPr>
          <w:bCs/>
        </w:rPr>
        <w:t xml:space="preserve">Figure </w:t>
      </w:r>
      <w:bookmarkStart w:id="24" w:name="unnamed-chunk-26"/>
      <w:r w:rsidRPr="00AF4E85">
        <w:rPr>
          <w:bCs/>
        </w:rPr>
        <w:fldChar w:fldCharType="begin"/>
      </w:r>
      <w:r w:rsidRPr="00AF4E85">
        <w:rPr>
          <w:bCs/>
        </w:rPr>
        <w:instrText>SEQ fig \* Arabic</w:instrText>
      </w:r>
      <w:r w:rsidRPr="00AF4E85">
        <w:rPr>
          <w:bCs/>
        </w:rPr>
        <w:fldChar w:fldCharType="separate"/>
      </w:r>
      <w:r w:rsidR="007F1DD8" w:rsidRPr="00AF4E85">
        <w:rPr>
          <w:bCs/>
          <w:noProof/>
        </w:rPr>
        <w:t>9</w:t>
      </w:r>
      <w:r w:rsidRPr="00AF4E85">
        <w:rPr>
          <w:bCs/>
        </w:rPr>
        <w:fldChar w:fldCharType="end"/>
      </w:r>
      <w:bookmarkEnd w:id="24"/>
      <w:r w:rsidRPr="00AF4E85">
        <w:rPr>
          <w:bCs/>
        </w:rPr>
        <w:t>:</w:t>
      </w:r>
      <w:r w:rsidRPr="00AF4E85">
        <w:rPr>
          <w:b/>
        </w:rPr>
        <w:t xml:space="preserve"> </w:t>
      </w:r>
      <w:r w:rsidRPr="00AF4E85">
        <w:t xml:space="preserve">Undergraduate retention rates of enabling program pathway equity students in 2022 </w:t>
      </w:r>
      <w:r w:rsidR="00824A60" w:rsidRPr="00AF4E85">
        <w:t>(</w:t>
      </w:r>
      <w:r w:rsidRPr="00AF4E85">
        <w:t xml:space="preserve">who returned </w:t>
      </w:r>
      <w:r w:rsidR="00824A60" w:rsidRPr="00AF4E85">
        <w:t xml:space="preserve">to study </w:t>
      </w:r>
      <w:r w:rsidRPr="00AF4E85">
        <w:t>in 2023</w:t>
      </w:r>
      <w:r w:rsidR="00824A60" w:rsidRPr="00AF4E85">
        <w:t>)</w:t>
      </w:r>
    </w:p>
    <w:p w14:paraId="2B561591" w14:textId="77777777" w:rsidR="00E16C76" w:rsidRDefault="00CF5F20">
      <w:pPr>
        <w:pStyle w:val="Figure"/>
      </w:pPr>
      <w:r>
        <w:rPr>
          <w:noProof/>
        </w:rPr>
        <w:drawing>
          <wp:inline distT="0" distB="0" distL="0" distR="0" wp14:anchorId="3F82BFB9" wp14:editId="7286A934">
            <wp:extent cx="8229600" cy="4571999"/>
            <wp:effectExtent l="0" t="0" r="0" b="635"/>
            <wp:docPr id="17" name="Picture 17" descr="This figure is a bar chart showing retention rates of enabling program pathway students in 2022 who returned in 2023 for all equity students across Australian universities. The x‑axis lists institutions, ordered from highest to lowest retention rate, and the y‑axis shows retention rate as a percentage. Each bar represents one institution and is coloured by institutional grou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is figure is a bar chart showing retention rates of enabling program pathway students in 2022 who returned in 2023 for all equity students across Australian universities. The x‑axis lists institutions, ordered from highest to lowest retention rate, and the y‑axis shows retention rate as a percentage. Each bar represents one institution and is coloured by institutional groupin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20861CDE" w14:textId="77777777" w:rsidR="00E16C76" w:rsidRDefault="00CF5F20">
      <w:r>
        <w:br w:type="page"/>
      </w:r>
    </w:p>
    <w:p w14:paraId="540E252C" w14:textId="77777777" w:rsidR="00E16C76" w:rsidRDefault="00CF5F20">
      <w:pPr>
        <w:pStyle w:val="Heading2"/>
        <w:rPr>
          <w:sz w:val="40"/>
          <w:szCs w:val="40"/>
        </w:rPr>
      </w:pPr>
      <w:bookmarkStart w:id="25" w:name="X29f8b4f859298d771595f0474ca9a5d278f325c"/>
      <w:bookmarkEnd w:id="23"/>
      <w:r w:rsidRPr="00BD6D4D">
        <w:rPr>
          <w:sz w:val="40"/>
          <w:szCs w:val="40"/>
        </w:rPr>
        <w:lastRenderedPageBreak/>
        <w:t>Undergraduate retention rates of enabling program pathway students from low SES areas in 2022</w:t>
      </w:r>
    </w:p>
    <w:p w14:paraId="12E8B0F0" w14:textId="77777777" w:rsidR="00BD6D4D" w:rsidRPr="00BD6D4D" w:rsidRDefault="00BD6D4D" w:rsidP="00BD6D4D">
      <w:pPr>
        <w:pStyle w:val="BodyText"/>
      </w:pPr>
    </w:p>
    <w:p w14:paraId="3DB4EF7D" w14:textId="7A731C1F" w:rsidR="00E16C76" w:rsidRPr="00AF4E85" w:rsidRDefault="00CF5F20">
      <w:pPr>
        <w:pStyle w:val="ImageCaption"/>
      </w:pPr>
      <w:r w:rsidRPr="00AF4E85">
        <w:rPr>
          <w:bCs/>
        </w:rPr>
        <w:t xml:space="preserve">Figure </w:t>
      </w:r>
      <w:bookmarkStart w:id="26" w:name="unnamed-chunk-27"/>
      <w:r w:rsidRPr="00AF4E85">
        <w:rPr>
          <w:bCs/>
        </w:rPr>
        <w:fldChar w:fldCharType="begin"/>
      </w:r>
      <w:r w:rsidRPr="00AF4E85">
        <w:rPr>
          <w:bCs/>
        </w:rPr>
        <w:instrText>SEQ fig \* Arabic</w:instrText>
      </w:r>
      <w:r w:rsidRPr="00AF4E85">
        <w:rPr>
          <w:bCs/>
        </w:rPr>
        <w:fldChar w:fldCharType="separate"/>
      </w:r>
      <w:r w:rsidR="007F1DD8" w:rsidRPr="00AF4E85">
        <w:rPr>
          <w:bCs/>
          <w:noProof/>
        </w:rPr>
        <w:t>10</w:t>
      </w:r>
      <w:r w:rsidRPr="00AF4E85">
        <w:rPr>
          <w:bCs/>
        </w:rPr>
        <w:fldChar w:fldCharType="end"/>
      </w:r>
      <w:bookmarkEnd w:id="26"/>
      <w:r w:rsidRPr="00AF4E85">
        <w:rPr>
          <w:bCs/>
        </w:rPr>
        <w:t>:</w:t>
      </w:r>
      <w:r w:rsidRPr="00AF4E85">
        <w:rPr>
          <w:b/>
        </w:rPr>
        <w:t xml:space="preserve"> </w:t>
      </w:r>
      <w:r w:rsidRPr="00AF4E85">
        <w:t xml:space="preserve">Undergraduate retention rates of enabling program pathway students from low SES areas in 2022 </w:t>
      </w:r>
      <w:r w:rsidR="000F7276" w:rsidRPr="00AF4E85">
        <w:t>(</w:t>
      </w:r>
      <w:r w:rsidRPr="00AF4E85">
        <w:t xml:space="preserve">who returned </w:t>
      </w:r>
      <w:r w:rsidR="000F7276" w:rsidRPr="00AF4E85">
        <w:t xml:space="preserve">to study </w:t>
      </w:r>
      <w:r w:rsidRPr="00AF4E85">
        <w:t>in 2023</w:t>
      </w:r>
      <w:r w:rsidR="000F7276" w:rsidRPr="00AF4E85">
        <w:t>)</w:t>
      </w:r>
    </w:p>
    <w:p w14:paraId="7B395310" w14:textId="60B4AAF4" w:rsidR="00E16C76" w:rsidRDefault="00CF5F20" w:rsidP="00FE152A">
      <w:pPr>
        <w:pStyle w:val="Figure"/>
      </w:pPr>
      <w:r>
        <w:rPr>
          <w:noProof/>
        </w:rPr>
        <w:drawing>
          <wp:inline distT="0" distB="0" distL="0" distR="0" wp14:anchorId="658AED8B" wp14:editId="5EEAD8A9">
            <wp:extent cx="8229600" cy="4571999"/>
            <wp:effectExtent l="0" t="0" r="0" b="635"/>
            <wp:docPr id="19" name="Picture 19" descr="This figure is a bar chart showing retention rates of enabling program pathway students from low SES areas in 2022 who returned in 2023 across Australian universities. The x‑axis lists institutions, ordered from highest to lowest retention rate, and the y‑axis shows retention rate as a percentage. Each bar represents one institution and is coloured by institutional grou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his figure is a bar chart showing retention rates of enabling program pathway students from low SES areas in 2022 who returned in 2023 across Australian universities. The x‑axis lists institutions, ordered from highest to lowest retention rate, and the y‑axis shows retention rate as a percentage. Each bar represents one institution and is coloured by institutional groupin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613473FD" w14:textId="2D0AD091" w:rsidR="00E16C76" w:rsidRDefault="00CF5F20">
      <w:pPr>
        <w:pStyle w:val="Heading2"/>
        <w:rPr>
          <w:sz w:val="40"/>
          <w:szCs w:val="40"/>
        </w:rPr>
      </w:pPr>
      <w:bookmarkStart w:id="27" w:name="Xd75649fb56afae16c8963d256bbb6200172b0bb"/>
      <w:bookmarkEnd w:id="25"/>
      <w:r w:rsidRPr="00C65281">
        <w:rPr>
          <w:sz w:val="40"/>
          <w:szCs w:val="40"/>
        </w:rPr>
        <w:lastRenderedPageBreak/>
        <w:t>Undergraduate retention rates of enabling program pathway students from regional</w:t>
      </w:r>
      <w:r w:rsidR="00E8340A">
        <w:rPr>
          <w:sz w:val="40"/>
          <w:szCs w:val="40"/>
        </w:rPr>
        <w:t xml:space="preserve"> and </w:t>
      </w:r>
      <w:r w:rsidRPr="00C65281">
        <w:rPr>
          <w:sz w:val="40"/>
          <w:szCs w:val="40"/>
        </w:rPr>
        <w:t>remote areas in 2022</w:t>
      </w:r>
    </w:p>
    <w:p w14:paraId="45091ED9" w14:textId="77777777" w:rsidR="00C65281" w:rsidRPr="00C65281" w:rsidRDefault="00C65281" w:rsidP="00C65281">
      <w:pPr>
        <w:pStyle w:val="BodyText"/>
      </w:pPr>
    </w:p>
    <w:p w14:paraId="34528F65" w14:textId="1BF17F03" w:rsidR="00E16C76" w:rsidRPr="00AF4E85" w:rsidRDefault="00CF5F20">
      <w:pPr>
        <w:pStyle w:val="ImageCaption"/>
      </w:pPr>
      <w:r w:rsidRPr="00AF4E85">
        <w:rPr>
          <w:bCs/>
        </w:rPr>
        <w:t xml:space="preserve">Figure </w:t>
      </w:r>
      <w:bookmarkStart w:id="28" w:name="unnamed-chunk-28"/>
      <w:r w:rsidRPr="00AF4E85">
        <w:rPr>
          <w:bCs/>
        </w:rPr>
        <w:fldChar w:fldCharType="begin"/>
      </w:r>
      <w:r w:rsidRPr="00AF4E85">
        <w:rPr>
          <w:bCs/>
        </w:rPr>
        <w:instrText>SEQ fig \* Arabic</w:instrText>
      </w:r>
      <w:r w:rsidRPr="00AF4E85">
        <w:rPr>
          <w:bCs/>
        </w:rPr>
        <w:fldChar w:fldCharType="separate"/>
      </w:r>
      <w:r w:rsidR="007F1DD8" w:rsidRPr="00AF4E85">
        <w:rPr>
          <w:bCs/>
          <w:noProof/>
        </w:rPr>
        <w:t>11</w:t>
      </w:r>
      <w:r w:rsidRPr="00AF4E85">
        <w:rPr>
          <w:bCs/>
        </w:rPr>
        <w:fldChar w:fldCharType="end"/>
      </w:r>
      <w:bookmarkEnd w:id="28"/>
      <w:r w:rsidRPr="00AF4E85">
        <w:rPr>
          <w:bCs/>
        </w:rPr>
        <w:t>:</w:t>
      </w:r>
      <w:r w:rsidRPr="00AF4E85">
        <w:rPr>
          <w:b/>
        </w:rPr>
        <w:t xml:space="preserve"> </w:t>
      </w:r>
      <w:r w:rsidRPr="00AF4E85">
        <w:t xml:space="preserve">Undergraduate retention rates of enabling program pathway regional/remote students in 2022 </w:t>
      </w:r>
      <w:r w:rsidR="00121EE3" w:rsidRPr="00AF4E85">
        <w:t>(</w:t>
      </w:r>
      <w:r w:rsidRPr="00AF4E85">
        <w:t xml:space="preserve">who returned </w:t>
      </w:r>
      <w:r w:rsidR="00121EE3" w:rsidRPr="00AF4E85">
        <w:t xml:space="preserve">to study </w:t>
      </w:r>
      <w:r w:rsidRPr="00AF4E85">
        <w:t>in 2023</w:t>
      </w:r>
      <w:r w:rsidR="00121EE3" w:rsidRPr="00AF4E85">
        <w:t>)</w:t>
      </w:r>
    </w:p>
    <w:p w14:paraId="5560E2D8" w14:textId="635A55B6" w:rsidR="00E16C76" w:rsidRDefault="00CF5F20" w:rsidP="00FE152A">
      <w:pPr>
        <w:pStyle w:val="Figure"/>
      </w:pPr>
      <w:r>
        <w:rPr>
          <w:noProof/>
        </w:rPr>
        <w:drawing>
          <wp:inline distT="0" distB="0" distL="0" distR="0" wp14:anchorId="19B7808C" wp14:editId="658CA034">
            <wp:extent cx="8229600" cy="4571999"/>
            <wp:effectExtent l="0" t="0" r="0" b="635"/>
            <wp:docPr id="21" name="Picture 21" descr="This figure is a bar chart showing retention rates of enabling program pathway students from regional or remote areas in 2022 who returned in 2023 across Australian universities. The x‑axis lists institutions, ordered from highest to lowest retention rate, and the y‑axis shows retention rate as a percentage. Each bar represents one institution and is coloured by institutional grou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his figure is a bar chart showing retention rates of enabling program pathway students from regional or remote areas in 2022 who returned in 2023 across Australian universities. The x‑axis lists institutions, ordered from highest to lowest retention rate, and the y‑axis shows retention rate as a percentage. Each bar represents one institution and is coloured by institutional grouping."/>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00EB5DED" w14:textId="77777777" w:rsidR="00E16C76" w:rsidRDefault="00CF5F20">
      <w:pPr>
        <w:pStyle w:val="Heading2"/>
        <w:rPr>
          <w:sz w:val="40"/>
          <w:szCs w:val="40"/>
        </w:rPr>
      </w:pPr>
      <w:bookmarkStart w:id="29" w:name="X40f7c3abdfc1eb4ce590df97eb610c52742bb12"/>
      <w:bookmarkEnd w:id="27"/>
      <w:r w:rsidRPr="00D07C59">
        <w:rPr>
          <w:sz w:val="40"/>
          <w:szCs w:val="40"/>
        </w:rPr>
        <w:lastRenderedPageBreak/>
        <w:t>Undergraduate retention rates of enabling program pathway First Nations Australians students in 2022</w:t>
      </w:r>
    </w:p>
    <w:p w14:paraId="2BD2CC85" w14:textId="77777777" w:rsidR="00D07C59" w:rsidRPr="00D07C59" w:rsidRDefault="00D07C59" w:rsidP="00D07C59">
      <w:pPr>
        <w:pStyle w:val="BodyText"/>
      </w:pPr>
    </w:p>
    <w:p w14:paraId="607EFE53" w14:textId="1AA25C86" w:rsidR="00E16C76" w:rsidRPr="00AF4E85" w:rsidRDefault="00CF5F20">
      <w:pPr>
        <w:pStyle w:val="ImageCaption"/>
      </w:pPr>
      <w:r w:rsidRPr="00AF4E85">
        <w:rPr>
          <w:bCs/>
        </w:rPr>
        <w:t xml:space="preserve">Figure </w:t>
      </w:r>
      <w:bookmarkStart w:id="30" w:name="unnamed-chunk-29"/>
      <w:r w:rsidRPr="00AF4E85">
        <w:rPr>
          <w:bCs/>
        </w:rPr>
        <w:fldChar w:fldCharType="begin"/>
      </w:r>
      <w:r w:rsidRPr="00AF4E85">
        <w:rPr>
          <w:bCs/>
        </w:rPr>
        <w:instrText>SEQ fig \* Arabic</w:instrText>
      </w:r>
      <w:r w:rsidRPr="00AF4E85">
        <w:rPr>
          <w:bCs/>
        </w:rPr>
        <w:fldChar w:fldCharType="separate"/>
      </w:r>
      <w:r w:rsidR="007F1DD8" w:rsidRPr="00AF4E85">
        <w:rPr>
          <w:bCs/>
          <w:noProof/>
        </w:rPr>
        <w:t>12</w:t>
      </w:r>
      <w:r w:rsidRPr="00AF4E85">
        <w:rPr>
          <w:bCs/>
        </w:rPr>
        <w:fldChar w:fldCharType="end"/>
      </w:r>
      <w:bookmarkEnd w:id="30"/>
      <w:r w:rsidRPr="00AF4E85">
        <w:rPr>
          <w:bCs/>
        </w:rPr>
        <w:t>:</w:t>
      </w:r>
      <w:r w:rsidRPr="00AF4E85">
        <w:rPr>
          <w:b/>
        </w:rPr>
        <w:t xml:space="preserve"> </w:t>
      </w:r>
      <w:r w:rsidRPr="00AF4E85">
        <w:t xml:space="preserve">Undergraduate retention rates of enabling program pathway First Nations Australians students in 2022 </w:t>
      </w:r>
      <w:r w:rsidR="009A61B5" w:rsidRPr="00AF4E85">
        <w:t>(</w:t>
      </w:r>
      <w:r w:rsidRPr="00AF4E85">
        <w:t xml:space="preserve">who returned </w:t>
      </w:r>
      <w:r w:rsidR="009A61B5" w:rsidRPr="00AF4E85">
        <w:t xml:space="preserve">to study </w:t>
      </w:r>
      <w:r w:rsidRPr="00AF4E85">
        <w:t>in 2023</w:t>
      </w:r>
      <w:r w:rsidR="009A61B5" w:rsidRPr="00AF4E85">
        <w:t>)</w:t>
      </w:r>
    </w:p>
    <w:p w14:paraId="3D652A09" w14:textId="7CF5E3EA" w:rsidR="00E16C76" w:rsidRDefault="00CF5F20" w:rsidP="00FE152A">
      <w:pPr>
        <w:pStyle w:val="Figure"/>
      </w:pPr>
      <w:r>
        <w:rPr>
          <w:noProof/>
        </w:rPr>
        <w:drawing>
          <wp:inline distT="0" distB="0" distL="0" distR="0" wp14:anchorId="22C2D3A3" wp14:editId="788A1D22">
            <wp:extent cx="8229600" cy="4571999"/>
            <wp:effectExtent l="0" t="0" r="0" b="635"/>
            <wp:docPr id="23" name="Picture 23" descr="This figure is a bar chart showing retention rates of enabling program pathway First Nations Australian students in 2022 who returned in 2023 across Australian universities. The x‑axis lists institutions, ordered from highest to lowest retention rate, and the y‑axis shows retention rate as a percentage. Each bar represents one institution and is coloured by institutional grou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his figure is a bar chart showing retention rates of enabling program pathway First Nations Australian students in 2022 who returned in 2023 across Australian universities. The x‑axis lists institutions, ordered from highest to lowest retention rate, and the y‑axis shows retention rate as a percentage. Each bar represents one institution and is coloured by institutional grouping."/>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6D0A7C9A" w14:textId="77777777" w:rsidR="00E16C76" w:rsidRDefault="00CF5F20">
      <w:pPr>
        <w:pStyle w:val="Heading2"/>
        <w:rPr>
          <w:sz w:val="40"/>
          <w:szCs w:val="40"/>
        </w:rPr>
      </w:pPr>
      <w:bookmarkStart w:id="31" w:name="X3ca8b61520f1035aabce2f90faec8f34ee86e44"/>
      <w:bookmarkEnd w:id="29"/>
      <w:r w:rsidRPr="00D80708">
        <w:rPr>
          <w:sz w:val="40"/>
          <w:szCs w:val="40"/>
        </w:rPr>
        <w:lastRenderedPageBreak/>
        <w:t>Undergraduate retention rates of enabling program pathway students with disability in 2022</w:t>
      </w:r>
    </w:p>
    <w:p w14:paraId="3B67CA0C" w14:textId="77777777" w:rsidR="00D80708" w:rsidRPr="00D80708" w:rsidRDefault="00D80708" w:rsidP="00D80708">
      <w:pPr>
        <w:pStyle w:val="BodyText"/>
      </w:pPr>
    </w:p>
    <w:p w14:paraId="465B0EEA" w14:textId="61C450A0" w:rsidR="00E16C76" w:rsidRPr="00AF4E85" w:rsidRDefault="00CF5F20">
      <w:pPr>
        <w:pStyle w:val="ImageCaption"/>
      </w:pPr>
      <w:r w:rsidRPr="00AF4E85">
        <w:rPr>
          <w:bCs/>
        </w:rPr>
        <w:t xml:space="preserve">Figure </w:t>
      </w:r>
      <w:bookmarkStart w:id="32" w:name="unnamed-chunk-30"/>
      <w:r w:rsidRPr="00AF4E85">
        <w:rPr>
          <w:bCs/>
        </w:rPr>
        <w:fldChar w:fldCharType="begin"/>
      </w:r>
      <w:r w:rsidRPr="00AF4E85">
        <w:rPr>
          <w:bCs/>
        </w:rPr>
        <w:instrText>SEQ fig \* Arabic</w:instrText>
      </w:r>
      <w:r w:rsidRPr="00AF4E85">
        <w:rPr>
          <w:bCs/>
        </w:rPr>
        <w:fldChar w:fldCharType="separate"/>
      </w:r>
      <w:r w:rsidR="007F1DD8" w:rsidRPr="00AF4E85">
        <w:rPr>
          <w:bCs/>
          <w:noProof/>
        </w:rPr>
        <w:t>13</w:t>
      </w:r>
      <w:r w:rsidRPr="00AF4E85">
        <w:rPr>
          <w:bCs/>
        </w:rPr>
        <w:fldChar w:fldCharType="end"/>
      </w:r>
      <w:bookmarkEnd w:id="32"/>
      <w:r w:rsidRPr="00AF4E85">
        <w:rPr>
          <w:bCs/>
        </w:rPr>
        <w:t>:</w:t>
      </w:r>
      <w:r w:rsidRPr="00AF4E85">
        <w:rPr>
          <w:b/>
        </w:rPr>
        <w:t xml:space="preserve"> </w:t>
      </w:r>
      <w:r w:rsidRPr="00AF4E85">
        <w:t xml:space="preserve">Undergraduate retention rates of enabling program pathway students with disability in 2022 </w:t>
      </w:r>
      <w:r w:rsidR="008C2F34" w:rsidRPr="00AF4E85">
        <w:t>(</w:t>
      </w:r>
      <w:r w:rsidRPr="00AF4E85">
        <w:t xml:space="preserve">who returned </w:t>
      </w:r>
      <w:r w:rsidR="008C2F34" w:rsidRPr="00AF4E85">
        <w:t xml:space="preserve">to study </w:t>
      </w:r>
      <w:r w:rsidRPr="00AF4E85">
        <w:t>in 2023</w:t>
      </w:r>
      <w:r w:rsidR="008C2F34" w:rsidRPr="00AF4E85">
        <w:t>)</w:t>
      </w:r>
    </w:p>
    <w:p w14:paraId="013695BB" w14:textId="1D81E5FC" w:rsidR="00E16C76" w:rsidRDefault="00CF5F20" w:rsidP="00FE152A">
      <w:pPr>
        <w:pStyle w:val="Figure"/>
      </w:pPr>
      <w:r>
        <w:rPr>
          <w:noProof/>
        </w:rPr>
        <w:drawing>
          <wp:inline distT="0" distB="0" distL="0" distR="0" wp14:anchorId="0BE2B7C8" wp14:editId="29E4D022">
            <wp:extent cx="8229600" cy="4571999"/>
            <wp:effectExtent l="0" t="0" r="0" b="635"/>
            <wp:docPr id="25" name="Picture 25" descr="This figure is a bar chart showing retention rates of enabling program pathway students with disability in 2022 who returned in 2023 across Australian universities. The x‑axis lists institutions, ordered from highest to lowest retention rate, and the y‑axis shows retention rate as a percentage. Each bar represents one institution and is coloured by institutional grou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is figure is a bar chart showing retention rates of enabling program pathway students with disability in 2022 who returned in 2023 across Australian universities. The x‑axis lists institutions, ordered from highest to lowest retention rate, and the y‑axis shows retention rate as a percentage. Each bar represents one institution and is coloured by institutional grouping."/>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261AE799" w14:textId="55C036BB" w:rsidR="00E16C76" w:rsidRDefault="00CF5F20">
      <w:pPr>
        <w:pStyle w:val="Heading2"/>
        <w:rPr>
          <w:sz w:val="40"/>
          <w:szCs w:val="40"/>
        </w:rPr>
      </w:pPr>
      <w:bookmarkStart w:id="33" w:name="X2b82d05568fde53b2bd182d5fa2cabe94026424"/>
      <w:bookmarkEnd w:id="31"/>
      <w:r w:rsidRPr="00BB5C99">
        <w:rPr>
          <w:sz w:val="40"/>
          <w:szCs w:val="40"/>
        </w:rPr>
        <w:lastRenderedPageBreak/>
        <w:t>Undergraduate retention rates of enabling program pathway first</w:t>
      </w:r>
      <w:r w:rsidR="00AF32C1">
        <w:rPr>
          <w:sz w:val="40"/>
          <w:szCs w:val="40"/>
        </w:rPr>
        <w:t>-</w:t>
      </w:r>
      <w:r w:rsidRPr="00BB5C99">
        <w:rPr>
          <w:sz w:val="40"/>
          <w:szCs w:val="40"/>
        </w:rPr>
        <w:t>in</w:t>
      </w:r>
      <w:r w:rsidR="00AF32C1">
        <w:rPr>
          <w:sz w:val="40"/>
          <w:szCs w:val="40"/>
        </w:rPr>
        <w:t>-</w:t>
      </w:r>
      <w:r w:rsidRPr="00BB5C99">
        <w:rPr>
          <w:sz w:val="40"/>
          <w:szCs w:val="40"/>
        </w:rPr>
        <w:t>family students in 2022</w:t>
      </w:r>
    </w:p>
    <w:p w14:paraId="25FC879C" w14:textId="77777777" w:rsidR="00BB5C99" w:rsidRPr="00BB5C99" w:rsidRDefault="00BB5C99" w:rsidP="00BB5C99">
      <w:pPr>
        <w:pStyle w:val="BodyText"/>
      </w:pPr>
    </w:p>
    <w:p w14:paraId="7133A90E" w14:textId="05320EF6" w:rsidR="00E16C76" w:rsidRPr="00AF4E85" w:rsidRDefault="00CF5F20">
      <w:pPr>
        <w:pStyle w:val="ImageCaption"/>
      </w:pPr>
      <w:r w:rsidRPr="00AF4E85">
        <w:rPr>
          <w:bCs/>
        </w:rPr>
        <w:t xml:space="preserve">Figure </w:t>
      </w:r>
      <w:bookmarkStart w:id="34" w:name="unnamed-chunk-31"/>
      <w:r w:rsidRPr="00AF4E85">
        <w:rPr>
          <w:bCs/>
        </w:rPr>
        <w:fldChar w:fldCharType="begin"/>
      </w:r>
      <w:r w:rsidRPr="00AF4E85">
        <w:rPr>
          <w:bCs/>
        </w:rPr>
        <w:instrText>SEQ fig \* Arabic</w:instrText>
      </w:r>
      <w:r w:rsidRPr="00AF4E85">
        <w:rPr>
          <w:bCs/>
        </w:rPr>
        <w:fldChar w:fldCharType="separate"/>
      </w:r>
      <w:r w:rsidR="007F1DD8" w:rsidRPr="00AF4E85">
        <w:rPr>
          <w:bCs/>
          <w:noProof/>
        </w:rPr>
        <w:t>14</w:t>
      </w:r>
      <w:r w:rsidRPr="00AF4E85">
        <w:rPr>
          <w:bCs/>
        </w:rPr>
        <w:fldChar w:fldCharType="end"/>
      </w:r>
      <w:bookmarkEnd w:id="34"/>
      <w:r w:rsidRPr="00AF4E85">
        <w:rPr>
          <w:bCs/>
        </w:rPr>
        <w:t>:</w:t>
      </w:r>
      <w:r w:rsidRPr="00AF4E85">
        <w:rPr>
          <w:b/>
        </w:rPr>
        <w:t xml:space="preserve"> </w:t>
      </w:r>
      <w:r w:rsidRPr="00AF4E85">
        <w:t>Undergraduate retention rates of enabling program pathway first</w:t>
      </w:r>
      <w:r w:rsidR="00AF32C1" w:rsidRPr="00AF4E85">
        <w:t>-</w:t>
      </w:r>
      <w:r w:rsidRPr="00AF4E85">
        <w:t>in</w:t>
      </w:r>
      <w:r w:rsidR="00AF32C1" w:rsidRPr="00AF4E85">
        <w:t>-</w:t>
      </w:r>
      <w:r w:rsidRPr="00AF4E85">
        <w:t xml:space="preserve">family students in 2022 </w:t>
      </w:r>
      <w:r w:rsidR="00EC2EDC" w:rsidRPr="00AF4E85">
        <w:t>(</w:t>
      </w:r>
      <w:r w:rsidRPr="00AF4E85">
        <w:t xml:space="preserve">who returned </w:t>
      </w:r>
      <w:r w:rsidR="00EC2EDC" w:rsidRPr="00AF4E85">
        <w:t xml:space="preserve">to study </w:t>
      </w:r>
      <w:r w:rsidRPr="00AF4E85">
        <w:t>in 2023</w:t>
      </w:r>
      <w:r w:rsidR="00EC2EDC" w:rsidRPr="00AF4E85">
        <w:t>)</w:t>
      </w:r>
    </w:p>
    <w:p w14:paraId="4610E799" w14:textId="19A7C775" w:rsidR="00E16C76" w:rsidRDefault="00CF5F20" w:rsidP="00FE152A">
      <w:pPr>
        <w:pStyle w:val="Figure"/>
      </w:pPr>
      <w:r>
        <w:rPr>
          <w:noProof/>
        </w:rPr>
        <w:drawing>
          <wp:inline distT="0" distB="0" distL="0" distR="0" wp14:anchorId="0ED80DC9" wp14:editId="65AEA8AF">
            <wp:extent cx="8229600" cy="4571999"/>
            <wp:effectExtent l="0" t="0" r="0" b="635"/>
            <wp:docPr id="27" name="Picture 27" descr="This figure is a bar chart showing retention rates of enabling program pathway first-in-family students in 2022 who returned in 2023 across Australian universities. The x‑axis lists institutions, ordered from highest to lowest retention rate, and the y‑axis shows retention rate as a percentage. Each bar represents one institution and is coloured by institutional grou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his figure is a bar chart showing retention rates of enabling program pathway first-in-family students in 2022 who returned in 2023 across Australian universities. The x‑axis lists institutions, ordered from highest to lowest retention rate, and the y‑axis shows retention rate as a percentage. Each bar represents one institution and is coloured by institutional grouping."/>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1191BC64" w14:textId="77777777" w:rsidR="00E16C76" w:rsidRDefault="00CF5F20">
      <w:pPr>
        <w:pStyle w:val="Heading2"/>
        <w:rPr>
          <w:sz w:val="40"/>
          <w:szCs w:val="40"/>
        </w:rPr>
      </w:pPr>
      <w:bookmarkStart w:id="35" w:name="undergraduate-retention-rates-nationally"/>
      <w:bookmarkEnd w:id="33"/>
      <w:r w:rsidRPr="005F1E8F">
        <w:rPr>
          <w:sz w:val="40"/>
          <w:szCs w:val="40"/>
        </w:rPr>
        <w:lastRenderedPageBreak/>
        <w:t>Undergraduate retention rates nationally</w:t>
      </w:r>
    </w:p>
    <w:p w14:paraId="0C9FF34A" w14:textId="77777777" w:rsidR="005F1E8F" w:rsidRPr="005F1E8F" w:rsidRDefault="005F1E8F" w:rsidP="005F1E8F">
      <w:pPr>
        <w:pStyle w:val="BodyText"/>
      </w:pPr>
    </w:p>
    <w:p w14:paraId="1EF4F9B5" w14:textId="770066A6" w:rsidR="00E16C76" w:rsidRDefault="00CF5F20">
      <w:pPr>
        <w:pStyle w:val="FirstParagraph"/>
      </w:pPr>
      <w:r>
        <w:t>Retention rates for equity students from enabling program pathways show</w:t>
      </w:r>
      <w:r w:rsidR="00261305">
        <w:t>ed</w:t>
      </w:r>
      <w:r>
        <w:t xml:space="preserve"> distinct downward trends between 2021 and 2022, while remaining relatively stable for non-equity students.</w:t>
      </w:r>
    </w:p>
    <w:p w14:paraId="371C6321" w14:textId="77777777" w:rsidR="00E16C76" w:rsidRPr="00884351" w:rsidRDefault="00CF5F20">
      <w:pPr>
        <w:pStyle w:val="ImageCaption"/>
      </w:pPr>
      <w:r w:rsidRPr="00884351">
        <w:rPr>
          <w:bCs/>
        </w:rPr>
        <w:t xml:space="preserve">Figure </w:t>
      </w:r>
      <w:bookmarkStart w:id="36" w:name="unnamed-chunk-32"/>
      <w:r w:rsidRPr="00884351">
        <w:rPr>
          <w:bCs/>
        </w:rPr>
        <w:fldChar w:fldCharType="begin"/>
      </w:r>
      <w:r w:rsidRPr="00884351">
        <w:rPr>
          <w:bCs/>
        </w:rPr>
        <w:instrText>SEQ fig \* Arabic</w:instrText>
      </w:r>
      <w:r w:rsidRPr="00884351">
        <w:rPr>
          <w:bCs/>
        </w:rPr>
        <w:fldChar w:fldCharType="separate"/>
      </w:r>
      <w:r w:rsidR="007F1DD8" w:rsidRPr="00884351">
        <w:rPr>
          <w:bCs/>
          <w:noProof/>
        </w:rPr>
        <w:t>15</w:t>
      </w:r>
      <w:r w:rsidRPr="00884351">
        <w:rPr>
          <w:bCs/>
        </w:rPr>
        <w:fldChar w:fldCharType="end"/>
      </w:r>
      <w:bookmarkEnd w:id="36"/>
      <w:r w:rsidRPr="00884351">
        <w:rPr>
          <w:bCs/>
        </w:rPr>
        <w:t>:</w:t>
      </w:r>
      <w:r w:rsidRPr="00884351">
        <w:rPr>
          <w:b/>
        </w:rPr>
        <w:t xml:space="preserve"> </w:t>
      </w:r>
      <w:r w:rsidRPr="00884351">
        <w:t>Retention rates of domestic undergraduate students admitted to university through enabling programs for 2021 and 2022</w:t>
      </w:r>
    </w:p>
    <w:p w14:paraId="5713C2AD" w14:textId="77777777" w:rsidR="00E16C76" w:rsidRDefault="00CF5F20">
      <w:pPr>
        <w:pStyle w:val="Figure"/>
      </w:pPr>
      <w:r>
        <w:rPr>
          <w:noProof/>
        </w:rPr>
        <w:drawing>
          <wp:inline distT="0" distB="0" distL="0" distR="0" wp14:anchorId="30ED1A9F" wp14:editId="4721E92B">
            <wp:extent cx="8229600" cy="4114799"/>
            <wp:effectExtent l="0" t="0" r="0" b="635"/>
            <wp:docPr id="29" name="Picture 29" descr="The figure shows national retention rates in 2021 and 2022 for enabling program and ATAR pathway students. Retention rates for equity students from enabling program pathways decline noticeably between 2021 and 2022, while retention rates for non-equity students remain relatively s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he figure shows national retention rates in 2021 and 2022 for enabling program and ATAR pathway students. Retention rates for equity students from enabling program pathways decline noticeably between 2021 and 2022, while retention rates for non-equity students remain relatively stable."/>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8229600" cy="4114799"/>
                    </a:xfrm>
                    <a:prstGeom prst="rect">
                      <a:avLst/>
                    </a:prstGeom>
                    <a:noFill/>
                  </pic:spPr>
                </pic:pic>
              </a:graphicData>
            </a:graphic>
          </wp:inline>
        </w:drawing>
      </w:r>
    </w:p>
    <w:p w14:paraId="2C2050F3" w14:textId="77777777" w:rsidR="00E16C76" w:rsidRDefault="00CF5F20">
      <w:r>
        <w:br w:type="page"/>
      </w:r>
    </w:p>
    <w:p w14:paraId="6ECE358B" w14:textId="77777777" w:rsidR="00E16C76" w:rsidRDefault="00CF5F20">
      <w:pPr>
        <w:pStyle w:val="Heading2"/>
        <w:rPr>
          <w:sz w:val="40"/>
          <w:szCs w:val="40"/>
        </w:rPr>
      </w:pPr>
      <w:bookmarkStart w:id="37" w:name="X4a97f8506735a860d2fbfa5b23cd0b0382ba069"/>
      <w:bookmarkEnd w:id="35"/>
      <w:r w:rsidRPr="00361DDD">
        <w:rPr>
          <w:sz w:val="40"/>
          <w:szCs w:val="40"/>
        </w:rPr>
        <w:lastRenderedPageBreak/>
        <w:t>Undergraduate retention rates at Group of Eight universities</w:t>
      </w:r>
    </w:p>
    <w:p w14:paraId="50B34007" w14:textId="77777777" w:rsidR="00361DDD" w:rsidRPr="00361DDD" w:rsidRDefault="00361DDD" w:rsidP="00361DDD">
      <w:pPr>
        <w:pStyle w:val="BodyText"/>
      </w:pPr>
    </w:p>
    <w:p w14:paraId="77E90955" w14:textId="77777777" w:rsidR="00E16C76" w:rsidRDefault="00CF5F20">
      <w:pPr>
        <w:pStyle w:val="FirstParagraph"/>
      </w:pPr>
      <w:r>
        <w:t>Retention rates for both equity and non-equity enabling program pathway students took a sharp dive between 2021 and 2022, while overall retention rates for ATAR pathway students remained stable.</w:t>
      </w:r>
    </w:p>
    <w:p w14:paraId="4217FB30" w14:textId="77777777" w:rsidR="00E16C76" w:rsidRPr="00884351" w:rsidRDefault="00CF5F20">
      <w:pPr>
        <w:pStyle w:val="ImageCaption"/>
      </w:pPr>
      <w:r w:rsidRPr="00884351">
        <w:rPr>
          <w:bCs/>
        </w:rPr>
        <w:t xml:space="preserve">Figure </w:t>
      </w:r>
      <w:bookmarkStart w:id="38" w:name="unnamed-chunk-33"/>
      <w:r w:rsidRPr="00884351">
        <w:rPr>
          <w:bCs/>
        </w:rPr>
        <w:fldChar w:fldCharType="begin"/>
      </w:r>
      <w:r w:rsidRPr="00884351">
        <w:rPr>
          <w:bCs/>
        </w:rPr>
        <w:instrText>SEQ fig \* Arabic</w:instrText>
      </w:r>
      <w:r w:rsidRPr="00884351">
        <w:rPr>
          <w:bCs/>
        </w:rPr>
        <w:fldChar w:fldCharType="separate"/>
      </w:r>
      <w:r w:rsidR="007F1DD8" w:rsidRPr="00884351">
        <w:rPr>
          <w:bCs/>
          <w:noProof/>
        </w:rPr>
        <w:t>16</w:t>
      </w:r>
      <w:r w:rsidRPr="00884351">
        <w:rPr>
          <w:bCs/>
        </w:rPr>
        <w:fldChar w:fldCharType="end"/>
      </w:r>
      <w:bookmarkEnd w:id="38"/>
      <w:r w:rsidRPr="00884351">
        <w:rPr>
          <w:bCs/>
        </w:rPr>
        <w:t>:</w:t>
      </w:r>
      <w:r w:rsidRPr="00884351">
        <w:rPr>
          <w:b/>
        </w:rPr>
        <w:t xml:space="preserve"> </w:t>
      </w:r>
      <w:r w:rsidRPr="00884351">
        <w:t>Retention rates of domestic undergraduate students admitted to university through enabling programs for 2021 and 2022 at Group of Eight universities</w:t>
      </w:r>
    </w:p>
    <w:p w14:paraId="2D0C3D46" w14:textId="77777777" w:rsidR="00E16C76" w:rsidRDefault="00CF5F20">
      <w:pPr>
        <w:pStyle w:val="Figure"/>
      </w:pPr>
      <w:r>
        <w:rPr>
          <w:noProof/>
        </w:rPr>
        <w:drawing>
          <wp:inline distT="0" distB="0" distL="0" distR="0" wp14:anchorId="4294CA3E" wp14:editId="60477DA5">
            <wp:extent cx="8229600" cy="4114799"/>
            <wp:effectExtent l="0" t="0" r="0" b="635"/>
            <wp:docPr id="31" name="Picture 31" descr="The figure shows retention rates in 2021 and 2022 for enabling program and ATAR pathway students at Group of Eight universities. Retention rates for enabling program pathway students decline noticeably between 2021 and 2022, while retention rates for ATAR pathway students remain relatively s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he figure shows retention rates in 2021 and 2022 for enabling program and ATAR pathway students at Group of Eight universities. Retention rates for enabling program pathway students decline noticeably between 2021 and 2022, while retention rates for ATAR pathway students remain relatively stable."/>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8229600" cy="4114799"/>
                    </a:xfrm>
                    <a:prstGeom prst="rect">
                      <a:avLst/>
                    </a:prstGeom>
                    <a:noFill/>
                  </pic:spPr>
                </pic:pic>
              </a:graphicData>
            </a:graphic>
          </wp:inline>
        </w:drawing>
      </w:r>
    </w:p>
    <w:p w14:paraId="4997824B" w14:textId="77777777" w:rsidR="00E16C76" w:rsidRDefault="00CF5F20">
      <w:r>
        <w:br w:type="page"/>
      </w:r>
    </w:p>
    <w:p w14:paraId="546E453F" w14:textId="77777777" w:rsidR="00E16C76" w:rsidRDefault="00CF5F20">
      <w:pPr>
        <w:pStyle w:val="Heading2"/>
        <w:rPr>
          <w:sz w:val="40"/>
          <w:szCs w:val="40"/>
        </w:rPr>
      </w:pPr>
      <w:bookmarkStart w:id="39" w:name="X155969069124e88d73fbcc5f78ecd6139229fd3"/>
      <w:bookmarkEnd w:id="37"/>
      <w:r w:rsidRPr="00361DDD">
        <w:rPr>
          <w:sz w:val="40"/>
          <w:szCs w:val="40"/>
        </w:rPr>
        <w:lastRenderedPageBreak/>
        <w:t>Undergraduate retention rates at Australian Technology Network universities</w:t>
      </w:r>
    </w:p>
    <w:p w14:paraId="7878A75E" w14:textId="77777777" w:rsidR="00361DDD" w:rsidRPr="00361DDD" w:rsidRDefault="00361DDD" w:rsidP="00361DDD">
      <w:pPr>
        <w:pStyle w:val="BodyText"/>
      </w:pPr>
    </w:p>
    <w:p w14:paraId="25635F19" w14:textId="1BBCEECE" w:rsidR="00E16C76" w:rsidRDefault="00CF5F20">
      <w:pPr>
        <w:pStyle w:val="FirstParagraph"/>
      </w:pPr>
      <w:r>
        <w:t xml:space="preserve">The only enabling program </w:t>
      </w:r>
      <w:r w:rsidR="00427721">
        <w:t xml:space="preserve">pathway </w:t>
      </w:r>
      <w:r>
        <w:t xml:space="preserve">equity group to have higher retention rates than all ATAR pathway students across 2021 and 2022 was First Nations </w:t>
      </w:r>
      <w:r w:rsidR="00427721">
        <w:t xml:space="preserve">Australian </w:t>
      </w:r>
      <w:r>
        <w:t>students in 2021.</w:t>
      </w:r>
    </w:p>
    <w:p w14:paraId="70441A6B" w14:textId="77777777" w:rsidR="00E16C76" w:rsidRPr="00884351" w:rsidRDefault="00CF5F20">
      <w:pPr>
        <w:pStyle w:val="ImageCaption"/>
      </w:pPr>
      <w:r w:rsidRPr="00884351">
        <w:rPr>
          <w:bCs/>
        </w:rPr>
        <w:t xml:space="preserve">Figure </w:t>
      </w:r>
      <w:bookmarkStart w:id="40" w:name="unnamed-chunk-34"/>
      <w:r w:rsidRPr="00884351">
        <w:rPr>
          <w:bCs/>
        </w:rPr>
        <w:fldChar w:fldCharType="begin"/>
      </w:r>
      <w:r w:rsidRPr="00884351">
        <w:rPr>
          <w:bCs/>
        </w:rPr>
        <w:instrText>SEQ fig \* Arabic</w:instrText>
      </w:r>
      <w:r w:rsidRPr="00884351">
        <w:rPr>
          <w:bCs/>
        </w:rPr>
        <w:fldChar w:fldCharType="separate"/>
      </w:r>
      <w:r w:rsidR="007F1DD8" w:rsidRPr="00884351">
        <w:rPr>
          <w:bCs/>
          <w:noProof/>
        </w:rPr>
        <w:t>17</w:t>
      </w:r>
      <w:r w:rsidRPr="00884351">
        <w:rPr>
          <w:bCs/>
        </w:rPr>
        <w:fldChar w:fldCharType="end"/>
      </w:r>
      <w:bookmarkEnd w:id="40"/>
      <w:r w:rsidRPr="00884351">
        <w:rPr>
          <w:bCs/>
        </w:rPr>
        <w:t>:</w:t>
      </w:r>
      <w:r w:rsidRPr="00884351">
        <w:rPr>
          <w:b/>
        </w:rPr>
        <w:t xml:space="preserve"> </w:t>
      </w:r>
      <w:r w:rsidRPr="00884351">
        <w:t>Retention rates of domestic undergraduate students admitted to university through enabling programs for 2021 and 2022 at Australian Technology Network universities</w:t>
      </w:r>
    </w:p>
    <w:p w14:paraId="177F6F83" w14:textId="485212F1" w:rsidR="00E16C76" w:rsidRDefault="00CF5F20" w:rsidP="00FE152A">
      <w:pPr>
        <w:pStyle w:val="Figure"/>
      </w:pPr>
      <w:r>
        <w:rPr>
          <w:noProof/>
        </w:rPr>
        <w:drawing>
          <wp:inline distT="0" distB="0" distL="0" distR="0" wp14:anchorId="10F9B4E4" wp14:editId="18A26535">
            <wp:extent cx="8229600" cy="4114799"/>
            <wp:effectExtent l="0" t="0" r="0" b="635"/>
            <wp:docPr id="33" name="Picture 33" descr="The figure shows retention rates in 2021 and 2022 for enabling program and ATAR pathway students at Australian Technology Network universities. Across most equity groups, enabling program pathway students have lower retention rates than ATAR students, with the exception of First Nations students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he figure shows retention rates in 2021 and 2022 for enabling program and ATAR pathway students at Australian Technology Network universities. Across most equity groups, enabling program pathway students have lower retention rates than ATAR students, with the exception of First Nations students in 2021."/>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8229600" cy="4114799"/>
                    </a:xfrm>
                    <a:prstGeom prst="rect">
                      <a:avLst/>
                    </a:prstGeom>
                    <a:noFill/>
                  </pic:spPr>
                </pic:pic>
              </a:graphicData>
            </a:graphic>
          </wp:inline>
        </w:drawing>
      </w:r>
    </w:p>
    <w:p w14:paraId="0EE5A2F9" w14:textId="77777777" w:rsidR="00E16C76" w:rsidRDefault="00CF5F20">
      <w:pPr>
        <w:pStyle w:val="Heading2"/>
        <w:rPr>
          <w:sz w:val="40"/>
          <w:szCs w:val="40"/>
        </w:rPr>
      </w:pPr>
      <w:bookmarkStart w:id="41" w:name="X8adbfa5e24a6fc4d4a19b6ccee6d77620419a49"/>
      <w:bookmarkEnd w:id="39"/>
      <w:r w:rsidRPr="00385EDD">
        <w:rPr>
          <w:sz w:val="40"/>
          <w:szCs w:val="40"/>
        </w:rPr>
        <w:lastRenderedPageBreak/>
        <w:t>Undergraduate retention rates at Innovative Research Universities</w:t>
      </w:r>
    </w:p>
    <w:p w14:paraId="47AA205F" w14:textId="77777777" w:rsidR="00385EDD" w:rsidRPr="00385EDD" w:rsidRDefault="00385EDD" w:rsidP="00385EDD">
      <w:pPr>
        <w:pStyle w:val="BodyText"/>
      </w:pPr>
    </w:p>
    <w:p w14:paraId="1AA9EEA5" w14:textId="77777777" w:rsidR="00E16C76" w:rsidRDefault="00CF5F20">
      <w:pPr>
        <w:pStyle w:val="FirstParagraph"/>
      </w:pPr>
      <w:r>
        <w:t>The only enabling program pathway equity group to have higher retention rates than all ATAR pathway students across 2021 and 2022 was First Nations Australian students in 2021.</w:t>
      </w:r>
    </w:p>
    <w:p w14:paraId="0434EEA9" w14:textId="77777777" w:rsidR="00E16C76" w:rsidRPr="00884351" w:rsidRDefault="00CF5F20">
      <w:pPr>
        <w:pStyle w:val="ImageCaption"/>
      </w:pPr>
      <w:r w:rsidRPr="00884351">
        <w:rPr>
          <w:bCs/>
        </w:rPr>
        <w:t xml:space="preserve">Figure </w:t>
      </w:r>
      <w:bookmarkStart w:id="42" w:name="unnamed-chunk-35"/>
      <w:r w:rsidRPr="00884351">
        <w:rPr>
          <w:bCs/>
        </w:rPr>
        <w:fldChar w:fldCharType="begin"/>
      </w:r>
      <w:r w:rsidRPr="00884351">
        <w:rPr>
          <w:bCs/>
        </w:rPr>
        <w:instrText>SEQ fig \* Arabic</w:instrText>
      </w:r>
      <w:r w:rsidRPr="00884351">
        <w:rPr>
          <w:bCs/>
        </w:rPr>
        <w:fldChar w:fldCharType="separate"/>
      </w:r>
      <w:r w:rsidR="007F1DD8" w:rsidRPr="00884351">
        <w:rPr>
          <w:bCs/>
          <w:noProof/>
        </w:rPr>
        <w:t>18</w:t>
      </w:r>
      <w:r w:rsidRPr="00884351">
        <w:rPr>
          <w:bCs/>
        </w:rPr>
        <w:fldChar w:fldCharType="end"/>
      </w:r>
      <w:bookmarkEnd w:id="42"/>
      <w:r w:rsidRPr="00884351">
        <w:rPr>
          <w:bCs/>
        </w:rPr>
        <w:t xml:space="preserve">: </w:t>
      </w:r>
      <w:r w:rsidRPr="00884351">
        <w:t>Retention rates of domestic undergraduate students admitted to university through enabling programs for 2021 and 2022 at Innovative Research Universities</w:t>
      </w:r>
    </w:p>
    <w:p w14:paraId="7DB47E24" w14:textId="77777777" w:rsidR="00E16C76" w:rsidRDefault="00CF5F20">
      <w:pPr>
        <w:pStyle w:val="Figure"/>
      </w:pPr>
      <w:r>
        <w:rPr>
          <w:noProof/>
        </w:rPr>
        <w:drawing>
          <wp:inline distT="0" distB="0" distL="0" distR="0" wp14:anchorId="6CE55AE6" wp14:editId="663BDB53">
            <wp:extent cx="8229600" cy="4114799"/>
            <wp:effectExtent l="0" t="0" r="0" b="635"/>
            <wp:docPr id="35" name="Picture 35" descr="The figure shows retention rates in 2021 and 2022 for enabling program and ATAR pathway students at Innovative Research Universities. Retention rates for enabling program pathway students are generally lower than those for ATAR students, except for First Nations students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he figure shows retention rates in 2021 and 2022 for enabling program and ATAR pathway students at Innovative Research Universities. Retention rates for enabling program pathway students are generally lower than those for ATAR students, except for First Nations students in 2021."/>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8229600" cy="4114799"/>
                    </a:xfrm>
                    <a:prstGeom prst="rect">
                      <a:avLst/>
                    </a:prstGeom>
                    <a:noFill/>
                  </pic:spPr>
                </pic:pic>
              </a:graphicData>
            </a:graphic>
          </wp:inline>
        </w:drawing>
      </w:r>
    </w:p>
    <w:p w14:paraId="1058267D" w14:textId="77777777" w:rsidR="00E16C76" w:rsidRDefault="00CF5F20">
      <w:r>
        <w:br w:type="page"/>
      </w:r>
    </w:p>
    <w:p w14:paraId="20C9432F" w14:textId="77777777" w:rsidR="00E16C76" w:rsidRDefault="00CF5F20">
      <w:pPr>
        <w:pStyle w:val="Heading2"/>
        <w:rPr>
          <w:sz w:val="40"/>
          <w:szCs w:val="40"/>
        </w:rPr>
      </w:pPr>
      <w:bookmarkStart w:id="43" w:name="Xf49480fa5f778543e8b4c9df150553f6369ad1a"/>
      <w:bookmarkEnd w:id="41"/>
      <w:r w:rsidRPr="00E12E9F">
        <w:rPr>
          <w:sz w:val="40"/>
          <w:szCs w:val="40"/>
        </w:rPr>
        <w:lastRenderedPageBreak/>
        <w:t>Undergraduate retention rates at Regional Universities Network universities</w:t>
      </w:r>
    </w:p>
    <w:p w14:paraId="48EDABC7" w14:textId="77777777" w:rsidR="00E12E9F" w:rsidRPr="00E12E9F" w:rsidRDefault="00E12E9F" w:rsidP="00E12E9F">
      <w:pPr>
        <w:pStyle w:val="BodyText"/>
      </w:pPr>
    </w:p>
    <w:p w14:paraId="64231745" w14:textId="77777777" w:rsidR="00E16C76" w:rsidRDefault="00CF5F20">
      <w:pPr>
        <w:pStyle w:val="FirstParagraph"/>
      </w:pPr>
      <w:r>
        <w:t>Equity students from enabling programs had overall lower retention rates than ATAR equity students, but non-equity students from enabling programs had higher retention rates than ATAR non-equity students between 2021 and 2022.</w:t>
      </w:r>
    </w:p>
    <w:p w14:paraId="3140B0EC" w14:textId="77777777" w:rsidR="00E16C76" w:rsidRPr="00884351" w:rsidRDefault="00CF5F20">
      <w:pPr>
        <w:pStyle w:val="ImageCaption"/>
      </w:pPr>
      <w:r w:rsidRPr="00884351">
        <w:rPr>
          <w:bCs/>
        </w:rPr>
        <w:t xml:space="preserve">Figure </w:t>
      </w:r>
      <w:bookmarkStart w:id="44" w:name="unnamed-chunk-36"/>
      <w:r w:rsidRPr="00884351">
        <w:rPr>
          <w:bCs/>
        </w:rPr>
        <w:fldChar w:fldCharType="begin"/>
      </w:r>
      <w:r w:rsidRPr="00884351">
        <w:rPr>
          <w:bCs/>
        </w:rPr>
        <w:instrText>SEQ fig \* Arabic</w:instrText>
      </w:r>
      <w:r w:rsidRPr="00884351">
        <w:rPr>
          <w:bCs/>
        </w:rPr>
        <w:fldChar w:fldCharType="separate"/>
      </w:r>
      <w:r w:rsidR="007F1DD8" w:rsidRPr="00884351">
        <w:rPr>
          <w:bCs/>
          <w:noProof/>
        </w:rPr>
        <w:t>19</w:t>
      </w:r>
      <w:r w:rsidRPr="00884351">
        <w:rPr>
          <w:bCs/>
        </w:rPr>
        <w:fldChar w:fldCharType="end"/>
      </w:r>
      <w:bookmarkEnd w:id="44"/>
      <w:r w:rsidRPr="00884351">
        <w:rPr>
          <w:bCs/>
        </w:rPr>
        <w:t>:</w:t>
      </w:r>
      <w:r w:rsidRPr="00884351">
        <w:rPr>
          <w:b/>
        </w:rPr>
        <w:t xml:space="preserve"> </w:t>
      </w:r>
      <w:r w:rsidRPr="00884351">
        <w:t>Retention rates of domestic undergraduate students admitted to university through enabling programs for 2021 and 2022 within the Regional Universities Network</w:t>
      </w:r>
    </w:p>
    <w:p w14:paraId="5EC50404" w14:textId="0BB61F3A" w:rsidR="00E16C76" w:rsidRDefault="00CF5F20" w:rsidP="00FE152A">
      <w:pPr>
        <w:pStyle w:val="Figure"/>
      </w:pPr>
      <w:r>
        <w:rPr>
          <w:noProof/>
        </w:rPr>
        <w:drawing>
          <wp:inline distT="0" distB="0" distL="0" distR="0" wp14:anchorId="7DA6AB1A" wp14:editId="3EAC9A0D">
            <wp:extent cx="8229600" cy="4114799"/>
            <wp:effectExtent l="0" t="0" r="0" b="635"/>
            <wp:docPr id="37" name="Picture 37" descr="The figure shows retention rates in 2021 and 2022 for enabling program and ATAR pathway students at Regional Universities Network institutions. Equity students from enabling program pathways have lower retention than ATAR pathway equity students, while non-equity enabling program pathway students have slightly higher retention than ATAR pathway non-equity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he figure shows retention rates in 2021 and 2022 for enabling program and ATAR pathway students at Regional Universities Network institutions. Equity students from enabling program pathways have lower retention than ATAR pathway equity students, while non-equity enabling program pathway students have slightly higher retention than ATAR pathway non-equity students."/>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8229600" cy="4114799"/>
                    </a:xfrm>
                    <a:prstGeom prst="rect">
                      <a:avLst/>
                    </a:prstGeom>
                    <a:noFill/>
                  </pic:spPr>
                </pic:pic>
              </a:graphicData>
            </a:graphic>
          </wp:inline>
        </w:drawing>
      </w:r>
    </w:p>
    <w:p w14:paraId="4737FB4C" w14:textId="7417DE69" w:rsidR="00E16C76" w:rsidRDefault="00CF5F20">
      <w:pPr>
        <w:pStyle w:val="Heading2"/>
        <w:rPr>
          <w:sz w:val="40"/>
          <w:szCs w:val="40"/>
        </w:rPr>
      </w:pPr>
      <w:bookmarkStart w:id="45" w:name="X3903ff28a17c5e82212c097f51dafe9bf6e9b0e"/>
      <w:bookmarkEnd w:id="43"/>
      <w:r w:rsidRPr="002C0445">
        <w:rPr>
          <w:sz w:val="40"/>
          <w:szCs w:val="40"/>
        </w:rPr>
        <w:lastRenderedPageBreak/>
        <w:t xml:space="preserve">Undergraduate retention rates at </w:t>
      </w:r>
      <w:r w:rsidR="00093ACC">
        <w:rPr>
          <w:sz w:val="40"/>
          <w:szCs w:val="40"/>
        </w:rPr>
        <w:t>n</w:t>
      </w:r>
      <w:r w:rsidRPr="002C0445">
        <w:rPr>
          <w:sz w:val="40"/>
          <w:szCs w:val="40"/>
        </w:rPr>
        <w:t>on-</w:t>
      </w:r>
      <w:r w:rsidR="00093ACC">
        <w:rPr>
          <w:sz w:val="40"/>
          <w:szCs w:val="40"/>
        </w:rPr>
        <w:t>a</w:t>
      </w:r>
      <w:r w:rsidRPr="002C0445">
        <w:rPr>
          <w:sz w:val="40"/>
          <w:szCs w:val="40"/>
        </w:rPr>
        <w:t>ligned universities</w:t>
      </w:r>
    </w:p>
    <w:p w14:paraId="5EE49654" w14:textId="77777777" w:rsidR="002C0445" w:rsidRPr="002C0445" w:rsidRDefault="002C0445" w:rsidP="002C0445">
      <w:pPr>
        <w:pStyle w:val="BodyText"/>
      </w:pPr>
    </w:p>
    <w:p w14:paraId="49B07763" w14:textId="77777777" w:rsidR="00E16C76" w:rsidRDefault="00CF5F20">
      <w:pPr>
        <w:pStyle w:val="FirstParagraph"/>
      </w:pPr>
      <w:r>
        <w:t>Both equity and non-equity students from enabling programs had significantly lower retention rates than ATAR pathway students in 2021 and 2022.</w:t>
      </w:r>
    </w:p>
    <w:p w14:paraId="11E0F692" w14:textId="1CC5C828" w:rsidR="00E16C76" w:rsidRPr="00884351" w:rsidRDefault="00CF5F20">
      <w:pPr>
        <w:pStyle w:val="ImageCaption"/>
      </w:pPr>
      <w:r w:rsidRPr="00884351">
        <w:rPr>
          <w:bCs/>
        </w:rPr>
        <w:t xml:space="preserve">Figure </w:t>
      </w:r>
      <w:bookmarkStart w:id="46" w:name="unnamed-chunk-37"/>
      <w:r w:rsidRPr="00884351">
        <w:rPr>
          <w:bCs/>
        </w:rPr>
        <w:fldChar w:fldCharType="begin"/>
      </w:r>
      <w:r w:rsidRPr="00884351">
        <w:rPr>
          <w:bCs/>
        </w:rPr>
        <w:instrText>SEQ fig \* Arabic</w:instrText>
      </w:r>
      <w:r w:rsidRPr="00884351">
        <w:rPr>
          <w:bCs/>
        </w:rPr>
        <w:fldChar w:fldCharType="separate"/>
      </w:r>
      <w:r w:rsidR="007F1DD8" w:rsidRPr="00884351">
        <w:rPr>
          <w:bCs/>
          <w:noProof/>
        </w:rPr>
        <w:t>20</w:t>
      </w:r>
      <w:r w:rsidRPr="00884351">
        <w:rPr>
          <w:bCs/>
        </w:rPr>
        <w:fldChar w:fldCharType="end"/>
      </w:r>
      <w:bookmarkEnd w:id="46"/>
      <w:r w:rsidRPr="00884351">
        <w:rPr>
          <w:bCs/>
        </w:rPr>
        <w:t>:</w:t>
      </w:r>
      <w:r w:rsidRPr="00884351">
        <w:rPr>
          <w:b/>
        </w:rPr>
        <w:t xml:space="preserve"> </w:t>
      </w:r>
      <w:r w:rsidRPr="00884351">
        <w:t xml:space="preserve">Retention rates of domestic undergraduate students admitted to university through enabling programs for 2021 and 2022 at </w:t>
      </w:r>
      <w:r w:rsidR="00093ACC" w:rsidRPr="00884351">
        <w:t>n</w:t>
      </w:r>
      <w:r w:rsidRPr="00884351">
        <w:t>on-</w:t>
      </w:r>
      <w:r w:rsidR="00093ACC" w:rsidRPr="00884351">
        <w:t>a</w:t>
      </w:r>
      <w:r w:rsidRPr="00884351">
        <w:t>ligned universities</w:t>
      </w:r>
    </w:p>
    <w:p w14:paraId="7E5FFE33" w14:textId="77777777" w:rsidR="00E16C76" w:rsidRDefault="00CF5F20">
      <w:pPr>
        <w:pStyle w:val="Figure"/>
      </w:pPr>
      <w:r>
        <w:rPr>
          <w:noProof/>
        </w:rPr>
        <w:drawing>
          <wp:inline distT="0" distB="0" distL="0" distR="0" wp14:anchorId="3D30F128" wp14:editId="21177854">
            <wp:extent cx="8229600" cy="4114799"/>
            <wp:effectExtent l="0" t="0" r="0" b="635"/>
            <wp:docPr id="39" name="Picture 39" descr="The figure shows retention rates in 2021 and 2022 for enabling program and ATAR pathway students at non-aligned universities. Both equity and non-equity students entering via enabling program pathways have substantially lower retention rates than ATAR pathway students across both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he figure shows retention rates in 2021 and 2022 for enabling program and ATAR pathway students at non-aligned universities. Both equity and non-equity students entering via enabling program pathways have substantially lower retention rates than ATAR pathway students across both years."/>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8229600" cy="4114799"/>
                    </a:xfrm>
                    <a:prstGeom prst="rect">
                      <a:avLst/>
                    </a:prstGeom>
                    <a:noFill/>
                  </pic:spPr>
                </pic:pic>
              </a:graphicData>
            </a:graphic>
          </wp:inline>
        </w:drawing>
      </w:r>
    </w:p>
    <w:p w14:paraId="43A7EF73" w14:textId="77777777" w:rsidR="00E16C76" w:rsidRDefault="00CF5F20">
      <w:r>
        <w:br w:type="page"/>
      </w:r>
    </w:p>
    <w:p w14:paraId="1C99F19C" w14:textId="77777777" w:rsidR="00E16C76" w:rsidRDefault="00CF5F20">
      <w:pPr>
        <w:pStyle w:val="Heading2"/>
      </w:pPr>
      <w:bookmarkStart w:id="47" w:name="X02f26881fa4b992acea9aa5face358b732a293c"/>
      <w:bookmarkEnd w:id="45"/>
      <w:r>
        <w:lastRenderedPageBreak/>
        <w:t>Within-institution ATAR vs enabling program retention rates</w:t>
      </w:r>
    </w:p>
    <w:p w14:paraId="6FF9F6B8" w14:textId="77777777" w:rsidR="00A00939" w:rsidRPr="00A00939" w:rsidRDefault="00A00939" w:rsidP="00A00939">
      <w:pPr>
        <w:pStyle w:val="BodyText"/>
      </w:pPr>
    </w:p>
    <w:p w14:paraId="58D6B78D" w14:textId="6A9C7401" w:rsidR="00E16C76" w:rsidRDefault="00CF5F20">
      <w:pPr>
        <w:pStyle w:val="FirstParagraph"/>
      </w:pPr>
      <w:r>
        <w:t xml:space="preserve">To identify differences in retention for equity students admitted to university through enabling programs </w:t>
      </w:r>
      <w:r w:rsidR="00BB0695">
        <w:t>versus</w:t>
      </w:r>
      <w:r>
        <w:t xml:space="preserve"> ATAR within each institution, their retention rates can be compared.</w:t>
      </w:r>
    </w:p>
    <w:p w14:paraId="404C79CF" w14:textId="77777777" w:rsidR="00E16C76" w:rsidRDefault="00CF5F20">
      <w:pPr>
        <w:pStyle w:val="BodyText"/>
      </w:pPr>
      <w:r>
        <w:t>In the following series of plots, the vertical (y-) axis represents the retention rates for university students who entered via enabling programs, and the horizontal (x-) axis represents the retention rates for students whose main basis for admission was their ATAR. The 45-degree dotted line represents equality in the compared rates.</w:t>
      </w:r>
    </w:p>
    <w:p w14:paraId="50E9CF04" w14:textId="0F1B4387" w:rsidR="00E16C76" w:rsidRDefault="00CF5F20">
      <w:pPr>
        <w:pStyle w:val="BodyText"/>
      </w:pPr>
      <w:r>
        <w:t>For Figures 14</w:t>
      </w:r>
      <w:r w:rsidR="00BB0695" w:rsidRPr="00BB0695">
        <w:t>–</w:t>
      </w:r>
      <w:r>
        <w:t>19, if retention rates are equal for both groups within an institution, its data point will lie on the 45-degree line. If retention rates at an institution are higher for enabling program students, the dot will lie above the 45-degree line, and if retention rates are lower for enabling program students, the dot will be below the 45-degree line.</w:t>
      </w:r>
    </w:p>
    <w:p w14:paraId="34B7BDF8" w14:textId="77777777" w:rsidR="00E16C76" w:rsidRDefault="00CF5F20">
      <w:pPr>
        <w:pStyle w:val="BodyText"/>
      </w:pPr>
      <w:r>
        <w:t>For Figure 20, institutions falling on the 45-degree line have the same retention rate in both student groups. Institutions falling above the dotted line have higher retention rates for equity students compared to non-equity students.</w:t>
      </w:r>
    </w:p>
    <w:p w14:paraId="07FFB40E" w14:textId="51A34400" w:rsidR="00E16C76" w:rsidRDefault="00CF5F20">
      <w:pPr>
        <w:pStyle w:val="BodyText"/>
      </w:pPr>
      <w:r>
        <w:t xml:space="preserve">Each dot represents a Table A institution with at least </w:t>
      </w:r>
      <w:r w:rsidR="00BB0695">
        <w:t>five</w:t>
      </w:r>
      <w:r>
        <w:t xml:space="preserve"> enabling program students enrolled. If an institution is missing from the plot, it means they had fewer than </w:t>
      </w:r>
      <w:r w:rsidR="00BB0695">
        <w:t>five</w:t>
      </w:r>
      <w:r>
        <w:t xml:space="preserve"> students enrolled within the particular group.</w:t>
      </w:r>
    </w:p>
    <w:p w14:paraId="77AB3235" w14:textId="662E1AAC" w:rsidR="00E16C76" w:rsidRDefault="00CF5F20">
      <w:pPr>
        <w:pStyle w:val="BodyText"/>
      </w:pPr>
      <w:r>
        <w:t>Each plot represents comparisons for one equity group.</w:t>
      </w:r>
      <w:r w:rsidR="00BB0695">
        <w:t xml:space="preserve"> </w:t>
      </w:r>
    </w:p>
    <w:p w14:paraId="7DB21323" w14:textId="77777777" w:rsidR="00E16C76" w:rsidRDefault="00CF5F20">
      <w:r>
        <w:br w:type="page"/>
      </w:r>
    </w:p>
    <w:p w14:paraId="33951788" w14:textId="77777777" w:rsidR="00E16C76" w:rsidRDefault="00CF5F20">
      <w:pPr>
        <w:pStyle w:val="Heading2"/>
        <w:rPr>
          <w:sz w:val="40"/>
          <w:szCs w:val="40"/>
        </w:rPr>
      </w:pPr>
      <w:bookmarkStart w:id="48" w:name="X12e08c44834f0bec1f0196ea8456e9bb5073662"/>
      <w:bookmarkEnd w:id="47"/>
      <w:r w:rsidRPr="00A00939">
        <w:rPr>
          <w:sz w:val="40"/>
          <w:szCs w:val="40"/>
        </w:rPr>
        <w:lastRenderedPageBreak/>
        <w:t>Undergraduate retention rates of all equity students from ATAR vs enabling program pathways in 2022</w:t>
      </w:r>
    </w:p>
    <w:p w14:paraId="7B9945E8" w14:textId="77777777" w:rsidR="00A00939" w:rsidRPr="00A00939" w:rsidRDefault="00A00939" w:rsidP="00A00939">
      <w:pPr>
        <w:pStyle w:val="BodyText"/>
      </w:pPr>
    </w:p>
    <w:p w14:paraId="79B492F2" w14:textId="19F11947" w:rsidR="00E16C76" w:rsidRPr="00C04456" w:rsidRDefault="00CF5F20">
      <w:pPr>
        <w:pStyle w:val="ImageCaption"/>
      </w:pPr>
      <w:r w:rsidRPr="00884351">
        <w:rPr>
          <w:bCs/>
        </w:rPr>
        <w:t xml:space="preserve">Figure </w:t>
      </w:r>
      <w:bookmarkStart w:id="49" w:name="unnamed-chunk-38"/>
      <w:r w:rsidRPr="00884351">
        <w:rPr>
          <w:bCs/>
        </w:rPr>
        <w:fldChar w:fldCharType="begin"/>
      </w:r>
      <w:r w:rsidRPr="00884351">
        <w:rPr>
          <w:bCs/>
        </w:rPr>
        <w:instrText>SEQ fig \* Arabic</w:instrText>
      </w:r>
      <w:r w:rsidRPr="00884351">
        <w:rPr>
          <w:bCs/>
        </w:rPr>
        <w:fldChar w:fldCharType="separate"/>
      </w:r>
      <w:r w:rsidR="007F1DD8" w:rsidRPr="00884351">
        <w:rPr>
          <w:bCs/>
          <w:noProof/>
        </w:rPr>
        <w:t>21</w:t>
      </w:r>
      <w:r w:rsidRPr="00884351">
        <w:rPr>
          <w:bCs/>
        </w:rPr>
        <w:fldChar w:fldCharType="end"/>
      </w:r>
      <w:bookmarkEnd w:id="49"/>
      <w:r w:rsidRPr="00884351">
        <w:rPr>
          <w:bCs/>
        </w:rPr>
        <w:t>:</w:t>
      </w:r>
      <w:r w:rsidRPr="00884351">
        <w:rPr>
          <w:b/>
        </w:rPr>
        <w:t xml:space="preserve"> </w:t>
      </w:r>
      <w:r w:rsidRPr="00884351">
        <w:t xml:space="preserve">Relationship between the undergraduate retention rates of ATAR and enabling program pathway equity students in 2022 </w:t>
      </w:r>
      <w:r w:rsidR="008D5C87">
        <w:t>(</w:t>
      </w:r>
      <w:r w:rsidRPr="00884351">
        <w:t xml:space="preserve">who returned </w:t>
      </w:r>
      <w:r w:rsidR="00FD2D51">
        <w:t xml:space="preserve">to study </w:t>
      </w:r>
      <w:r w:rsidRPr="00884351">
        <w:t>in 2023</w:t>
      </w:r>
      <w:r w:rsidR="008D5C87">
        <w:t>)</w:t>
      </w:r>
    </w:p>
    <w:p w14:paraId="1771D44D" w14:textId="32AE7378" w:rsidR="00E16C76" w:rsidRDefault="00CF5F20" w:rsidP="00884351">
      <w:pPr>
        <w:pStyle w:val="Figure"/>
      </w:pPr>
      <w:r>
        <w:rPr>
          <w:noProof/>
        </w:rPr>
        <w:drawing>
          <wp:inline distT="0" distB="0" distL="0" distR="0" wp14:anchorId="379D535C" wp14:editId="2CA18A30">
            <wp:extent cx="8229600" cy="4571999"/>
            <wp:effectExtent l="0" t="0" r="0" b="635"/>
            <wp:docPr id="41" name="Picture 41" descr="The figure is a scatter plot comparing undergraduate retention rates in 2022 for equity students whose main basis of admission to university was ATAR and enabling programs. The x‑axis shows retention rates for ATAR pathway students and the y‑axis shows retention rates for enabling program pathway students. Each dot represents a Table A institution, and the dotted 45‑degree line indicates equal retention rates across the two pathways.   Institutions are distributed across a broad range of values below the line of equality, indicating that retention rates for equity students entering via enabling program pathways are generally lower than for ATAR pathway students. While outcomes vary across institutions, the concentration of points below the line indicates a consistent directional difference rather than isolated outl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he figure is a scatter plot comparing undergraduate retention rates in 2022 for equity students whose main basis of admission to university was ATAR and enabling programs. The x‑axis shows retention rates for ATAR pathway students and the y‑axis shows retention rates for enabling program pathway students. Each dot represents a Table A institution, and the dotted 45‑degree line indicates equal retention rates across the two pathways.   Institutions are distributed across a broad range of values below the line of equality, indicating that retention rates for equity students entering via enabling program pathways are generally lower than for ATAR pathway students. While outcomes vary across institutions, the concentration of points below the line indicates a consistent directional difference rather than isolated outliers."/>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04EA59A7" w14:textId="77777777" w:rsidR="00E16C76" w:rsidRDefault="00CF5F20">
      <w:pPr>
        <w:pStyle w:val="Heading2"/>
        <w:rPr>
          <w:sz w:val="40"/>
          <w:szCs w:val="40"/>
        </w:rPr>
      </w:pPr>
      <w:bookmarkStart w:id="50" w:name="X97f9835b01e6a9f1c06bd99c8d3a13bc0628bb6"/>
      <w:bookmarkEnd w:id="48"/>
      <w:r w:rsidRPr="00A00939">
        <w:rPr>
          <w:sz w:val="40"/>
          <w:szCs w:val="40"/>
        </w:rPr>
        <w:lastRenderedPageBreak/>
        <w:t>Undergraduate retention rates of students from low SES areas from ATAR vs enabling program pathways in 2022</w:t>
      </w:r>
    </w:p>
    <w:p w14:paraId="1CA40E83" w14:textId="77777777" w:rsidR="00A00939" w:rsidRPr="00A00939" w:rsidRDefault="00A00939" w:rsidP="00A00939">
      <w:pPr>
        <w:pStyle w:val="BodyText"/>
      </w:pPr>
    </w:p>
    <w:p w14:paraId="2D7E20AE" w14:textId="51637B1B" w:rsidR="00E16C76" w:rsidRPr="00C04456" w:rsidRDefault="00CF5F20">
      <w:pPr>
        <w:pStyle w:val="ImageCaption"/>
      </w:pPr>
      <w:r w:rsidRPr="00884351">
        <w:rPr>
          <w:bCs/>
        </w:rPr>
        <w:t xml:space="preserve">Figure </w:t>
      </w:r>
      <w:bookmarkStart w:id="51" w:name="unnamed-chunk-39"/>
      <w:r w:rsidRPr="00884351">
        <w:rPr>
          <w:bCs/>
        </w:rPr>
        <w:fldChar w:fldCharType="begin"/>
      </w:r>
      <w:r w:rsidRPr="00884351">
        <w:rPr>
          <w:bCs/>
        </w:rPr>
        <w:instrText>SEQ fig \* Arabic</w:instrText>
      </w:r>
      <w:r w:rsidRPr="00884351">
        <w:rPr>
          <w:bCs/>
        </w:rPr>
        <w:fldChar w:fldCharType="separate"/>
      </w:r>
      <w:r w:rsidR="007F1DD8" w:rsidRPr="00884351">
        <w:rPr>
          <w:bCs/>
          <w:noProof/>
        </w:rPr>
        <w:t>22</w:t>
      </w:r>
      <w:r w:rsidRPr="00884351">
        <w:rPr>
          <w:bCs/>
        </w:rPr>
        <w:fldChar w:fldCharType="end"/>
      </w:r>
      <w:bookmarkEnd w:id="51"/>
      <w:r w:rsidRPr="00884351">
        <w:rPr>
          <w:bCs/>
        </w:rPr>
        <w:t>:</w:t>
      </w:r>
      <w:r w:rsidRPr="00884351">
        <w:rPr>
          <w:b/>
        </w:rPr>
        <w:t xml:space="preserve"> </w:t>
      </w:r>
      <w:r w:rsidRPr="00884351">
        <w:t xml:space="preserve">Relationship between the undergraduate retention rates of ATAR and enabling program pathway students from low SES areas in 2022 </w:t>
      </w:r>
      <w:r w:rsidR="00456FD9">
        <w:t>(</w:t>
      </w:r>
      <w:r w:rsidRPr="00884351">
        <w:t xml:space="preserve">who returned </w:t>
      </w:r>
      <w:r w:rsidR="00FD2D51">
        <w:t xml:space="preserve">to study </w:t>
      </w:r>
      <w:r w:rsidRPr="00884351">
        <w:t>in 2023</w:t>
      </w:r>
      <w:r w:rsidR="00456FD9">
        <w:t>)</w:t>
      </w:r>
    </w:p>
    <w:p w14:paraId="70F48C56" w14:textId="5E37AEFF" w:rsidR="00E16C76" w:rsidRDefault="00CF5F20" w:rsidP="00884351">
      <w:pPr>
        <w:pStyle w:val="Figure"/>
      </w:pPr>
      <w:r>
        <w:rPr>
          <w:noProof/>
        </w:rPr>
        <w:drawing>
          <wp:inline distT="0" distB="0" distL="0" distR="0" wp14:anchorId="244D8ED3" wp14:editId="1CD6B8E9">
            <wp:extent cx="8229600" cy="4571999"/>
            <wp:effectExtent l="0" t="0" r="0" b="635"/>
            <wp:docPr id="43" name="Picture 43" descr="The figure compares 2022 retention rates of low SES students entering university via ATAR and enabling program pathways. Institutions are dispersed predominantly below the line of equality, indicating lower retention rates for low SES students entering via enabling program pathways relative to ATAR pathways. The dispersion shows variation across institutions, but the overall pattern remains consistently below pa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he figure compares 2022 retention rates of low SES students entering university via ATAR and enabling program pathways. Institutions are dispersed predominantly below the line of equality, indicating lower retention rates for low SES students entering via enabling program pathways relative to ATAR pathways. The dispersion shows variation across institutions, but the overall pattern remains consistently below parity."/>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5D9C343B" w14:textId="70768B21" w:rsidR="00EC7AF5" w:rsidRDefault="00CF5F20" w:rsidP="00EC7AF5">
      <w:pPr>
        <w:pStyle w:val="Heading2"/>
        <w:rPr>
          <w:sz w:val="40"/>
          <w:szCs w:val="40"/>
        </w:rPr>
      </w:pPr>
      <w:bookmarkStart w:id="52" w:name="X226869e12be194f96762c0ccc32f8c37b911dfd"/>
      <w:bookmarkEnd w:id="50"/>
      <w:r w:rsidRPr="00EC7AF5">
        <w:rPr>
          <w:sz w:val="40"/>
          <w:szCs w:val="40"/>
        </w:rPr>
        <w:lastRenderedPageBreak/>
        <w:t>Undergraduate retention rates of students from regional</w:t>
      </w:r>
      <w:r w:rsidR="00840093">
        <w:rPr>
          <w:sz w:val="40"/>
          <w:szCs w:val="40"/>
        </w:rPr>
        <w:t xml:space="preserve"> and </w:t>
      </w:r>
      <w:r w:rsidRPr="00EC7AF5">
        <w:rPr>
          <w:sz w:val="40"/>
          <w:szCs w:val="40"/>
        </w:rPr>
        <w:t>remote areas from ATAR vs enabling program pathways in 2022</w:t>
      </w:r>
    </w:p>
    <w:p w14:paraId="708EFFFC" w14:textId="77777777" w:rsidR="00EC7AF5" w:rsidRPr="00EC7AF5" w:rsidRDefault="00EC7AF5" w:rsidP="00EC7AF5">
      <w:pPr>
        <w:pStyle w:val="BodyText"/>
      </w:pPr>
    </w:p>
    <w:p w14:paraId="7A7B6B65" w14:textId="0EC46667" w:rsidR="00E16C76" w:rsidRPr="00C04456" w:rsidRDefault="00CF5F20">
      <w:pPr>
        <w:pStyle w:val="ImageCaption"/>
      </w:pPr>
      <w:r w:rsidRPr="00884351">
        <w:rPr>
          <w:bCs/>
        </w:rPr>
        <w:t xml:space="preserve">Figure </w:t>
      </w:r>
      <w:bookmarkStart w:id="53" w:name="unnamed-chunk-40"/>
      <w:r w:rsidRPr="00884351">
        <w:rPr>
          <w:bCs/>
        </w:rPr>
        <w:fldChar w:fldCharType="begin"/>
      </w:r>
      <w:r w:rsidRPr="00884351">
        <w:rPr>
          <w:bCs/>
        </w:rPr>
        <w:instrText>SEQ fig \* Arabic</w:instrText>
      </w:r>
      <w:r w:rsidRPr="00884351">
        <w:rPr>
          <w:bCs/>
        </w:rPr>
        <w:fldChar w:fldCharType="separate"/>
      </w:r>
      <w:r w:rsidR="007F1DD8" w:rsidRPr="00884351">
        <w:rPr>
          <w:bCs/>
          <w:noProof/>
        </w:rPr>
        <w:t>23</w:t>
      </w:r>
      <w:r w:rsidRPr="00884351">
        <w:rPr>
          <w:bCs/>
        </w:rPr>
        <w:fldChar w:fldCharType="end"/>
      </w:r>
      <w:bookmarkEnd w:id="53"/>
      <w:r w:rsidRPr="00884351">
        <w:rPr>
          <w:bCs/>
        </w:rPr>
        <w:t>:</w:t>
      </w:r>
      <w:r w:rsidRPr="00884351">
        <w:rPr>
          <w:b/>
        </w:rPr>
        <w:t xml:space="preserve"> </w:t>
      </w:r>
      <w:r w:rsidRPr="00884351">
        <w:t xml:space="preserve">Relationship between the undergraduate retention rates of ATAR and enabling program pathway regional/remote students in 2022 </w:t>
      </w:r>
      <w:r w:rsidR="00FD2D51">
        <w:t>(</w:t>
      </w:r>
      <w:r w:rsidRPr="00884351">
        <w:t xml:space="preserve">who returned </w:t>
      </w:r>
      <w:r w:rsidR="00840093">
        <w:t xml:space="preserve">to study </w:t>
      </w:r>
      <w:r w:rsidRPr="00884351">
        <w:t>in 2023</w:t>
      </w:r>
      <w:r w:rsidR="00FD2D51">
        <w:t>)</w:t>
      </w:r>
    </w:p>
    <w:p w14:paraId="4130EABB" w14:textId="1D88FE96" w:rsidR="00E16C76" w:rsidRDefault="00CF5F20" w:rsidP="00884351">
      <w:pPr>
        <w:pStyle w:val="Figure"/>
      </w:pPr>
      <w:r>
        <w:rPr>
          <w:noProof/>
        </w:rPr>
        <w:drawing>
          <wp:inline distT="0" distB="0" distL="0" distR="0" wp14:anchorId="488CCC8D" wp14:editId="4F246C9A">
            <wp:extent cx="8229600" cy="4571999"/>
            <wp:effectExtent l="0" t="0" r="0" b="635"/>
            <wp:docPr id="45" name="Picture 45" descr="The figure compares 2022 retention rates of students from regional and remote areas admitted through ATAR and enabling program pathways. Most institutions are spread across a wide range of values below the line of equality, indicating lower retention rates for regional and remote students entering via enabling program pathways relative to ATAR pathways. Although retention outcomes vary between institutions, the overall distribution remains clearly weighted below pa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he figure compares 2022 retention rates of students from regional and remote areas admitted through ATAR and enabling program pathways. Most institutions are spread across a wide range of values below the line of equality, indicating lower retention rates for regional and remote students entering via enabling program pathways relative to ATAR pathways. Although retention outcomes vary between institutions, the overall distribution remains clearly weighted below parity."/>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0CA9D0B1" w14:textId="77777777" w:rsidR="00E16C76" w:rsidRDefault="00CF5F20">
      <w:pPr>
        <w:pStyle w:val="Heading2"/>
        <w:rPr>
          <w:sz w:val="40"/>
          <w:szCs w:val="40"/>
        </w:rPr>
      </w:pPr>
      <w:bookmarkStart w:id="54" w:name="Xb6712e4f7eb7a575a9c4a13857bfe645981da02"/>
      <w:bookmarkEnd w:id="52"/>
      <w:r w:rsidRPr="00E04AD3">
        <w:rPr>
          <w:sz w:val="40"/>
          <w:szCs w:val="40"/>
        </w:rPr>
        <w:lastRenderedPageBreak/>
        <w:t>Undergraduate retention rates of First Nations Australians students from ATAR vs enabling program pathways in 2022</w:t>
      </w:r>
    </w:p>
    <w:p w14:paraId="77E9B5E4" w14:textId="77777777" w:rsidR="00E04AD3" w:rsidRPr="00E04AD3" w:rsidRDefault="00E04AD3" w:rsidP="00E04AD3">
      <w:pPr>
        <w:pStyle w:val="BodyText"/>
      </w:pPr>
    </w:p>
    <w:p w14:paraId="69B7D816" w14:textId="1F99492C" w:rsidR="00E16C76" w:rsidRPr="00C04456" w:rsidRDefault="00CF5F20">
      <w:pPr>
        <w:pStyle w:val="ImageCaption"/>
      </w:pPr>
      <w:r w:rsidRPr="00884351">
        <w:rPr>
          <w:bCs/>
        </w:rPr>
        <w:t xml:space="preserve">Figure </w:t>
      </w:r>
      <w:bookmarkStart w:id="55" w:name="unnamed-chunk-41"/>
      <w:r w:rsidRPr="00884351">
        <w:rPr>
          <w:bCs/>
        </w:rPr>
        <w:fldChar w:fldCharType="begin"/>
      </w:r>
      <w:r w:rsidRPr="00884351">
        <w:rPr>
          <w:bCs/>
        </w:rPr>
        <w:instrText>SEQ fig \* Arabic</w:instrText>
      </w:r>
      <w:r w:rsidRPr="00884351">
        <w:rPr>
          <w:bCs/>
        </w:rPr>
        <w:fldChar w:fldCharType="separate"/>
      </w:r>
      <w:r w:rsidR="007F1DD8" w:rsidRPr="00884351">
        <w:rPr>
          <w:bCs/>
          <w:noProof/>
        </w:rPr>
        <w:t>24</w:t>
      </w:r>
      <w:r w:rsidRPr="00884351">
        <w:rPr>
          <w:bCs/>
        </w:rPr>
        <w:fldChar w:fldCharType="end"/>
      </w:r>
      <w:bookmarkEnd w:id="55"/>
      <w:r w:rsidRPr="00884351">
        <w:rPr>
          <w:bCs/>
        </w:rPr>
        <w:t>:</w:t>
      </w:r>
      <w:r w:rsidRPr="00884351">
        <w:rPr>
          <w:b/>
        </w:rPr>
        <w:t xml:space="preserve"> </w:t>
      </w:r>
      <w:r w:rsidRPr="00884351">
        <w:t xml:space="preserve">Relationship between the undergraduate retention rates of ATAR and enabling program pathway First Nations Australians students in 2022 </w:t>
      </w:r>
      <w:r w:rsidR="005B45CC">
        <w:t>(</w:t>
      </w:r>
      <w:r w:rsidRPr="00884351">
        <w:t xml:space="preserve">who returned </w:t>
      </w:r>
      <w:r w:rsidR="005B45CC">
        <w:t xml:space="preserve">to study </w:t>
      </w:r>
      <w:r w:rsidRPr="00884351">
        <w:t>in 2023</w:t>
      </w:r>
      <w:r w:rsidR="005B45CC">
        <w:t>)</w:t>
      </w:r>
    </w:p>
    <w:p w14:paraId="3C1BE63D" w14:textId="3BF175D5" w:rsidR="00E16C76" w:rsidRDefault="00CF5F20" w:rsidP="00884351">
      <w:pPr>
        <w:pStyle w:val="Figure"/>
      </w:pPr>
      <w:r>
        <w:rPr>
          <w:noProof/>
        </w:rPr>
        <w:drawing>
          <wp:inline distT="0" distB="0" distL="0" distR="0" wp14:anchorId="1C536F32" wp14:editId="7F7D4B11">
            <wp:extent cx="8229600" cy="4571999"/>
            <wp:effectExtent l="0" t="0" r="0" b="635"/>
            <wp:docPr id="47" name="Picture 47" descr="The figure compares 2022 retention rates of First Nations Australians students entering university via ATAR and enabling program pathways. Institutions are distributed widely across the plot, with points spread both above and below the line of equality. This broad dispersion indicates substantial variation in relative retention outcomes across institutions. While many institutions lie below the line, indicating lower retention for enabling program pathway students, others lie close to or above the line, showing that retention outcomes for First Nations students entering via enabling program pathways vary markedly by institution rather than following a consistent directional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The figure compares 2022 retention rates of First Nations Australians students entering university via ATAR and enabling program pathways. Institutions are distributed widely across the plot, with points spread both above and below the line of equality. This broad dispersion indicates substantial variation in relative retention outcomes across institutions. While many institutions lie below the line, indicating lower retention for enabling program pathway students, others lie close to or above the line, showing that retention outcomes for First Nations students entering via enabling program pathways vary markedly by institution rather than following a consistent directional pattern."/>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155C7B38" w14:textId="77777777" w:rsidR="00E16C76" w:rsidRDefault="00CF5F20">
      <w:pPr>
        <w:pStyle w:val="Heading2"/>
        <w:rPr>
          <w:sz w:val="40"/>
          <w:szCs w:val="40"/>
        </w:rPr>
      </w:pPr>
      <w:bookmarkStart w:id="56" w:name="X90093bc04f2e28fa3c1cd7e19d47dbbd815a546"/>
      <w:bookmarkEnd w:id="54"/>
      <w:r w:rsidRPr="00417F21">
        <w:rPr>
          <w:sz w:val="40"/>
          <w:szCs w:val="40"/>
        </w:rPr>
        <w:lastRenderedPageBreak/>
        <w:t>Undergraduate retention rates of students with disability from ATAR vs enabling program pathways in 2022</w:t>
      </w:r>
    </w:p>
    <w:p w14:paraId="0A7E16F2" w14:textId="77777777" w:rsidR="00417F21" w:rsidRPr="00417F21" w:rsidRDefault="00417F21" w:rsidP="00417F21">
      <w:pPr>
        <w:pStyle w:val="BodyText"/>
      </w:pPr>
    </w:p>
    <w:p w14:paraId="17EFCAA5" w14:textId="5698E8F6" w:rsidR="00E16C76" w:rsidRPr="00C04456" w:rsidRDefault="00CF5F20">
      <w:pPr>
        <w:pStyle w:val="ImageCaption"/>
      </w:pPr>
      <w:r w:rsidRPr="00884351">
        <w:rPr>
          <w:bCs/>
        </w:rPr>
        <w:t xml:space="preserve">Figure </w:t>
      </w:r>
      <w:bookmarkStart w:id="57" w:name="unnamed-chunk-42"/>
      <w:r w:rsidRPr="00884351">
        <w:rPr>
          <w:bCs/>
        </w:rPr>
        <w:fldChar w:fldCharType="begin"/>
      </w:r>
      <w:r w:rsidRPr="00884351">
        <w:rPr>
          <w:bCs/>
        </w:rPr>
        <w:instrText>SEQ fig \* Arabic</w:instrText>
      </w:r>
      <w:r w:rsidRPr="00884351">
        <w:rPr>
          <w:bCs/>
        </w:rPr>
        <w:fldChar w:fldCharType="separate"/>
      </w:r>
      <w:r w:rsidR="007F1DD8" w:rsidRPr="00884351">
        <w:rPr>
          <w:bCs/>
          <w:noProof/>
        </w:rPr>
        <w:t>25</w:t>
      </w:r>
      <w:r w:rsidRPr="00884351">
        <w:rPr>
          <w:bCs/>
        </w:rPr>
        <w:fldChar w:fldCharType="end"/>
      </w:r>
      <w:bookmarkEnd w:id="57"/>
      <w:r w:rsidRPr="00884351">
        <w:rPr>
          <w:bCs/>
        </w:rPr>
        <w:t>:</w:t>
      </w:r>
      <w:r w:rsidRPr="00884351">
        <w:rPr>
          <w:b/>
        </w:rPr>
        <w:t xml:space="preserve"> </w:t>
      </w:r>
      <w:r w:rsidRPr="00884351">
        <w:t xml:space="preserve">Relationship between the undergraduate retention rates of ATAR and enabling program pathway students with disability in 2022 </w:t>
      </w:r>
      <w:r w:rsidR="00B66CEA">
        <w:t>(</w:t>
      </w:r>
      <w:r w:rsidRPr="00884351">
        <w:t>who returned</w:t>
      </w:r>
      <w:r w:rsidR="00B66CEA">
        <w:t xml:space="preserve"> to study</w:t>
      </w:r>
      <w:r w:rsidRPr="00884351">
        <w:t xml:space="preserve"> in 2023</w:t>
      </w:r>
      <w:r w:rsidR="00B66CEA">
        <w:t>)</w:t>
      </w:r>
    </w:p>
    <w:p w14:paraId="0F95CA2F" w14:textId="1834F741" w:rsidR="00E16C76" w:rsidRDefault="00CF5F20" w:rsidP="00884351">
      <w:pPr>
        <w:pStyle w:val="Figure"/>
      </w:pPr>
      <w:r>
        <w:rPr>
          <w:noProof/>
        </w:rPr>
        <w:drawing>
          <wp:inline distT="0" distB="0" distL="0" distR="0" wp14:anchorId="1D04A1E7" wp14:editId="54FD0B6B">
            <wp:extent cx="8229600" cy="4571999"/>
            <wp:effectExtent l="0" t="0" r="0" b="635"/>
            <wp:docPr id="49" name="Picture 49" descr="The figure compares 2022 retention rates of students with disability entering university via ATAR and enabling program pathways. Institutions are widely dispersed across the plot, indicating a high degree of variability in relative retention outcomes. Points are distributed across a broad range of values on both sides of the line of equality, suggesting that retention outcomes for students with disability entering via enabling program pathways differ substantially between institutions, with no consistent advantage or disadvantage evident across the s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he figure compares 2022 retention rates of students with disability entering university via ATAR and enabling program pathways. Institutions are widely dispersed across the plot, indicating a high degree of variability in relative retention outcomes. Points are distributed across a broad range of values on both sides of the line of equality, suggesting that retention outcomes for students with disability entering via enabling program pathways differ substantially between institutions, with no consistent advantage or disadvantage evident across the sector."/>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007A280C" w14:textId="57B299C5" w:rsidR="00E16C76" w:rsidRDefault="00CF5F20">
      <w:pPr>
        <w:pStyle w:val="Heading2"/>
        <w:rPr>
          <w:sz w:val="40"/>
          <w:szCs w:val="40"/>
        </w:rPr>
      </w:pPr>
      <w:bookmarkStart w:id="58" w:name="Xf895b8980c65c7e555b1efc1ae726235509537b"/>
      <w:bookmarkEnd w:id="56"/>
      <w:r w:rsidRPr="00A55BDB">
        <w:rPr>
          <w:sz w:val="40"/>
          <w:szCs w:val="40"/>
        </w:rPr>
        <w:lastRenderedPageBreak/>
        <w:t>Undergraduate retention rates of first</w:t>
      </w:r>
      <w:r w:rsidR="00AF32C1">
        <w:rPr>
          <w:sz w:val="40"/>
          <w:szCs w:val="40"/>
        </w:rPr>
        <w:t>-</w:t>
      </w:r>
      <w:r w:rsidRPr="00A55BDB">
        <w:rPr>
          <w:sz w:val="40"/>
          <w:szCs w:val="40"/>
        </w:rPr>
        <w:t>in</w:t>
      </w:r>
      <w:r w:rsidR="00AF32C1">
        <w:rPr>
          <w:sz w:val="40"/>
          <w:szCs w:val="40"/>
        </w:rPr>
        <w:t>-</w:t>
      </w:r>
      <w:r w:rsidRPr="00A55BDB">
        <w:rPr>
          <w:sz w:val="40"/>
          <w:szCs w:val="40"/>
        </w:rPr>
        <w:t>family students from ATAR vs enabling program pathways in 2022</w:t>
      </w:r>
    </w:p>
    <w:p w14:paraId="58D65462" w14:textId="77777777" w:rsidR="006851E5" w:rsidRPr="006851E5" w:rsidRDefault="006851E5" w:rsidP="006851E5">
      <w:pPr>
        <w:pStyle w:val="BodyText"/>
      </w:pPr>
    </w:p>
    <w:p w14:paraId="695F05F6" w14:textId="7F730AAD" w:rsidR="00E16C76" w:rsidRPr="00C04456" w:rsidRDefault="00CF5F20">
      <w:pPr>
        <w:pStyle w:val="ImageCaption"/>
      </w:pPr>
      <w:r w:rsidRPr="00884351">
        <w:rPr>
          <w:bCs/>
        </w:rPr>
        <w:t xml:space="preserve">Figure </w:t>
      </w:r>
      <w:bookmarkStart w:id="59" w:name="unnamed-chunk-43"/>
      <w:r w:rsidRPr="00884351">
        <w:rPr>
          <w:bCs/>
        </w:rPr>
        <w:fldChar w:fldCharType="begin"/>
      </w:r>
      <w:r w:rsidRPr="00884351">
        <w:rPr>
          <w:bCs/>
        </w:rPr>
        <w:instrText>SEQ fig \* Arabic</w:instrText>
      </w:r>
      <w:r w:rsidRPr="00884351">
        <w:rPr>
          <w:bCs/>
        </w:rPr>
        <w:fldChar w:fldCharType="separate"/>
      </w:r>
      <w:r w:rsidR="007F1DD8" w:rsidRPr="00884351">
        <w:rPr>
          <w:bCs/>
          <w:noProof/>
        </w:rPr>
        <w:t>26</w:t>
      </w:r>
      <w:r w:rsidRPr="00884351">
        <w:rPr>
          <w:bCs/>
        </w:rPr>
        <w:fldChar w:fldCharType="end"/>
      </w:r>
      <w:bookmarkEnd w:id="59"/>
      <w:r w:rsidRPr="00884351">
        <w:rPr>
          <w:bCs/>
        </w:rPr>
        <w:t>:</w:t>
      </w:r>
      <w:r w:rsidRPr="00884351">
        <w:rPr>
          <w:b/>
        </w:rPr>
        <w:t xml:space="preserve"> </w:t>
      </w:r>
      <w:r w:rsidRPr="00884351">
        <w:t>Relationship between the undergraduate retention rates of ATAR and enabling program pathway first</w:t>
      </w:r>
      <w:r w:rsidR="00AF32C1" w:rsidRPr="00884351">
        <w:t>-</w:t>
      </w:r>
      <w:r w:rsidRPr="00884351">
        <w:t>in</w:t>
      </w:r>
      <w:r w:rsidR="00AF32C1" w:rsidRPr="00884351">
        <w:t>-</w:t>
      </w:r>
      <w:r w:rsidRPr="00884351">
        <w:t xml:space="preserve">family students in 2022 </w:t>
      </w:r>
      <w:r w:rsidR="00CA0FB6">
        <w:t>(</w:t>
      </w:r>
      <w:r w:rsidRPr="00884351">
        <w:t>who returned</w:t>
      </w:r>
      <w:r w:rsidR="00CA0FB6">
        <w:t xml:space="preserve"> to study</w:t>
      </w:r>
      <w:r w:rsidRPr="00884351">
        <w:t xml:space="preserve"> in 2023</w:t>
      </w:r>
      <w:r w:rsidR="001836F6">
        <w:t>)</w:t>
      </w:r>
    </w:p>
    <w:p w14:paraId="7C046617" w14:textId="60C3B627" w:rsidR="00E16C76" w:rsidRDefault="00CF5F20" w:rsidP="00884351">
      <w:pPr>
        <w:pStyle w:val="Figure"/>
      </w:pPr>
      <w:r>
        <w:rPr>
          <w:noProof/>
        </w:rPr>
        <w:drawing>
          <wp:inline distT="0" distB="0" distL="0" distR="0" wp14:anchorId="53E30996" wp14:editId="0BAF7AE7">
            <wp:extent cx="8229600" cy="4571999"/>
            <wp:effectExtent l="0" t="0" r="0" b="635"/>
            <wp:docPr id="51" name="Picture 51" descr="The figure compares 2022 retention rates of first-in-family students entering university via ATAR and enabling program pathways. The distribution of points falls generally below the line of equality, with institutions occupying a reasonably wide but bounded range of retention outcomes. This indicates that first-in-family students entering via enabling program pathways generally experience lower retention than ATAR pathways, with institutional variation evident but not evenly balanced around pa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The figure compares 2022 retention rates of first-in-family students entering university via ATAR and enabling program pathways. The distribution of points falls generally below the line of equality, with institutions occupying a reasonably wide but bounded range of retention outcomes. This indicates that first-in-family students entering via enabling program pathways generally experience lower retention than ATAR pathways, with institutional variation evident but not evenly balanced around parity."/>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4FCD8A00" w14:textId="77777777" w:rsidR="00E16C76" w:rsidRDefault="00CF5F20">
      <w:pPr>
        <w:pStyle w:val="Heading2"/>
        <w:rPr>
          <w:sz w:val="40"/>
          <w:szCs w:val="40"/>
        </w:rPr>
      </w:pPr>
      <w:bookmarkStart w:id="60" w:name="X39f7ac92f62df0b85ac366f70cd948d1d28b530"/>
      <w:bookmarkEnd w:id="58"/>
      <w:r w:rsidRPr="00CC3EBB">
        <w:rPr>
          <w:sz w:val="40"/>
          <w:szCs w:val="40"/>
        </w:rPr>
        <w:lastRenderedPageBreak/>
        <w:t>Undergraduate retention rates of equity and non-equity enabling program pathway students at university in 2022</w:t>
      </w:r>
    </w:p>
    <w:p w14:paraId="31AC1548" w14:textId="77777777" w:rsidR="00CC3EBB" w:rsidRPr="00CC3EBB" w:rsidRDefault="00CC3EBB" w:rsidP="00CC3EBB">
      <w:pPr>
        <w:pStyle w:val="BodyText"/>
      </w:pPr>
    </w:p>
    <w:p w14:paraId="1B33EF67" w14:textId="7B6D94BE" w:rsidR="00E16C76" w:rsidRPr="00884351" w:rsidRDefault="00CF5F20">
      <w:pPr>
        <w:pStyle w:val="ImageCaption"/>
      </w:pPr>
      <w:r w:rsidRPr="00884351">
        <w:rPr>
          <w:bCs/>
        </w:rPr>
        <w:t xml:space="preserve">Figure </w:t>
      </w:r>
      <w:bookmarkStart w:id="61" w:name="unnamed-chunk-44"/>
      <w:r w:rsidRPr="00884351">
        <w:rPr>
          <w:bCs/>
        </w:rPr>
        <w:fldChar w:fldCharType="begin"/>
      </w:r>
      <w:r w:rsidRPr="00884351">
        <w:rPr>
          <w:bCs/>
        </w:rPr>
        <w:instrText>SEQ fig \* Arabic</w:instrText>
      </w:r>
      <w:r w:rsidRPr="00884351">
        <w:rPr>
          <w:bCs/>
        </w:rPr>
        <w:fldChar w:fldCharType="separate"/>
      </w:r>
      <w:r w:rsidR="007F1DD8" w:rsidRPr="00884351">
        <w:rPr>
          <w:bCs/>
          <w:noProof/>
        </w:rPr>
        <w:t>27</w:t>
      </w:r>
      <w:r w:rsidRPr="00884351">
        <w:rPr>
          <w:bCs/>
        </w:rPr>
        <w:fldChar w:fldCharType="end"/>
      </w:r>
      <w:bookmarkEnd w:id="61"/>
      <w:r w:rsidRPr="00884351">
        <w:rPr>
          <w:bCs/>
        </w:rPr>
        <w:t>:</w:t>
      </w:r>
      <w:r w:rsidRPr="00884351">
        <w:rPr>
          <w:b/>
        </w:rPr>
        <w:t xml:space="preserve"> </w:t>
      </w:r>
      <w:r w:rsidRPr="00884351">
        <w:t>Relationship between the retention rate of equity and non-equity students in 2022, whose main basis of admission into university was enabling programs</w:t>
      </w:r>
    </w:p>
    <w:p w14:paraId="295359D6" w14:textId="02D4C01F" w:rsidR="00E16C76" w:rsidRDefault="00CF5F20" w:rsidP="00884351">
      <w:pPr>
        <w:pStyle w:val="Figure"/>
      </w:pPr>
      <w:r>
        <w:rPr>
          <w:noProof/>
        </w:rPr>
        <w:drawing>
          <wp:inline distT="0" distB="0" distL="0" distR="0" wp14:anchorId="69480CCA" wp14:editId="1AE74E0A">
            <wp:extent cx="8229600" cy="4571999"/>
            <wp:effectExtent l="0" t="0" r="0" b="635"/>
            <wp:docPr id="53" name="Picture 53" descr="The figure is a scatter plot comparing undergraduate retention rates in 2022 for equity and non‑equity students whose main basis of admission to university was an enabling program. The x‑axis shows retention rates for non‑equity students and the y‑axis shows retention rates for equity students. Each dot represents a Table A institution, and the dotted 45‑degree line indicates equal retention rates for the two groups.  Institutions are widely dispersed around the line of equality, indicating substantial variation in relative retention outcomes. While many institutions lie below the line, indicating higher retention rates for non‑equity students, a notable number lie close to the line or above it, indicating similar or higher retention for equity students. Overall, the plot shows no uniform pattern across institutions, highlighting considerable heterogeneity in equity and non‑equity retention outcomes among enabling program pathway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he figure is a scatter plot comparing undergraduate retention rates in 2022 for equity and non‑equity students whose main basis of admission to university was an enabling program. The x‑axis shows retention rates for non‑equity students and the y‑axis shows retention rates for equity students. Each dot represents a Table A institution, and the dotted 45‑degree line indicates equal retention rates for the two groups.  Institutions are widely dispersed around the line of equality, indicating substantial variation in relative retention outcomes. While many institutions lie below the line, indicating higher retention rates for non‑equity students, a notable number lie close to the line or above it, indicating similar or higher retention for equity students. Overall, the plot shows no uniform pattern across institutions, highlighting considerable heterogeneity in equity and non‑equity retention outcomes among enabling program pathway students."/>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7DAA1D23" w14:textId="77777777" w:rsidR="00E16C76" w:rsidRPr="00884351" w:rsidRDefault="00CF5F20">
      <w:pPr>
        <w:pStyle w:val="Heading2"/>
      </w:pPr>
      <w:bookmarkStart w:id="62" w:name="Xf67d60689f16c8965dd095bc091761d34d64823"/>
      <w:bookmarkEnd w:id="60"/>
      <w:r w:rsidRPr="00884351">
        <w:lastRenderedPageBreak/>
        <w:t>Success rates of enabling program pathway students at university in 2023</w:t>
      </w:r>
    </w:p>
    <w:p w14:paraId="234CD80C" w14:textId="77777777" w:rsidR="002A67C4" w:rsidRPr="002A67C4" w:rsidRDefault="002A67C4" w:rsidP="002A67C4">
      <w:pPr>
        <w:pStyle w:val="BodyText"/>
      </w:pPr>
    </w:p>
    <w:p w14:paraId="022CC2FA" w14:textId="5254D19C" w:rsidR="00E16C76" w:rsidRPr="00C04456" w:rsidRDefault="00CF5F20">
      <w:pPr>
        <w:pStyle w:val="ImageCaption"/>
      </w:pPr>
      <w:r w:rsidRPr="00884351">
        <w:rPr>
          <w:bCs/>
        </w:rPr>
        <w:t xml:space="preserve">Figure </w:t>
      </w:r>
      <w:bookmarkStart w:id="63" w:name="unnamed-chunk-66"/>
      <w:r w:rsidRPr="00884351">
        <w:rPr>
          <w:bCs/>
        </w:rPr>
        <w:fldChar w:fldCharType="begin"/>
      </w:r>
      <w:r w:rsidRPr="00884351">
        <w:rPr>
          <w:bCs/>
        </w:rPr>
        <w:instrText>SEQ fig \* Arabic</w:instrText>
      </w:r>
      <w:r w:rsidRPr="00884351">
        <w:rPr>
          <w:bCs/>
        </w:rPr>
        <w:fldChar w:fldCharType="separate"/>
      </w:r>
      <w:r w:rsidR="007F1DD8" w:rsidRPr="00884351">
        <w:rPr>
          <w:bCs/>
          <w:noProof/>
        </w:rPr>
        <w:t>28</w:t>
      </w:r>
      <w:r w:rsidRPr="00884351">
        <w:rPr>
          <w:bCs/>
        </w:rPr>
        <w:fldChar w:fldCharType="end"/>
      </w:r>
      <w:bookmarkEnd w:id="63"/>
      <w:r w:rsidRPr="00884351">
        <w:rPr>
          <w:bCs/>
        </w:rPr>
        <w:t>:</w:t>
      </w:r>
      <w:r w:rsidRPr="00884351">
        <w:rPr>
          <w:b/>
        </w:rPr>
        <w:t xml:space="preserve"> </w:t>
      </w:r>
      <w:r w:rsidRPr="00884351">
        <w:t>Success rates of first</w:t>
      </w:r>
      <w:r w:rsidR="00220777">
        <w:t>-</w:t>
      </w:r>
      <w:r w:rsidRPr="00C04456">
        <w:t>year domestic undergraduate students admitted to university through enabling programs for 2023. Each dot represents a Table A institution with enrolments of students from enabling programs in 2023.</w:t>
      </w:r>
    </w:p>
    <w:p w14:paraId="6BC69679" w14:textId="7E0954AB" w:rsidR="00E16C76" w:rsidRDefault="00CF5F20" w:rsidP="00884351">
      <w:pPr>
        <w:pStyle w:val="Figure"/>
      </w:pPr>
      <w:r>
        <w:rPr>
          <w:noProof/>
        </w:rPr>
        <w:drawing>
          <wp:inline distT="0" distB="0" distL="0" distR="0" wp14:anchorId="2F3FC5F3" wp14:editId="340ECB23">
            <wp:extent cx="8229600" cy="4571999"/>
            <wp:effectExtent l="0" t="0" r="0" b="635"/>
            <wp:docPr id="55" name="Picture 55" descr="The figure is a jitter plot showing the distribution of undergraduate success rates in 2023 for domestic students who entered university through enabling programs and returned to study in 2023. The x‑axis displays equity groups as separate vertical columns, and the y‑axis shows success rates. Each dot represents a Table A institution, with horizontal jitter used to show the spread of institutions within each equity group.  Success rates vary substantially across institutions for all equity groups. Equity students show broader dispersion than non-equity students, with First Nations Australian students showing the widest range of success rates. These distributions indicate considerable institutional variation in success for enabling program pathway students among equity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The figure is a jitter plot showing the distribution of undergraduate success rates in 2023 for domestic students who entered university through enabling programs and returned to study in 2023. The x‑axis displays equity groups as separate vertical columns, and the y‑axis shows success rates. Each dot represents a Table A institution, with horizontal jitter used to show the spread of institutions within each equity group.  Success rates vary substantially across institutions for all equity groups. Equity students show broader dispersion than non-equity students, with First Nations Australian students showing the widest range of success rates. These distributions indicate considerable institutional variation in success for enabling program pathway students among equity groups."/>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3C878EB1" w14:textId="77777777" w:rsidR="00E16C76" w:rsidRDefault="00CF5F20">
      <w:pPr>
        <w:pStyle w:val="Heading2"/>
        <w:rPr>
          <w:sz w:val="40"/>
          <w:szCs w:val="40"/>
        </w:rPr>
      </w:pPr>
      <w:bookmarkStart w:id="64" w:name="Xb415ce1a6589a7129c64f06786d3071aefe6653"/>
      <w:bookmarkEnd w:id="62"/>
      <w:r w:rsidRPr="005E6117">
        <w:rPr>
          <w:sz w:val="40"/>
          <w:szCs w:val="40"/>
        </w:rPr>
        <w:lastRenderedPageBreak/>
        <w:t>Undergraduate success rates of all equity students from enabling program pathways in 2023</w:t>
      </w:r>
    </w:p>
    <w:p w14:paraId="033EA2FF" w14:textId="77777777" w:rsidR="005E6117" w:rsidRPr="005E6117" w:rsidRDefault="005E6117" w:rsidP="005E6117">
      <w:pPr>
        <w:pStyle w:val="BodyText"/>
      </w:pPr>
    </w:p>
    <w:p w14:paraId="3779F8D7" w14:textId="1AFA2950" w:rsidR="00E16C76" w:rsidRPr="00884351" w:rsidRDefault="00CF5F20">
      <w:pPr>
        <w:pStyle w:val="ImageCaption"/>
      </w:pPr>
      <w:r w:rsidRPr="00884351">
        <w:rPr>
          <w:bCs/>
        </w:rPr>
        <w:t xml:space="preserve">Figure </w:t>
      </w:r>
      <w:bookmarkStart w:id="65" w:name="unnamed-chunk-67"/>
      <w:r w:rsidRPr="00884351">
        <w:rPr>
          <w:bCs/>
        </w:rPr>
        <w:fldChar w:fldCharType="begin"/>
      </w:r>
      <w:r w:rsidRPr="00884351">
        <w:rPr>
          <w:bCs/>
        </w:rPr>
        <w:instrText>SEQ fig \* Arabic</w:instrText>
      </w:r>
      <w:r w:rsidRPr="00884351">
        <w:rPr>
          <w:bCs/>
        </w:rPr>
        <w:fldChar w:fldCharType="separate"/>
      </w:r>
      <w:r w:rsidR="007F1DD8" w:rsidRPr="00884351">
        <w:rPr>
          <w:bCs/>
          <w:noProof/>
        </w:rPr>
        <w:t>29</w:t>
      </w:r>
      <w:r w:rsidRPr="00884351">
        <w:rPr>
          <w:bCs/>
        </w:rPr>
        <w:fldChar w:fldCharType="end"/>
      </w:r>
      <w:bookmarkEnd w:id="65"/>
      <w:r w:rsidRPr="00884351">
        <w:rPr>
          <w:bCs/>
        </w:rPr>
        <w:t>:</w:t>
      </w:r>
      <w:r w:rsidRPr="00884351">
        <w:rPr>
          <w:b/>
        </w:rPr>
        <w:t xml:space="preserve"> </w:t>
      </w:r>
      <w:r w:rsidRPr="00884351">
        <w:t>Undergraduate success rates of enabling program pathway equity students in 2023</w:t>
      </w:r>
    </w:p>
    <w:p w14:paraId="5D4C1018" w14:textId="77777777" w:rsidR="00E16C76" w:rsidRDefault="00CF5F20">
      <w:pPr>
        <w:pStyle w:val="Figure"/>
      </w:pPr>
      <w:r>
        <w:rPr>
          <w:noProof/>
        </w:rPr>
        <w:drawing>
          <wp:inline distT="0" distB="0" distL="0" distR="0" wp14:anchorId="718F543A" wp14:editId="11E3A7F2">
            <wp:extent cx="8229600" cy="4571999"/>
            <wp:effectExtent l="0" t="0" r="0" b="635"/>
            <wp:docPr id="57" name="Picture 57" descr="This figure is a bar chart showing success rates of enabling program pathway students in 2023 for all equity students across Australian universities. The x‑axis lists institutions, ordered from highest to lowest success rate, and the y‑axis shows success rate as a percentage. Each bar represents one institution and is coloured by institutional grou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This figure is a bar chart showing success rates of enabling program pathway students in 2023 for all equity students across Australian universities. The x‑axis lists institutions, ordered from highest to lowest success rate, and the y‑axis shows success rate as a percentage. Each bar represents one institution and is coloured by institutional grouping."/>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4A124734" w14:textId="77777777" w:rsidR="00E16C76" w:rsidRDefault="00CF5F20">
      <w:r>
        <w:br w:type="page"/>
      </w:r>
    </w:p>
    <w:p w14:paraId="3A42719B" w14:textId="77777777" w:rsidR="00E16C76" w:rsidRDefault="00CF5F20">
      <w:pPr>
        <w:pStyle w:val="Heading2"/>
        <w:rPr>
          <w:sz w:val="40"/>
          <w:szCs w:val="40"/>
        </w:rPr>
      </w:pPr>
      <w:bookmarkStart w:id="66" w:name="X627ca5aa818e8422b365d66b011c3b0b56e39d7"/>
      <w:bookmarkEnd w:id="64"/>
      <w:r w:rsidRPr="003349A7">
        <w:rPr>
          <w:sz w:val="40"/>
          <w:szCs w:val="40"/>
        </w:rPr>
        <w:lastRenderedPageBreak/>
        <w:t>Undergraduate success rates of enabling program pathway students from low SES areas in 2023</w:t>
      </w:r>
    </w:p>
    <w:p w14:paraId="22D7D0B8" w14:textId="77777777" w:rsidR="003349A7" w:rsidRPr="003349A7" w:rsidRDefault="003349A7" w:rsidP="003349A7">
      <w:pPr>
        <w:pStyle w:val="BodyText"/>
      </w:pPr>
    </w:p>
    <w:p w14:paraId="220D0760" w14:textId="0A0F9B29" w:rsidR="00E16C76" w:rsidRPr="006A6246" w:rsidRDefault="00CF5F20">
      <w:pPr>
        <w:pStyle w:val="ImageCaption"/>
      </w:pPr>
      <w:r w:rsidRPr="006A6246">
        <w:rPr>
          <w:bCs/>
        </w:rPr>
        <w:t xml:space="preserve">Figure </w:t>
      </w:r>
      <w:bookmarkStart w:id="67" w:name="unnamed-chunk-68"/>
      <w:r w:rsidRPr="006A6246">
        <w:rPr>
          <w:bCs/>
        </w:rPr>
        <w:fldChar w:fldCharType="begin"/>
      </w:r>
      <w:r w:rsidRPr="006A6246">
        <w:rPr>
          <w:bCs/>
        </w:rPr>
        <w:instrText>SEQ fig \* Arabic</w:instrText>
      </w:r>
      <w:r w:rsidRPr="006A6246">
        <w:rPr>
          <w:bCs/>
        </w:rPr>
        <w:fldChar w:fldCharType="separate"/>
      </w:r>
      <w:r w:rsidR="007F1DD8" w:rsidRPr="006A6246">
        <w:rPr>
          <w:bCs/>
          <w:noProof/>
        </w:rPr>
        <w:t>30</w:t>
      </w:r>
      <w:r w:rsidRPr="006A6246">
        <w:rPr>
          <w:bCs/>
        </w:rPr>
        <w:fldChar w:fldCharType="end"/>
      </w:r>
      <w:bookmarkEnd w:id="67"/>
      <w:r w:rsidRPr="006A6246">
        <w:rPr>
          <w:bCs/>
        </w:rPr>
        <w:t>:</w:t>
      </w:r>
      <w:r w:rsidRPr="006A6246">
        <w:rPr>
          <w:b/>
        </w:rPr>
        <w:t xml:space="preserve"> </w:t>
      </w:r>
      <w:r w:rsidRPr="006A6246">
        <w:t>Undergraduate success rates of enabling program pathway students from low SES areas in 2023</w:t>
      </w:r>
    </w:p>
    <w:p w14:paraId="68E0ACF6" w14:textId="77777777" w:rsidR="00E16C76" w:rsidRDefault="00CF5F20">
      <w:pPr>
        <w:pStyle w:val="Figure"/>
      </w:pPr>
      <w:r>
        <w:rPr>
          <w:noProof/>
        </w:rPr>
        <w:drawing>
          <wp:inline distT="0" distB="0" distL="0" distR="0" wp14:anchorId="4F83DEEB" wp14:editId="40F8550D">
            <wp:extent cx="8229600" cy="4571999"/>
            <wp:effectExtent l="0" t="0" r="0" b="635"/>
            <wp:docPr id="59" name="Picture 59" descr="This figure is a bar chart showing success rates of enabling program pathway students from low SES areas in 2023 across Australian universities. The x‑axis lists institutions, ordered from highest to lowest success rate, and the y‑axis shows success rate as a percentage. Each bar represents one institution and is coloured by institutional grou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This figure is a bar chart showing success rates of enabling program pathway students from low SES areas in 2023 across Australian universities. The x‑axis lists institutions, ordered from highest to lowest success rate, and the y‑axis shows success rate as a percentage. Each bar represents one institution and is coloured by institutional grouping."/>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0E585753" w14:textId="77777777" w:rsidR="00E16C76" w:rsidRDefault="00CF5F20">
      <w:r>
        <w:br w:type="page"/>
      </w:r>
    </w:p>
    <w:p w14:paraId="6E1ACB97" w14:textId="13C0371C" w:rsidR="00E16C76" w:rsidRDefault="00CF5F20">
      <w:pPr>
        <w:pStyle w:val="Heading2"/>
        <w:rPr>
          <w:sz w:val="40"/>
          <w:szCs w:val="40"/>
        </w:rPr>
      </w:pPr>
      <w:bookmarkStart w:id="68" w:name="X31a471dc1b1067134c2edc4a3ec96f7e6c9b3e2"/>
      <w:bookmarkEnd w:id="66"/>
      <w:r w:rsidRPr="00DA37E6">
        <w:rPr>
          <w:sz w:val="40"/>
          <w:szCs w:val="40"/>
        </w:rPr>
        <w:lastRenderedPageBreak/>
        <w:t>Undergraduate success rates of enabling program pathway students from regional</w:t>
      </w:r>
      <w:r w:rsidR="005A00D0">
        <w:rPr>
          <w:sz w:val="40"/>
          <w:szCs w:val="40"/>
        </w:rPr>
        <w:t xml:space="preserve"> and </w:t>
      </w:r>
      <w:r w:rsidRPr="00DA37E6">
        <w:rPr>
          <w:sz w:val="40"/>
          <w:szCs w:val="40"/>
        </w:rPr>
        <w:t>remote areas in 2023</w:t>
      </w:r>
    </w:p>
    <w:p w14:paraId="72FAFE84" w14:textId="77777777" w:rsidR="00DA37E6" w:rsidRPr="00DA37E6" w:rsidRDefault="00DA37E6" w:rsidP="00DA37E6">
      <w:pPr>
        <w:pStyle w:val="BodyText"/>
      </w:pPr>
    </w:p>
    <w:p w14:paraId="150141CA" w14:textId="500EDE06" w:rsidR="00E16C76" w:rsidRPr="006A6246" w:rsidRDefault="00CF5F20">
      <w:pPr>
        <w:pStyle w:val="ImageCaption"/>
      </w:pPr>
      <w:r w:rsidRPr="006A6246">
        <w:rPr>
          <w:bCs/>
        </w:rPr>
        <w:t xml:space="preserve">Figure </w:t>
      </w:r>
      <w:bookmarkStart w:id="69" w:name="unnamed-chunk-69"/>
      <w:r w:rsidRPr="006A6246">
        <w:rPr>
          <w:bCs/>
        </w:rPr>
        <w:fldChar w:fldCharType="begin"/>
      </w:r>
      <w:r w:rsidRPr="006A6246">
        <w:rPr>
          <w:bCs/>
        </w:rPr>
        <w:instrText>SEQ fig \* Arabic</w:instrText>
      </w:r>
      <w:r w:rsidRPr="006A6246">
        <w:rPr>
          <w:bCs/>
        </w:rPr>
        <w:fldChar w:fldCharType="separate"/>
      </w:r>
      <w:r w:rsidR="007F1DD8" w:rsidRPr="006A6246">
        <w:rPr>
          <w:bCs/>
          <w:noProof/>
        </w:rPr>
        <w:t>31</w:t>
      </w:r>
      <w:r w:rsidRPr="006A6246">
        <w:rPr>
          <w:bCs/>
        </w:rPr>
        <w:fldChar w:fldCharType="end"/>
      </w:r>
      <w:bookmarkEnd w:id="69"/>
      <w:r w:rsidRPr="006A6246">
        <w:rPr>
          <w:bCs/>
        </w:rPr>
        <w:t>:</w:t>
      </w:r>
      <w:r w:rsidRPr="006A6246">
        <w:rPr>
          <w:b/>
        </w:rPr>
        <w:t xml:space="preserve"> </w:t>
      </w:r>
      <w:r w:rsidRPr="006A6246">
        <w:t>Undergraduate success rates of enabling program pathway regional/remote students in 2023</w:t>
      </w:r>
    </w:p>
    <w:p w14:paraId="6C45A571" w14:textId="77777777" w:rsidR="00E16C76" w:rsidRDefault="00CF5F20">
      <w:pPr>
        <w:pStyle w:val="Figure"/>
      </w:pPr>
      <w:r>
        <w:rPr>
          <w:noProof/>
        </w:rPr>
        <w:drawing>
          <wp:inline distT="0" distB="0" distL="0" distR="0" wp14:anchorId="0BE4A8BF" wp14:editId="0BC2886C">
            <wp:extent cx="8229600" cy="4571999"/>
            <wp:effectExtent l="0" t="0" r="0" b="635"/>
            <wp:docPr id="61" name="Picture 61" descr="This figure is a bar chart showing success rates of enabling program pathway students from regional or remote areas in 2023 across Australian universities. The x‑axis lists institutions, ordered from highest to lowest success rate, and the y‑axis shows success rate as a percentage. Each bar represents one institution and is coloured by institutional grou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This figure is a bar chart showing success rates of enabling program pathway students from regional or remote areas in 2023 across Australian universities. The x‑axis lists institutions, ordered from highest to lowest success rate, and the y‑axis shows success rate as a percentage. Each bar represents one institution and is coloured by institutional grouping."/>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46E8CFB2" w14:textId="77777777" w:rsidR="00E16C76" w:rsidRDefault="00CF5F20">
      <w:r>
        <w:br w:type="page"/>
      </w:r>
    </w:p>
    <w:p w14:paraId="6C74AC03" w14:textId="77777777" w:rsidR="00E16C76" w:rsidRDefault="00CF5F20">
      <w:pPr>
        <w:pStyle w:val="Heading2"/>
        <w:rPr>
          <w:sz w:val="40"/>
          <w:szCs w:val="40"/>
        </w:rPr>
      </w:pPr>
      <w:bookmarkStart w:id="70" w:name="X6e22410bca6b639cd60244298c5284bd78999e4"/>
      <w:bookmarkEnd w:id="68"/>
      <w:r w:rsidRPr="00C12A02">
        <w:rPr>
          <w:sz w:val="40"/>
          <w:szCs w:val="40"/>
        </w:rPr>
        <w:lastRenderedPageBreak/>
        <w:t>Undergraduate success rates of enabling program pathway First Nations Australians students in 2023</w:t>
      </w:r>
    </w:p>
    <w:p w14:paraId="51372714" w14:textId="77777777" w:rsidR="00C12A02" w:rsidRPr="00C12A02" w:rsidRDefault="00C12A02" w:rsidP="00C12A02">
      <w:pPr>
        <w:pStyle w:val="BodyText"/>
      </w:pPr>
    </w:p>
    <w:p w14:paraId="52F7F2D0" w14:textId="65687680" w:rsidR="00E16C76" w:rsidRPr="006A6246" w:rsidRDefault="00CF5F20">
      <w:pPr>
        <w:pStyle w:val="ImageCaption"/>
      </w:pPr>
      <w:r w:rsidRPr="006A6246">
        <w:rPr>
          <w:bCs/>
        </w:rPr>
        <w:t xml:space="preserve">Figure </w:t>
      </w:r>
      <w:bookmarkStart w:id="71" w:name="unnamed-chunk-70"/>
      <w:r w:rsidRPr="006A6246">
        <w:rPr>
          <w:bCs/>
        </w:rPr>
        <w:fldChar w:fldCharType="begin"/>
      </w:r>
      <w:r w:rsidRPr="006A6246">
        <w:rPr>
          <w:bCs/>
        </w:rPr>
        <w:instrText>SEQ fig \* Arabic</w:instrText>
      </w:r>
      <w:r w:rsidRPr="006A6246">
        <w:rPr>
          <w:bCs/>
        </w:rPr>
        <w:fldChar w:fldCharType="separate"/>
      </w:r>
      <w:r w:rsidR="007F1DD8" w:rsidRPr="006A6246">
        <w:rPr>
          <w:bCs/>
          <w:noProof/>
        </w:rPr>
        <w:t>32</w:t>
      </w:r>
      <w:r w:rsidRPr="006A6246">
        <w:rPr>
          <w:bCs/>
        </w:rPr>
        <w:fldChar w:fldCharType="end"/>
      </w:r>
      <w:bookmarkEnd w:id="71"/>
      <w:r w:rsidRPr="006A6246">
        <w:rPr>
          <w:bCs/>
        </w:rPr>
        <w:t>:</w:t>
      </w:r>
      <w:r w:rsidRPr="006A6246">
        <w:rPr>
          <w:b/>
        </w:rPr>
        <w:t xml:space="preserve"> </w:t>
      </w:r>
      <w:r w:rsidRPr="006A6246">
        <w:t>Undergraduate success rates of enabling program pathway First Nations Australians students in 2023</w:t>
      </w:r>
    </w:p>
    <w:p w14:paraId="0D2AFBFE" w14:textId="77777777" w:rsidR="00E16C76" w:rsidRDefault="00CF5F20">
      <w:pPr>
        <w:pStyle w:val="Figure"/>
      </w:pPr>
      <w:r>
        <w:rPr>
          <w:noProof/>
        </w:rPr>
        <w:drawing>
          <wp:inline distT="0" distB="0" distL="0" distR="0" wp14:anchorId="1A8ABAD9" wp14:editId="33D2818F">
            <wp:extent cx="8229600" cy="4571999"/>
            <wp:effectExtent l="0" t="0" r="0" b="635"/>
            <wp:docPr id="63" name="Picture 63" descr="This figure is a bar chart showing success rates of enabling program pathway First Nations Australian students in 2023 across Australian universities. The x‑axis lists institutions, ordered from highest to lowest success rate, and the y‑axis shows success rate as a percentage. Each bar represents one institution and is coloured by institutional grou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This figure is a bar chart showing success rates of enabling program pathway First Nations Australian students in 2023 across Australian universities. The x‑axis lists institutions, ordered from highest to lowest success rate, and the y‑axis shows success rate as a percentage. Each bar represents one institution and is coloured by institutional grouping."/>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4511FE5D" w14:textId="77777777" w:rsidR="00E16C76" w:rsidRDefault="00CF5F20">
      <w:r>
        <w:br w:type="page"/>
      </w:r>
    </w:p>
    <w:p w14:paraId="5E580D60" w14:textId="77777777" w:rsidR="00E16C76" w:rsidRDefault="00CF5F20">
      <w:pPr>
        <w:pStyle w:val="Heading2"/>
        <w:rPr>
          <w:sz w:val="40"/>
          <w:szCs w:val="40"/>
        </w:rPr>
      </w:pPr>
      <w:bookmarkStart w:id="72" w:name="Xec92438d3f73ae7b1d40e8358badf99d47071d5"/>
      <w:bookmarkEnd w:id="70"/>
      <w:r w:rsidRPr="00180B3E">
        <w:rPr>
          <w:sz w:val="40"/>
          <w:szCs w:val="40"/>
        </w:rPr>
        <w:lastRenderedPageBreak/>
        <w:t>Undergraduate success rates of enabling program pathway students with disability in 2023</w:t>
      </w:r>
    </w:p>
    <w:p w14:paraId="69922E1A" w14:textId="77777777" w:rsidR="00180B3E" w:rsidRPr="00180B3E" w:rsidRDefault="00180B3E" w:rsidP="00180B3E">
      <w:pPr>
        <w:pStyle w:val="BodyText"/>
      </w:pPr>
    </w:p>
    <w:p w14:paraId="730602AC" w14:textId="73970309" w:rsidR="00E16C76" w:rsidRPr="006A6246" w:rsidRDefault="00CF5F20">
      <w:pPr>
        <w:pStyle w:val="ImageCaption"/>
      </w:pPr>
      <w:r w:rsidRPr="006A6246">
        <w:rPr>
          <w:bCs/>
        </w:rPr>
        <w:t xml:space="preserve">Figure </w:t>
      </w:r>
      <w:bookmarkStart w:id="73" w:name="unnamed-chunk-71"/>
      <w:r w:rsidRPr="006A6246">
        <w:rPr>
          <w:bCs/>
        </w:rPr>
        <w:fldChar w:fldCharType="begin"/>
      </w:r>
      <w:r w:rsidRPr="006A6246">
        <w:rPr>
          <w:bCs/>
        </w:rPr>
        <w:instrText>SEQ fig \* Arabic</w:instrText>
      </w:r>
      <w:r w:rsidRPr="006A6246">
        <w:rPr>
          <w:bCs/>
        </w:rPr>
        <w:fldChar w:fldCharType="separate"/>
      </w:r>
      <w:r w:rsidR="007F1DD8" w:rsidRPr="006A6246">
        <w:rPr>
          <w:bCs/>
          <w:noProof/>
        </w:rPr>
        <w:t>33</w:t>
      </w:r>
      <w:r w:rsidRPr="006A6246">
        <w:rPr>
          <w:bCs/>
        </w:rPr>
        <w:fldChar w:fldCharType="end"/>
      </w:r>
      <w:bookmarkEnd w:id="73"/>
      <w:r w:rsidRPr="006A6246">
        <w:rPr>
          <w:bCs/>
        </w:rPr>
        <w:t>:</w:t>
      </w:r>
      <w:r w:rsidRPr="006A6246">
        <w:rPr>
          <w:b/>
        </w:rPr>
        <w:t xml:space="preserve"> </w:t>
      </w:r>
      <w:r w:rsidRPr="006A6246">
        <w:t>Undergraduate success rates of enabling program pathway students with disability in 2023</w:t>
      </w:r>
    </w:p>
    <w:p w14:paraId="48A188C7" w14:textId="77777777" w:rsidR="00E16C76" w:rsidRDefault="00CF5F20">
      <w:pPr>
        <w:pStyle w:val="Figure"/>
      </w:pPr>
      <w:r>
        <w:rPr>
          <w:noProof/>
        </w:rPr>
        <w:drawing>
          <wp:inline distT="0" distB="0" distL="0" distR="0" wp14:anchorId="3989E512" wp14:editId="487B2E71">
            <wp:extent cx="8229600" cy="4571999"/>
            <wp:effectExtent l="0" t="0" r="0" b="635"/>
            <wp:docPr id="65" name="Picture 65" descr="This figure is a bar chart showing success rates of enabling program pathway students with disability in 2023 across Australian universities. The x‑axis lists institutions, ordered from highest to lowest success rate, and the y‑axis shows success rate as a percentage. Each bar represents one institution and is coloured by institutional grou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This figure is a bar chart showing success rates of enabling program pathway students with disability in 2023 across Australian universities. The x‑axis lists institutions, ordered from highest to lowest success rate, and the y‑axis shows success rate as a percentage. Each bar represents one institution and is coloured by institutional grouping."/>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780923B7" w14:textId="77777777" w:rsidR="00E16C76" w:rsidRDefault="00CF5F20">
      <w:r>
        <w:br w:type="page"/>
      </w:r>
    </w:p>
    <w:p w14:paraId="11AC1320" w14:textId="089F0E63" w:rsidR="00E16C76" w:rsidRDefault="00CF5F20">
      <w:pPr>
        <w:pStyle w:val="Heading2"/>
        <w:rPr>
          <w:sz w:val="40"/>
          <w:szCs w:val="40"/>
        </w:rPr>
      </w:pPr>
      <w:bookmarkStart w:id="74" w:name="X6231e5d38eab89ece99957cecc88f4fc89e188c"/>
      <w:bookmarkEnd w:id="72"/>
      <w:r w:rsidRPr="00714AC7">
        <w:rPr>
          <w:sz w:val="40"/>
          <w:szCs w:val="40"/>
        </w:rPr>
        <w:lastRenderedPageBreak/>
        <w:t>Undergraduate success rates of enabling program pathway first</w:t>
      </w:r>
      <w:r w:rsidR="00AF32C1">
        <w:rPr>
          <w:sz w:val="40"/>
          <w:szCs w:val="40"/>
        </w:rPr>
        <w:t>-</w:t>
      </w:r>
      <w:r w:rsidRPr="00714AC7">
        <w:rPr>
          <w:sz w:val="40"/>
          <w:szCs w:val="40"/>
        </w:rPr>
        <w:t>in</w:t>
      </w:r>
      <w:r w:rsidR="00AF32C1">
        <w:rPr>
          <w:sz w:val="40"/>
          <w:szCs w:val="40"/>
        </w:rPr>
        <w:t>-</w:t>
      </w:r>
      <w:r w:rsidRPr="00714AC7">
        <w:rPr>
          <w:sz w:val="40"/>
          <w:szCs w:val="40"/>
        </w:rPr>
        <w:t>family students in 2023</w:t>
      </w:r>
    </w:p>
    <w:p w14:paraId="1E2420E2" w14:textId="77777777" w:rsidR="00714AC7" w:rsidRPr="00714AC7" w:rsidRDefault="00714AC7" w:rsidP="00714AC7">
      <w:pPr>
        <w:pStyle w:val="BodyText"/>
      </w:pPr>
    </w:p>
    <w:p w14:paraId="11667EFB" w14:textId="2BA380EB" w:rsidR="00E16C76" w:rsidRPr="006A6246" w:rsidRDefault="00CF5F20">
      <w:pPr>
        <w:pStyle w:val="ImageCaption"/>
      </w:pPr>
      <w:r w:rsidRPr="006A6246">
        <w:rPr>
          <w:bCs/>
        </w:rPr>
        <w:t xml:space="preserve">Figure </w:t>
      </w:r>
      <w:bookmarkStart w:id="75" w:name="unnamed-chunk-72"/>
      <w:r w:rsidRPr="006A6246">
        <w:rPr>
          <w:bCs/>
        </w:rPr>
        <w:fldChar w:fldCharType="begin"/>
      </w:r>
      <w:r w:rsidRPr="006A6246">
        <w:rPr>
          <w:bCs/>
        </w:rPr>
        <w:instrText>SEQ fig \* Arabic</w:instrText>
      </w:r>
      <w:r w:rsidRPr="006A6246">
        <w:rPr>
          <w:bCs/>
        </w:rPr>
        <w:fldChar w:fldCharType="separate"/>
      </w:r>
      <w:r w:rsidR="007F1DD8" w:rsidRPr="006A6246">
        <w:rPr>
          <w:bCs/>
          <w:noProof/>
        </w:rPr>
        <w:t>34</w:t>
      </w:r>
      <w:r w:rsidRPr="006A6246">
        <w:rPr>
          <w:bCs/>
        </w:rPr>
        <w:fldChar w:fldCharType="end"/>
      </w:r>
      <w:bookmarkEnd w:id="75"/>
      <w:r w:rsidRPr="006A6246">
        <w:rPr>
          <w:bCs/>
        </w:rPr>
        <w:t>:</w:t>
      </w:r>
      <w:r w:rsidRPr="006A6246">
        <w:rPr>
          <w:b/>
        </w:rPr>
        <w:t xml:space="preserve"> </w:t>
      </w:r>
      <w:r w:rsidRPr="006A6246">
        <w:t>Undergraduate success rates of enabling program pathway first</w:t>
      </w:r>
      <w:r w:rsidR="00AF32C1" w:rsidRPr="006A6246">
        <w:t>-</w:t>
      </w:r>
      <w:r w:rsidRPr="006A6246">
        <w:t>in</w:t>
      </w:r>
      <w:r w:rsidR="00AF32C1" w:rsidRPr="006A6246">
        <w:t>-</w:t>
      </w:r>
      <w:r w:rsidRPr="006A6246">
        <w:t>family students in 2023</w:t>
      </w:r>
    </w:p>
    <w:p w14:paraId="24221A2F" w14:textId="77777777" w:rsidR="00E16C76" w:rsidRDefault="00CF5F20">
      <w:pPr>
        <w:pStyle w:val="Figure"/>
      </w:pPr>
      <w:r>
        <w:rPr>
          <w:noProof/>
        </w:rPr>
        <w:drawing>
          <wp:inline distT="0" distB="0" distL="0" distR="0" wp14:anchorId="127ABF76" wp14:editId="0F214E39">
            <wp:extent cx="8229600" cy="4571999"/>
            <wp:effectExtent l="0" t="0" r="0" b="635"/>
            <wp:docPr id="67" name="Picture 67" descr="This figure is a bar chart showing success rates of enabling program pathway first-in-family students in 2023 across Australian universities. The x‑axis lists institutions, ordered from highest to lowest success rate, and the y‑axis shows success rate as a percentage. Each bar represents one institution and is coloured by institutional grou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This figure is a bar chart showing success rates of enabling program pathway first-in-family students in 2023 across Australian universities. The x‑axis lists institutions, ordered from highest to lowest success rate, and the y‑axis shows success rate as a percentage. Each bar represents one institution and is coloured by institutional grouping."/>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4B533CFD" w14:textId="77777777" w:rsidR="00E16C76" w:rsidRDefault="00CF5F20">
      <w:r>
        <w:br w:type="page"/>
      </w:r>
    </w:p>
    <w:p w14:paraId="53578D6D" w14:textId="77777777" w:rsidR="00E16C76" w:rsidRDefault="00CF5F20">
      <w:pPr>
        <w:pStyle w:val="Heading2"/>
        <w:rPr>
          <w:sz w:val="40"/>
          <w:szCs w:val="40"/>
        </w:rPr>
      </w:pPr>
      <w:bookmarkStart w:id="76" w:name="undergraduate-success-rates-nationally"/>
      <w:bookmarkEnd w:id="74"/>
      <w:r w:rsidRPr="00CB15CE">
        <w:rPr>
          <w:sz w:val="40"/>
          <w:szCs w:val="40"/>
        </w:rPr>
        <w:lastRenderedPageBreak/>
        <w:t>Undergraduate success rates nationally</w:t>
      </w:r>
    </w:p>
    <w:p w14:paraId="4FF9BD4D" w14:textId="77777777" w:rsidR="00CB15CE" w:rsidRPr="00CB15CE" w:rsidRDefault="00CB15CE" w:rsidP="00CB15CE">
      <w:pPr>
        <w:pStyle w:val="BodyText"/>
      </w:pPr>
    </w:p>
    <w:p w14:paraId="60D96E6E" w14:textId="3A958945" w:rsidR="00E16C76" w:rsidRDefault="00CF5F20">
      <w:pPr>
        <w:pStyle w:val="FirstParagraph"/>
      </w:pPr>
      <w:r>
        <w:t xml:space="preserve">Success rates for </w:t>
      </w:r>
      <w:r w:rsidR="004B748D">
        <w:t xml:space="preserve">both </w:t>
      </w:r>
      <w:r>
        <w:t>equity and non-equity students from enabling program pathways show</w:t>
      </w:r>
      <w:r w:rsidR="00CF480A">
        <w:t>ed</w:t>
      </w:r>
      <w:r>
        <w:t xml:space="preserve"> distinct upward trend</w:t>
      </w:r>
      <w:r w:rsidR="00975AB2">
        <w:t>s</w:t>
      </w:r>
      <w:r>
        <w:t xml:space="preserve"> in 2023.</w:t>
      </w:r>
    </w:p>
    <w:p w14:paraId="106E5804" w14:textId="77777777" w:rsidR="00E16C76" w:rsidRPr="006A6246" w:rsidRDefault="00CF5F20">
      <w:pPr>
        <w:pStyle w:val="ImageCaption"/>
      </w:pPr>
      <w:r w:rsidRPr="006A6246">
        <w:rPr>
          <w:bCs/>
        </w:rPr>
        <w:t xml:space="preserve">Figure </w:t>
      </w:r>
      <w:bookmarkStart w:id="77" w:name="unnamed-chunk-73"/>
      <w:r w:rsidRPr="006A6246">
        <w:rPr>
          <w:bCs/>
        </w:rPr>
        <w:fldChar w:fldCharType="begin"/>
      </w:r>
      <w:r w:rsidRPr="006A6246">
        <w:rPr>
          <w:bCs/>
        </w:rPr>
        <w:instrText>SEQ fig \* Arabic</w:instrText>
      </w:r>
      <w:r w:rsidRPr="006A6246">
        <w:rPr>
          <w:bCs/>
        </w:rPr>
        <w:fldChar w:fldCharType="separate"/>
      </w:r>
      <w:r w:rsidR="007F1DD8" w:rsidRPr="006A6246">
        <w:rPr>
          <w:bCs/>
          <w:noProof/>
        </w:rPr>
        <w:t>35</w:t>
      </w:r>
      <w:r w:rsidRPr="006A6246">
        <w:rPr>
          <w:bCs/>
        </w:rPr>
        <w:fldChar w:fldCharType="end"/>
      </w:r>
      <w:bookmarkEnd w:id="77"/>
      <w:r w:rsidRPr="006A6246">
        <w:rPr>
          <w:bCs/>
        </w:rPr>
        <w:t>:</w:t>
      </w:r>
      <w:r w:rsidRPr="006A6246">
        <w:rPr>
          <w:b/>
        </w:rPr>
        <w:t xml:space="preserve"> </w:t>
      </w:r>
      <w:r w:rsidRPr="006A6246">
        <w:t>Success rates of domestic undergraduate students admitted to university through enabling programs from 2021 to 2023</w:t>
      </w:r>
    </w:p>
    <w:p w14:paraId="74335410" w14:textId="77777777" w:rsidR="00E16C76" w:rsidRDefault="00CF5F20">
      <w:pPr>
        <w:pStyle w:val="Figure"/>
      </w:pPr>
      <w:r>
        <w:rPr>
          <w:noProof/>
        </w:rPr>
        <w:drawing>
          <wp:inline distT="0" distB="0" distL="0" distR="0" wp14:anchorId="1954DB2E" wp14:editId="378ED8D1">
            <wp:extent cx="8229600" cy="3898231"/>
            <wp:effectExtent l="0" t="0" r="0" b="7620"/>
            <wp:docPr id="69" name="Picture 69" descr="The figure compares national first-year success rates for enabling program and ATAR pathway students between 2021 and 2023. Non-equity enabling students have success rates between ATAR 60-69 and 70–79 students, while equity enabling program pathway students have success rates around or below ATAR 60–69 students. First Nations Australian students show the biggest disparity between enabling program and ATAR pathway success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The figure compares national first-year success rates for enabling program and ATAR pathway students between 2021 and 2023. Non-equity enabling students have success rates between ATAR 60-69 and 70–79 students, while equity enabling program pathway students have success rates around or below ATAR 60–69 students. First Nations Australian students show the biggest disparity between enabling program and ATAR pathway success rates."/>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8229600" cy="3898231"/>
                    </a:xfrm>
                    <a:prstGeom prst="rect">
                      <a:avLst/>
                    </a:prstGeom>
                    <a:noFill/>
                  </pic:spPr>
                </pic:pic>
              </a:graphicData>
            </a:graphic>
          </wp:inline>
        </w:drawing>
      </w:r>
    </w:p>
    <w:p w14:paraId="702CD602" w14:textId="77777777" w:rsidR="00E16C76" w:rsidRDefault="00CF5F20">
      <w:r>
        <w:br w:type="page"/>
      </w:r>
    </w:p>
    <w:p w14:paraId="031AEFA9" w14:textId="15BFE400" w:rsidR="00E16C76" w:rsidRDefault="00CF5F20">
      <w:pPr>
        <w:pStyle w:val="Heading2"/>
        <w:rPr>
          <w:sz w:val="40"/>
          <w:szCs w:val="40"/>
        </w:rPr>
      </w:pPr>
      <w:bookmarkStart w:id="78" w:name="Xa7097d20a9116b6101c93181b0bd54a2734ee77"/>
      <w:bookmarkEnd w:id="76"/>
      <w:r w:rsidRPr="001A5438">
        <w:rPr>
          <w:sz w:val="40"/>
          <w:szCs w:val="40"/>
        </w:rPr>
        <w:lastRenderedPageBreak/>
        <w:t>First</w:t>
      </w:r>
      <w:r w:rsidR="00C41B2D">
        <w:rPr>
          <w:sz w:val="40"/>
          <w:szCs w:val="40"/>
        </w:rPr>
        <w:t>-</w:t>
      </w:r>
      <w:r w:rsidRPr="001A5438">
        <w:rPr>
          <w:sz w:val="40"/>
          <w:szCs w:val="40"/>
        </w:rPr>
        <w:t>year success rates at Group of Eight universities</w:t>
      </w:r>
    </w:p>
    <w:p w14:paraId="473444EE" w14:textId="77777777" w:rsidR="001A5438" w:rsidRPr="001A5438" w:rsidRDefault="001A5438" w:rsidP="001A5438">
      <w:pPr>
        <w:pStyle w:val="BodyText"/>
      </w:pPr>
    </w:p>
    <w:p w14:paraId="3B68CD48" w14:textId="49A8EE66" w:rsidR="00E16C76" w:rsidRDefault="00CF5F20">
      <w:pPr>
        <w:pStyle w:val="FirstParagraph"/>
      </w:pPr>
      <w:r>
        <w:t>Non-equity students from enabling programs ha</w:t>
      </w:r>
      <w:r w:rsidR="00261305">
        <w:t>d</w:t>
      </w:r>
      <w:r>
        <w:t xml:space="preserve"> success rates comparable to those of ATAR 70</w:t>
      </w:r>
      <w:r w:rsidR="00930CF8" w:rsidRPr="00930CF8">
        <w:t>–</w:t>
      </w:r>
      <w:r>
        <w:t>79 non-equity students, while equity students from enabling programs consistently ha</w:t>
      </w:r>
      <w:r w:rsidR="00261305">
        <w:t>d</w:t>
      </w:r>
      <w:r>
        <w:t xml:space="preserve"> success rates more comparable to those of ATAR 60</w:t>
      </w:r>
      <w:r w:rsidR="00930CF8" w:rsidRPr="00930CF8">
        <w:t>–</w:t>
      </w:r>
      <w:r>
        <w:t>69 equity students.</w:t>
      </w:r>
    </w:p>
    <w:p w14:paraId="3E98276A" w14:textId="7A84E528" w:rsidR="00E16C76" w:rsidRPr="006A6246" w:rsidRDefault="00CF5F20">
      <w:pPr>
        <w:pStyle w:val="ImageCaption"/>
      </w:pPr>
      <w:r w:rsidRPr="006A6246">
        <w:rPr>
          <w:bCs/>
        </w:rPr>
        <w:t xml:space="preserve">Figure </w:t>
      </w:r>
      <w:bookmarkStart w:id="79" w:name="unnamed-chunk-74"/>
      <w:r w:rsidRPr="006A6246">
        <w:rPr>
          <w:bCs/>
        </w:rPr>
        <w:fldChar w:fldCharType="begin"/>
      </w:r>
      <w:r w:rsidRPr="006A6246">
        <w:rPr>
          <w:bCs/>
        </w:rPr>
        <w:instrText>SEQ fig \* Arabic</w:instrText>
      </w:r>
      <w:r w:rsidRPr="006A6246">
        <w:rPr>
          <w:bCs/>
        </w:rPr>
        <w:fldChar w:fldCharType="separate"/>
      </w:r>
      <w:r w:rsidR="007F1DD8" w:rsidRPr="006A6246">
        <w:rPr>
          <w:bCs/>
          <w:noProof/>
        </w:rPr>
        <w:t>36</w:t>
      </w:r>
      <w:r w:rsidRPr="006A6246">
        <w:rPr>
          <w:bCs/>
        </w:rPr>
        <w:fldChar w:fldCharType="end"/>
      </w:r>
      <w:bookmarkEnd w:id="79"/>
      <w:r w:rsidRPr="006A6246">
        <w:rPr>
          <w:bCs/>
        </w:rPr>
        <w:t>:</w:t>
      </w:r>
      <w:r w:rsidRPr="006A6246">
        <w:rPr>
          <w:b/>
        </w:rPr>
        <w:t xml:space="preserve"> </w:t>
      </w:r>
      <w:r w:rsidRPr="006A6246">
        <w:t xml:space="preserve">Success rates of domestic undergraduate students admitted to university through enabling programs </w:t>
      </w:r>
      <w:r w:rsidR="00261305">
        <w:t>from</w:t>
      </w:r>
      <w:r w:rsidRPr="006A6246">
        <w:t xml:space="preserve"> 2021</w:t>
      </w:r>
      <w:r w:rsidR="00E8340A">
        <w:t xml:space="preserve"> to </w:t>
      </w:r>
      <w:r w:rsidRPr="006A6246">
        <w:t>2023 at Group of Eight universities</w:t>
      </w:r>
    </w:p>
    <w:p w14:paraId="6E2CD955" w14:textId="77777777" w:rsidR="00E16C76" w:rsidRDefault="00CF5F20">
      <w:pPr>
        <w:pStyle w:val="Figure"/>
      </w:pPr>
      <w:r>
        <w:rPr>
          <w:noProof/>
        </w:rPr>
        <w:drawing>
          <wp:inline distT="0" distB="0" distL="0" distR="0" wp14:anchorId="488428F0" wp14:editId="7E6A607B">
            <wp:extent cx="8686800" cy="4114799"/>
            <wp:effectExtent l="0" t="0" r="0" b="635"/>
            <wp:docPr id="71" name="Picture 71" descr="The figure compares first-year success rates for enabling program and ATAR pathway students at Group of Eight universities between 2021 and 2023. Non-equity enabling students have success rates comparable to ATAR 70–79 students, while equity enabling program pathway students have success rates more comparable to ATAR 60–69 students. First Nations Australian students show the biggest disparity between enabling program and ATAR pathway success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The figure compares first-year success rates for enabling program and ATAR pathway students at Group of Eight universities between 2021 and 2023. Non-equity enabling students have success rates comparable to ATAR 70–79 students, while equity enabling program pathway students have success rates more comparable to ATAR 60–69 students. First Nations Australian students show the biggest disparity between enabling program and ATAR pathway success rates."/>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8686800" cy="4114799"/>
                    </a:xfrm>
                    <a:prstGeom prst="rect">
                      <a:avLst/>
                    </a:prstGeom>
                    <a:noFill/>
                  </pic:spPr>
                </pic:pic>
              </a:graphicData>
            </a:graphic>
          </wp:inline>
        </w:drawing>
      </w:r>
    </w:p>
    <w:p w14:paraId="499A8B30" w14:textId="77777777" w:rsidR="00E16C76" w:rsidRDefault="00CF5F20">
      <w:r>
        <w:br w:type="page"/>
      </w:r>
    </w:p>
    <w:p w14:paraId="48DA8D46" w14:textId="57582BB0" w:rsidR="00E16C76" w:rsidRDefault="00CF5F20">
      <w:pPr>
        <w:pStyle w:val="Heading2"/>
        <w:rPr>
          <w:sz w:val="40"/>
          <w:szCs w:val="40"/>
        </w:rPr>
      </w:pPr>
      <w:bookmarkStart w:id="80" w:name="Xfea56bf369c8178cc2b9c2773bdbe190554b863"/>
      <w:bookmarkEnd w:id="78"/>
      <w:r w:rsidRPr="00EB21CB">
        <w:rPr>
          <w:sz w:val="40"/>
          <w:szCs w:val="40"/>
        </w:rPr>
        <w:lastRenderedPageBreak/>
        <w:t>First</w:t>
      </w:r>
      <w:r w:rsidR="00BF15B7">
        <w:rPr>
          <w:sz w:val="40"/>
          <w:szCs w:val="40"/>
        </w:rPr>
        <w:t>-</w:t>
      </w:r>
      <w:r w:rsidRPr="00EB21CB">
        <w:rPr>
          <w:sz w:val="40"/>
          <w:szCs w:val="40"/>
        </w:rPr>
        <w:t>year success rates at Australian Technology Network universities</w:t>
      </w:r>
    </w:p>
    <w:p w14:paraId="1664E252" w14:textId="77777777" w:rsidR="00EB21CB" w:rsidRPr="00EB21CB" w:rsidRDefault="00EB21CB" w:rsidP="00EB21CB">
      <w:pPr>
        <w:pStyle w:val="BodyText"/>
      </w:pPr>
    </w:p>
    <w:p w14:paraId="036A924C" w14:textId="6BE4F078" w:rsidR="00E16C76" w:rsidRDefault="00CF5F20">
      <w:pPr>
        <w:pStyle w:val="FirstParagraph"/>
      </w:pPr>
      <w:r>
        <w:t>Non-equity students from enabling programs ha</w:t>
      </w:r>
      <w:r w:rsidR="0006091C">
        <w:t>d</w:t>
      </w:r>
      <w:r>
        <w:t xml:space="preserve"> success rates comparable to those of ATAR 60</w:t>
      </w:r>
      <w:r w:rsidR="0006091C" w:rsidRPr="00930CF8">
        <w:t>–</w:t>
      </w:r>
      <w:r>
        <w:t>69 non-equity students, while equity students from enabling programs consistently ha</w:t>
      </w:r>
      <w:r w:rsidR="0006091C">
        <w:t>d</w:t>
      </w:r>
      <w:r>
        <w:t xml:space="preserve"> success rates between ATAR 50</w:t>
      </w:r>
      <w:r w:rsidR="0006091C" w:rsidRPr="00930CF8">
        <w:t>–</w:t>
      </w:r>
      <w:r>
        <w:t>59 and ATAR 60</w:t>
      </w:r>
      <w:r w:rsidR="0006091C" w:rsidRPr="00930CF8">
        <w:t>–</w:t>
      </w:r>
      <w:r>
        <w:t>69 equity students.</w:t>
      </w:r>
    </w:p>
    <w:p w14:paraId="2A7B1540" w14:textId="1A99F435" w:rsidR="00E16C76" w:rsidRPr="006A6246" w:rsidRDefault="00CF5F20">
      <w:pPr>
        <w:pStyle w:val="ImageCaption"/>
      </w:pPr>
      <w:r w:rsidRPr="006A6246">
        <w:rPr>
          <w:bCs/>
        </w:rPr>
        <w:t xml:space="preserve">Figure </w:t>
      </w:r>
      <w:bookmarkStart w:id="81" w:name="unnamed-chunk-75"/>
      <w:r w:rsidRPr="006A6246">
        <w:rPr>
          <w:bCs/>
        </w:rPr>
        <w:fldChar w:fldCharType="begin"/>
      </w:r>
      <w:r w:rsidRPr="006A6246">
        <w:rPr>
          <w:bCs/>
        </w:rPr>
        <w:instrText>SEQ fig \* Arabic</w:instrText>
      </w:r>
      <w:r w:rsidRPr="006A6246">
        <w:rPr>
          <w:bCs/>
        </w:rPr>
        <w:fldChar w:fldCharType="separate"/>
      </w:r>
      <w:r w:rsidR="007F1DD8" w:rsidRPr="006A6246">
        <w:rPr>
          <w:bCs/>
          <w:noProof/>
        </w:rPr>
        <w:t>37</w:t>
      </w:r>
      <w:r w:rsidRPr="006A6246">
        <w:rPr>
          <w:bCs/>
        </w:rPr>
        <w:fldChar w:fldCharType="end"/>
      </w:r>
      <w:bookmarkEnd w:id="81"/>
      <w:r w:rsidRPr="006A6246">
        <w:rPr>
          <w:bCs/>
        </w:rPr>
        <w:t>:</w:t>
      </w:r>
      <w:r w:rsidRPr="006A6246">
        <w:rPr>
          <w:b/>
        </w:rPr>
        <w:t xml:space="preserve"> </w:t>
      </w:r>
      <w:r w:rsidRPr="006A6246">
        <w:t xml:space="preserve">Success rates of domestic undergraduate students admitted to university through enabling programs </w:t>
      </w:r>
      <w:r w:rsidR="0006091C">
        <w:t>from</w:t>
      </w:r>
      <w:r w:rsidRPr="006A6246">
        <w:t xml:space="preserve"> 2021</w:t>
      </w:r>
      <w:r w:rsidR="00E8340A">
        <w:t xml:space="preserve"> to </w:t>
      </w:r>
      <w:r w:rsidRPr="006A6246">
        <w:t>2023 at Australian Technology Network universities</w:t>
      </w:r>
    </w:p>
    <w:p w14:paraId="4EEAEF19" w14:textId="77777777" w:rsidR="00E16C76" w:rsidRDefault="00CF5F20">
      <w:pPr>
        <w:pStyle w:val="Figure"/>
      </w:pPr>
      <w:r>
        <w:rPr>
          <w:noProof/>
        </w:rPr>
        <w:drawing>
          <wp:inline distT="0" distB="0" distL="0" distR="0" wp14:anchorId="125507A7" wp14:editId="2604B415">
            <wp:extent cx="8686800" cy="4114799"/>
            <wp:effectExtent l="0" t="0" r="0" b="635"/>
            <wp:docPr id="73" name="Picture 73" descr="The figure compares first-year success rates for enabling program and ATAR students at Australian Technology Network universities between 2021 and 2023. The disparity between ATAR and enabling program pathway students remains fairly consistent across all equity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The figure compares first-year success rates for enabling program and ATAR students at Australian Technology Network universities between 2021 and 2023. The disparity between ATAR and enabling program pathway students remains fairly consistent across all equity groups."/>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8686800" cy="4114799"/>
                    </a:xfrm>
                    <a:prstGeom prst="rect">
                      <a:avLst/>
                    </a:prstGeom>
                    <a:noFill/>
                  </pic:spPr>
                </pic:pic>
              </a:graphicData>
            </a:graphic>
          </wp:inline>
        </w:drawing>
      </w:r>
    </w:p>
    <w:p w14:paraId="25E36A6D" w14:textId="77777777" w:rsidR="00E16C76" w:rsidRDefault="00CF5F20">
      <w:r>
        <w:br w:type="page"/>
      </w:r>
    </w:p>
    <w:p w14:paraId="207690FF" w14:textId="1D8C0C4C" w:rsidR="00E16C76" w:rsidRDefault="00CF5F20">
      <w:pPr>
        <w:pStyle w:val="Heading2"/>
        <w:rPr>
          <w:sz w:val="40"/>
          <w:szCs w:val="40"/>
        </w:rPr>
      </w:pPr>
      <w:bookmarkStart w:id="82" w:name="X7d580ca709db8640dc9527784d4133aa5c61631"/>
      <w:bookmarkEnd w:id="80"/>
      <w:r w:rsidRPr="00180636">
        <w:rPr>
          <w:sz w:val="40"/>
          <w:szCs w:val="40"/>
        </w:rPr>
        <w:lastRenderedPageBreak/>
        <w:t>First</w:t>
      </w:r>
      <w:r w:rsidR="00C46ABF">
        <w:rPr>
          <w:sz w:val="40"/>
          <w:szCs w:val="40"/>
        </w:rPr>
        <w:t>-</w:t>
      </w:r>
      <w:r w:rsidRPr="00180636">
        <w:rPr>
          <w:sz w:val="40"/>
          <w:szCs w:val="40"/>
        </w:rPr>
        <w:t>year success rates at Innovative Research Universities</w:t>
      </w:r>
    </w:p>
    <w:p w14:paraId="4B2751F1" w14:textId="77777777" w:rsidR="00180636" w:rsidRPr="00180636" w:rsidRDefault="00180636" w:rsidP="00180636">
      <w:pPr>
        <w:pStyle w:val="BodyText"/>
      </w:pPr>
    </w:p>
    <w:p w14:paraId="7FA53F5B" w14:textId="499EC0B7" w:rsidR="00E16C76" w:rsidRDefault="00CF5F20">
      <w:pPr>
        <w:pStyle w:val="FirstParagraph"/>
      </w:pPr>
      <w:r>
        <w:t>Both non-equity and equity students from enabling programs ha</w:t>
      </w:r>
      <w:r w:rsidR="009A1F6F">
        <w:t>d</w:t>
      </w:r>
      <w:r>
        <w:t xml:space="preserve"> success rates comparable to those of ATAR 50</w:t>
      </w:r>
      <w:r w:rsidR="009A1F6F" w:rsidRPr="00930CF8">
        <w:t>–</w:t>
      </w:r>
      <w:r>
        <w:t xml:space="preserve">59 non-equity students, though all students from enabling programs </w:t>
      </w:r>
      <w:r w:rsidR="009A1F6F">
        <w:t>were</w:t>
      </w:r>
      <w:r>
        <w:t xml:space="preserve"> consistently below ATAR pathway students overall.</w:t>
      </w:r>
      <w:r w:rsidR="009A1F6F" w:rsidRPr="009A1F6F">
        <w:t xml:space="preserve"> </w:t>
      </w:r>
    </w:p>
    <w:p w14:paraId="017C7329" w14:textId="346F2A5E" w:rsidR="00E16C76" w:rsidRPr="006A6246" w:rsidRDefault="00CF5F20">
      <w:pPr>
        <w:pStyle w:val="ImageCaption"/>
      </w:pPr>
      <w:r w:rsidRPr="006A6246">
        <w:rPr>
          <w:bCs/>
        </w:rPr>
        <w:t xml:space="preserve">Figure </w:t>
      </w:r>
      <w:bookmarkStart w:id="83" w:name="unnamed-chunk-76"/>
      <w:r w:rsidRPr="006A6246">
        <w:rPr>
          <w:bCs/>
        </w:rPr>
        <w:fldChar w:fldCharType="begin"/>
      </w:r>
      <w:r w:rsidRPr="006A6246">
        <w:rPr>
          <w:bCs/>
        </w:rPr>
        <w:instrText>SEQ fig \* Arabic</w:instrText>
      </w:r>
      <w:r w:rsidRPr="006A6246">
        <w:rPr>
          <w:bCs/>
        </w:rPr>
        <w:fldChar w:fldCharType="separate"/>
      </w:r>
      <w:r w:rsidR="007F1DD8" w:rsidRPr="006A6246">
        <w:rPr>
          <w:bCs/>
          <w:noProof/>
        </w:rPr>
        <w:t>38</w:t>
      </w:r>
      <w:r w:rsidRPr="006A6246">
        <w:rPr>
          <w:bCs/>
        </w:rPr>
        <w:fldChar w:fldCharType="end"/>
      </w:r>
      <w:bookmarkEnd w:id="83"/>
      <w:r w:rsidRPr="006A6246">
        <w:rPr>
          <w:bCs/>
        </w:rPr>
        <w:t>:</w:t>
      </w:r>
      <w:r w:rsidRPr="006A6246">
        <w:rPr>
          <w:b/>
        </w:rPr>
        <w:t xml:space="preserve"> </w:t>
      </w:r>
      <w:r w:rsidRPr="006A6246">
        <w:t xml:space="preserve">Success rates of domestic undergraduate students admitted to university through enabling programs </w:t>
      </w:r>
      <w:r w:rsidR="009A1F6F">
        <w:t>from</w:t>
      </w:r>
      <w:r w:rsidRPr="006A6246">
        <w:t xml:space="preserve"> 2021</w:t>
      </w:r>
      <w:r w:rsidR="00E8340A">
        <w:t xml:space="preserve"> to </w:t>
      </w:r>
      <w:r w:rsidRPr="006A6246">
        <w:t>2023 at Innovative Research Universities</w:t>
      </w:r>
    </w:p>
    <w:p w14:paraId="1E5A8AFE" w14:textId="77777777" w:rsidR="00E16C76" w:rsidRDefault="00CF5F20">
      <w:pPr>
        <w:pStyle w:val="Figure"/>
      </w:pPr>
      <w:r>
        <w:rPr>
          <w:noProof/>
        </w:rPr>
        <w:drawing>
          <wp:inline distT="0" distB="0" distL="0" distR="0" wp14:anchorId="7516F0B2" wp14:editId="1C9EA115">
            <wp:extent cx="8686800" cy="4114799"/>
            <wp:effectExtent l="0" t="0" r="0" b="635"/>
            <wp:docPr id="75" name="Picture 75" descr="The figure shows first-year success rates for enabling program and ATAR pathway students at Innovative Research Universities between 2021 and 2023. Both equity and non-equity enabling program pathway students have success rates comparable to lower ATAR bands and remain below ATAR pathway students 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The figure shows first-year success rates for enabling program and ATAR pathway students at Innovative Research Universities between 2021 and 2023. Both equity and non-equity enabling program pathway students have success rates comparable to lower ATAR bands and remain below ATAR pathway students overall."/>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8686800" cy="4114799"/>
                    </a:xfrm>
                    <a:prstGeom prst="rect">
                      <a:avLst/>
                    </a:prstGeom>
                    <a:noFill/>
                  </pic:spPr>
                </pic:pic>
              </a:graphicData>
            </a:graphic>
          </wp:inline>
        </w:drawing>
      </w:r>
    </w:p>
    <w:p w14:paraId="1292F45D" w14:textId="77777777" w:rsidR="00E16C76" w:rsidRDefault="00CF5F20">
      <w:r>
        <w:br w:type="page"/>
      </w:r>
    </w:p>
    <w:p w14:paraId="2AB55AB5" w14:textId="3D20D850" w:rsidR="00E16C76" w:rsidRDefault="00CF5F20">
      <w:pPr>
        <w:pStyle w:val="Heading2"/>
        <w:rPr>
          <w:sz w:val="40"/>
          <w:szCs w:val="40"/>
        </w:rPr>
      </w:pPr>
      <w:bookmarkStart w:id="84" w:name="X0874f1fcb24a12ab70a4b5c7adecf583940f679"/>
      <w:bookmarkEnd w:id="82"/>
      <w:r w:rsidRPr="004D5D23">
        <w:rPr>
          <w:sz w:val="40"/>
          <w:szCs w:val="40"/>
        </w:rPr>
        <w:lastRenderedPageBreak/>
        <w:t>First</w:t>
      </w:r>
      <w:r w:rsidR="00122F6F">
        <w:rPr>
          <w:sz w:val="40"/>
          <w:szCs w:val="40"/>
        </w:rPr>
        <w:t>-</w:t>
      </w:r>
      <w:r w:rsidRPr="004D5D23">
        <w:rPr>
          <w:sz w:val="40"/>
          <w:szCs w:val="40"/>
        </w:rPr>
        <w:t>year success rates at Regional Universities Network universities</w:t>
      </w:r>
    </w:p>
    <w:p w14:paraId="75C0CA0A" w14:textId="77777777" w:rsidR="004D5D23" w:rsidRPr="004D5D23" w:rsidRDefault="004D5D23" w:rsidP="004D5D23">
      <w:pPr>
        <w:pStyle w:val="BodyText"/>
      </w:pPr>
    </w:p>
    <w:p w14:paraId="0A659575" w14:textId="486F8499" w:rsidR="00E16C76" w:rsidRDefault="00CF5F20">
      <w:pPr>
        <w:pStyle w:val="FirstParagraph"/>
      </w:pPr>
      <w:r>
        <w:t>Non-equity students from enabling programs ha</w:t>
      </w:r>
      <w:r w:rsidR="004D0784">
        <w:t>d</w:t>
      </w:r>
      <w:r>
        <w:t xml:space="preserve"> success rates comparable to ATAR 70</w:t>
      </w:r>
      <w:r w:rsidR="004D0784" w:rsidRPr="00930CF8">
        <w:t>–</w:t>
      </w:r>
      <w:r>
        <w:t xml:space="preserve">79 </w:t>
      </w:r>
      <w:r w:rsidR="004D0784">
        <w:t xml:space="preserve">non-equity </w:t>
      </w:r>
      <w:r>
        <w:t>students</w:t>
      </w:r>
      <w:r w:rsidR="004D0784" w:rsidRPr="004D0784">
        <w:t>—</w:t>
      </w:r>
      <w:r>
        <w:t>above the average for ATAR pathway students. Equity students from enabling programs ha</w:t>
      </w:r>
      <w:r w:rsidR="004D0784">
        <w:t>d</w:t>
      </w:r>
      <w:r>
        <w:t xml:space="preserve"> success rates generally between ATAR 60</w:t>
      </w:r>
      <w:r w:rsidR="004D0784" w:rsidRPr="00930CF8">
        <w:t>–</w:t>
      </w:r>
      <w:r>
        <w:t>69 and ATAR 70</w:t>
      </w:r>
      <w:r w:rsidR="004D0784" w:rsidRPr="00930CF8">
        <w:t>–</w:t>
      </w:r>
      <w:r>
        <w:t xml:space="preserve">79 </w:t>
      </w:r>
      <w:r w:rsidR="004D0784">
        <w:t xml:space="preserve">equity </w:t>
      </w:r>
      <w:r>
        <w:t>students.</w:t>
      </w:r>
      <w:r w:rsidR="004D0784" w:rsidRPr="004D0784">
        <w:t xml:space="preserve"> </w:t>
      </w:r>
    </w:p>
    <w:p w14:paraId="76234E1A" w14:textId="76C2CEBD" w:rsidR="00E16C76" w:rsidRPr="006A6246" w:rsidRDefault="00CF5F20">
      <w:pPr>
        <w:pStyle w:val="ImageCaption"/>
      </w:pPr>
      <w:r w:rsidRPr="006A6246">
        <w:rPr>
          <w:bCs/>
        </w:rPr>
        <w:t xml:space="preserve">Figure </w:t>
      </w:r>
      <w:bookmarkStart w:id="85" w:name="unnamed-chunk-77"/>
      <w:r w:rsidRPr="006A6246">
        <w:rPr>
          <w:bCs/>
        </w:rPr>
        <w:fldChar w:fldCharType="begin"/>
      </w:r>
      <w:r w:rsidRPr="006A6246">
        <w:rPr>
          <w:bCs/>
        </w:rPr>
        <w:instrText>SEQ fig \* Arabic</w:instrText>
      </w:r>
      <w:r w:rsidRPr="006A6246">
        <w:rPr>
          <w:bCs/>
        </w:rPr>
        <w:fldChar w:fldCharType="separate"/>
      </w:r>
      <w:r w:rsidR="007F1DD8" w:rsidRPr="006A6246">
        <w:rPr>
          <w:bCs/>
          <w:noProof/>
        </w:rPr>
        <w:t>39</w:t>
      </w:r>
      <w:r w:rsidRPr="006A6246">
        <w:rPr>
          <w:bCs/>
        </w:rPr>
        <w:fldChar w:fldCharType="end"/>
      </w:r>
      <w:bookmarkEnd w:id="85"/>
      <w:r w:rsidRPr="006A6246">
        <w:rPr>
          <w:bCs/>
        </w:rPr>
        <w:t>:</w:t>
      </w:r>
      <w:r w:rsidRPr="006A6246">
        <w:rPr>
          <w:b/>
        </w:rPr>
        <w:t xml:space="preserve"> </w:t>
      </w:r>
      <w:r w:rsidRPr="006A6246">
        <w:t xml:space="preserve">Success rates of domestic undergraduate students admitted to university through enabling programs </w:t>
      </w:r>
      <w:r w:rsidR="005E74BD">
        <w:t>from</w:t>
      </w:r>
      <w:r w:rsidRPr="006A6246">
        <w:t xml:space="preserve"> 2021</w:t>
      </w:r>
      <w:r w:rsidR="006C6BA8">
        <w:t xml:space="preserve"> to </w:t>
      </w:r>
      <w:r w:rsidRPr="006A6246">
        <w:t>2023 within the Regional Universities Network</w:t>
      </w:r>
    </w:p>
    <w:p w14:paraId="43784487" w14:textId="77777777" w:rsidR="00E16C76" w:rsidRDefault="00CF5F20">
      <w:pPr>
        <w:pStyle w:val="Figure"/>
      </w:pPr>
      <w:r>
        <w:rPr>
          <w:noProof/>
        </w:rPr>
        <w:drawing>
          <wp:inline distT="0" distB="0" distL="0" distR="0" wp14:anchorId="4B1B3958" wp14:editId="7A4F7456">
            <wp:extent cx="8686800" cy="4114799"/>
            <wp:effectExtent l="0" t="0" r="0" b="635"/>
            <wp:docPr id="77" name="Picture 77" descr="The figure compares first-year success rates at Regional Universities Network institutions between 2021 and 2023. Non-equity enabling program pathway students have success rates comparable to higher ATAR bands, while equity enabling program pathway students have slightly lower success rates. Non-equity and first-in-family enabling program pathway students have higher success rates than ATAR pathway students, while equity students from enabling program pathways generally have lower success rates than their ATAR counterp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The figure compares first-year success rates at Regional Universities Network institutions between 2021 and 2023. Non-equity enabling program pathway students have success rates comparable to higher ATAR bands, while equity enabling program pathway students have slightly lower success rates. Non-equity and first-in-family enabling program pathway students have higher success rates than ATAR pathway students, while equity students from enabling program pathways generally have lower success rates than their ATAR counterparts."/>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8686800" cy="4114799"/>
                    </a:xfrm>
                    <a:prstGeom prst="rect">
                      <a:avLst/>
                    </a:prstGeom>
                    <a:noFill/>
                  </pic:spPr>
                </pic:pic>
              </a:graphicData>
            </a:graphic>
          </wp:inline>
        </w:drawing>
      </w:r>
    </w:p>
    <w:p w14:paraId="77E9C1B0" w14:textId="77777777" w:rsidR="00E16C76" w:rsidRDefault="00CF5F20">
      <w:r>
        <w:br w:type="page"/>
      </w:r>
    </w:p>
    <w:p w14:paraId="5DB86430" w14:textId="4764A1F4" w:rsidR="00E16C76" w:rsidRDefault="00CF5F20">
      <w:pPr>
        <w:pStyle w:val="Heading2"/>
        <w:rPr>
          <w:sz w:val="40"/>
          <w:szCs w:val="40"/>
        </w:rPr>
      </w:pPr>
      <w:bookmarkStart w:id="86" w:name="Xedd51e69c0d5bc5427d955284399ba77d77ef2b"/>
      <w:bookmarkEnd w:id="84"/>
      <w:r w:rsidRPr="00A1039F">
        <w:rPr>
          <w:sz w:val="40"/>
          <w:szCs w:val="40"/>
        </w:rPr>
        <w:lastRenderedPageBreak/>
        <w:t>First</w:t>
      </w:r>
      <w:r w:rsidR="00914DE9">
        <w:rPr>
          <w:sz w:val="40"/>
          <w:szCs w:val="40"/>
        </w:rPr>
        <w:t>-</w:t>
      </w:r>
      <w:r w:rsidRPr="00A1039F">
        <w:rPr>
          <w:sz w:val="40"/>
          <w:szCs w:val="40"/>
        </w:rPr>
        <w:t xml:space="preserve">year success rates at </w:t>
      </w:r>
      <w:r w:rsidR="00EE7A1A">
        <w:rPr>
          <w:sz w:val="40"/>
          <w:szCs w:val="40"/>
        </w:rPr>
        <w:t>n</w:t>
      </w:r>
      <w:r w:rsidRPr="00A1039F">
        <w:rPr>
          <w:sz w:val="40"/>
          <w:szCs w:val="40"/>
        </w:rPr>
        <w:t>on-</w:t>
      </w:r>
      <w:r w:rsidR="00EE7A1A">
        <w:rPr>
          <w:sz w:val="40"/>
          <w:szCs w:val="40"/>
        </w:rPr>
        <w:t>a</w:t>
      </w:r>
      <w:r w:rsidRPr="00A1039F">
        <w:rPr>
          <w:sz w:val="40"/>
          <w:szCs w:val="40"/>
        </w:rPr>
        <w:t>ligned universities</w:t>
      </w:r>
    </w:p>
    <w:p w14:paraId="59F9F687" w14:textId="77777777" w:rsidR="00A1039F" w:rsidRPr="00A1039F" w:rsidRDefault="00A1039F" w:rsidP="00A1039F">
      <w:pPr>
        <w:pStyle w:val="BodyText"/>
      </w:pPr>
    </w:p>
    <w:p w14:paraId="05E86AF8" w14:textId="0E8D43EC" w:rsidR="00E16C76" w:rsidRDefault="00CF5F20">
      <w:pPr>
        <w:pStyle w:val="FirstParagraph"/>
      </w:pPr>
      <w:r>
        <w:t>Non-equity students from enabling programs had success rates comparable to ATAR 70</w:t>
      </w:r>
      <w:r w:rsidR="009675AE" w:rsidRPr="00930CF8">
        <w:t>–</w:t>
      </w:r>
      <w:r>
        <w:t xml:space="preserve">79 </w:t>
      </w:r>
      <w:r w:rsidR="00EE7A1A">
        <w:t xml:space="preserve">non-equity </w:t>
      </w:r>
      <w:r>
        <w:t>students. Equity students from enabling programs saw success rates jump from comparable to ATAR 60</w:t>
      </w:r>
      <w:r w:rsidR="009675AE" w:rsidRPr="00930CF8">
        <w:t>–</w:t>
      </w:r>
      <w:r>
        <w:t xml:space="preserve">69 </w:t>
      </w:r>
      <w:r w:rsidR="00EE7A1A">
        <w:t xml:space="preserve">equity </w:t>
      </w:r>
      <w:r>
        <w:t>students in 2022, to comparable to ATAR 70</w:t>
      </w:r>
      <w:r w:rsidR="009675AE" w:rsidRPr="00930CF8">
        <w:t>–</w:t>
      </w:r>
      <w:r>
        <w:t xml:space="preserve">79 </w:t>
      </w:r>
      <w:r w:rsidR="00EE7A1A">
        <w:t xml:space="preserve">equity </w:t>
      </w:r>
      <w:r>
        <w:t>students in 2023.</w:t>
      </w:r>
    </w:p>
    <w:p w14:paraId="405C644A" w14:textId="0B8DD9E9" w:rsidR="00E16C76" w:rsidRPr="006A6246" w:rsidRDefault="00CF5F20">
      <w:pPr>
        <w:pStyle w:val="ImageCaption"/>
      </w:pPr>
      <w:r w:rsidRPr="006A6246">
        <w:rPr>
          <w:bCs/>
        </w:rPr>
        <w:t xml:space="preserve">Figure </w:t>
      </w:r>
      <w:bookmarkStart w:id="87" w:name="unnamed-chunk-78"/>
      <w:r w:rsidRPr="006A6246">
        <w:rPr>
          <w:bCs/>
        </w:rPr>
        <w:fldChar w:fldCharType="begin"/>
      </w:r>
      <w:r w:rsidRPr="006A6246">
        <w:rPr>
          <w:bCs/>
        </w:rPr>
        <w:instrText>SEQ fig \* Arabic</w:instrText>
      </w:r>
      <w:r w:rsidRPr="006A6246">
        <w:rPr>
          <w:bCs/>
        </w:rPr>
        <w:fldChar w:fldCharType="separate"/>
      </w:r>
      <w:r w:rsidR="007F1DD8" w:rsidRPr="006A6246">
        <w:rPr>
          <w:bCs/>
          <w:noProof/>
        </w:rPr>
        <w:t>40</w:t>
      </w:r>
      <w:r w:rsidRPr="006A6246">
        <w:rPr>
          <w:bCs/>
        </w:rPr>
        <w:fldChar w:fldCharType="end"/>
      </w:r>
      <w:bookmarkEnd w:id="87"/>
      <w:r w:rsidRPr="006A6246">
        <w:rPr>
          <w:bCs/>
        </w:rPr>
        <w:t>:</w:t>
      </w:r>
      <w:r w:rsidRPr="006A6246">
        <w:rPr>
          <w:b/>
        </w:rPr>
        <w:t xml:space="preserve"> </w:t>
      </w:r>
      <w:r w:rsidRPr="006A6246">
        <w:t xml:space="preserve">Success rates of domestic undergraduate students admitted to university through enabling programs </w:t>
      </w:r>
      <w:r w:rsidR="009675AE">
        <w:t>from</w:t>
      </w:r>
      <w:r w:rsidRPr="006A6246">
        <w:t xml:space="preserve"> 2021</w:t>
      </w:r>
      <w:r w:rsidR="0036361E">
        <w:t xml:space="preserve"> to </w:t>
      </w:r>
      <w:r w:rsidRPr="006A6246">
        <w:t xml:space="preserve">2023 at </w:t>
      </w:r>
      <w:r w:rsidR="009675AE">
        <w:t>n</w:t>
      </w:r>
      <w:r w:rsidRPr="006A6246">
        <w:t>on-</w:t>
      </w:r>
      <w:r w:rsidR="009675AE">
        <w:t>a</w:t>
      </w:r>
      <w:r w:rsidRPr="006A6246">
        <w:t>ligned universities</w:t>
      </w:r>
    </w:p>
    <w:p w14:paraId="33804D91" w14:textId="77777777" w:rsidR="00E16C76" w:rsidRDefault="00CF5F20">
      <w:pPr>
        <w:pStyle w:val="Figure"/>
      </w:pPr>
      <w:r>
        <w:rPr>
          <w:noProof/>
        </w:rPr>
        <w:drawing>
          <wp:inline distT="0" distB="0" distL="0" distR="0" wp14:anchorId="67695405" wp14:editId="52D37E19">
            <wp:extent cx="8686800" cy="4114799"/>
            <wp:effectExtent l="0" t="0" r="0" b="635"/>
            <wp:docPr id="79" name="Picture 79" descr="The figure shows first-year success rates at non-aligned universities between 2021 and 2023. Enabling program pathway students across all equity groups show improvement over time, with many equity groups reaching success rates comparable to ATAR pathway students b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The figure shows first-year success rates at non-aligned universities between 2021 and 2023. Enabling program pathway students across all equity groups show improvement over time, with many equity groups reaching success rates comparable to ATAR pathway students by 2023."/>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8686800" cy="4114799"/>
                    </a:xfrm>
                    <a:prstGeom prst="rect">
                      <a:avLst/>
                    </a:prstGeom>
                    <a:noFill/>
                  </pic:spPr>
                </pic:pic>
              </a:graphicData>
            </a:graphic>
          </wp:inline>
        </w:drawing>
      </w:r>
    </w:p>
    <w:p w14:paraId="5C2C6F9E" w14:textId="77777777" w:rsidR="00E16C76" w:rsidRDefault="00CF5F20">
      <w:r>
        <w:br w:type="page"/>
      </w:r>
    </w:p>
    <w:p w14:paraId="2FC2E63A" w14:textId="77777777" w:rsidR="00E16C76" w:rsidRDefault="00CF5F20">
      <w:pPr>
        <w:pStyle w:val="Heading2"/>
      </w:pPr>
      <w:bookmarkStart w:id="88" w:name="X49fa6748f17a059c25d3691970ac1cb7216799e"/>
      <w:bookmarkEnd w:id="86"/>
      <w:r>
        <w:lastRenderedPageBreak/>
        <w:t>Within-institution ATAR vs enabling program pathway success rates</w:t>
      </w:r>
    </w:p>
    <w:p w14:paraId="541D8650" w14:textId="77777777" w:rsidR="00C550C6" w:rsidRPr="00C550C6" w:rsidRDefault="00C550C6" w:rsidP="00C550C6">
      <w:pPr>
        <w:pStyle w:val="BodyText"/>
      </w:pPr>
    </w:p>
    <w:p w14:paraId="63071323" w14:textId="760E6F56" w:rsidR="00E16C76" w:rsidRDefault="00CF5F20">
      <w:pPr>
        <w:pStyle w:val="FirstParagraph"/>
      </w:pPr>
      <w:r>
        <w:t xml:space="preserve">To identify differences in success for equity students admitted to university through enabling programs </w:t>
      </w:r>
      <w:r w:rsidR="009D1CD2">
        <w:t>versus</w:t>
      </w:r>
      <w:r>
        <w:t xml:space="preserve"> ATAR within each institution, their success rates can be compared.</w:t>
      </w:r>
    </w:p>
    <w:p w14:paraId="21761E47" w14:textId="77777777" w:rsidR="00E16C76" w:rsidRDefault="00CF5F20">
      <w:pPr>
        <w:pStyle w:val="BodyText"/>
      </w:pPr>
      <w:r>
        <w:t>In the following series of plots, the vertical (y-) axis represents the success rates for university students who entered via enabling programs, and the horizontal (x-) axis represents the success rates for students whose main basis for admission was their ATAR. The 45-degree dotted line represents equality in the compared rates.</w:t>
      </w:r>
    </w:p>
    <w:p w14:paraId="4B74473C" w14:textId="53F467AA" w:rsidR="00E16C76" w:rsidRDefault="00CF5F20">
      <w:pPr>
        <w:pStyle w:val="BodyText"/>
      </w:pPr>
      <w:r>
        <w:t>For figures 27</w:t>
      </w:r>
      <w:r w:rsidR="00664784" w:rsidRPr="00930CF8">
        <w:t>–</w:t>
      </w:r>
      <w:r>
        <w:t xml:space="preserve">32, we </w:t>
      </w:r>
      <w:r w:rsidR="00FF08E7">
        <w:t>have</w:t>
      </w:r>
      <w:r>
        <w:t xml:space="preserve"> plott</w:t>
      </w:r>
      <w:r w:rsidR="00FF08E7">
        <w:t>ed</w:t>
      </w:r>
      <w:r>
        <w:t xml:space="preserve"> success rates of all ATAR students </w:t>
      </w:r>
      <w:r w:rsidR="009D1CD2">
        <w:t>versus</w:t>
      </w:r>
      <w:r>
        <w:t xml:space="preserve"> students from enabling programs for each equity group. Each plot represents comparisons for one equity group. If success rates are equal for both groups within an institution, its data point will lie on the 45-degree line. If success rates at an institution are higher for students from enabling programs, the dot will lie above the 45-degree line, and if success rates are lower for students from enabling programs, the dot will be below the 45-degree line.</w:t>
      </w:r>
    </w:p>
    <w:p w14:paraId="46DDA08A" w14:textId="77777777" w:rsidR="00E16C76" w:rsidRDefault="00CF5F20">
      <w:pPr>
        <w:pStyle w:val="BodyText"/>
      </w:pPr>
      <w:r>
        <w:t>For Figure 33, institutions falling on the 45-degree line have the same success rate in both student groups. Institutions falling above the dotted line have higher success rates for equity students compared to non-equity students.</w:t>
      </w:r>
    </w:p>
    <w:p w14:paraId="3F649C82" w14:textId="3DCF797E" w:rsidR="00E16C76" w:rsidRDefault="00CF5F20">
      <w:pPr>
        <w:pStyle w:val="BodyText"/>
      </w:pPr>
      <w:r>
        <w:t xml:space="preserve">Each dot represents a Table A institution with at least </w:t>
      </w:r>
      <w:r w:rsidR="00FF08E7">
        <w:t>five</w:t>
      </w:r>
      <w:r>
        <w:t xml:space="preserve"> EFTSL of students from enabling programs. If an institution is missing from the plot, it means they had fewer than </w:t>
      </w:r>
      <w:r w:rsidR="00FF08E7">
        <w:t>five</w:t>
      </w:r>
      <w:r>
        <w:t xml:space="preserve"> EFTSL </w:t>
      </w:r>
      <w:r w:rsidR="00FF08E7">
        <w:t xml:space="preserve">of students </w:t>
      </w:r>
      <w:r>
        <w:t>within the particular group.</w:t>
      </w:r>
    </w:p>
    <w:p w14:paraId="11D500EB" w14:textId="77777777" w:rsidR="00E16C76" w:rsidRDefault="00CF5F20">
      <w:r>
        <w:br w:type="page"/>
      </w:r>
    </w:p>
    <w:p w14:paraId="3390FB1B" w14:textId="77777777" w:rsidR="00E16C76" w:rsidRDefault="00CF5F20">
      <w:pPr>
        <w:pStyle w:val="Heading2"/>
        <w:rPr>
          <w:sz w:val="40"/>
          <w:szCs w:val="40"/>
        </w:rPr>
      </w:pPr>
      <w:bookmarkStart w:id="89" w:name="Xa958849fc229ec21f90b1a59a19bd73bf3bd525"/>
      <w:bookmarkEnd w:id="88"/>
      <w:r w:rsidRPr="00D8706E">
        <w:rPr>
          <w:sz w:val="40"/>
          <w:szCs w:val="40"/>
        </w:rPr>
        <w:lastRenderedPageBreak/>
        <w:t>Success rates of all equity students from ATAR vs enabling program pathways in 2023</w:t>
      </w:r>
    </w:p>
    <w:p w14:paraId="05DF3A09" w14:textId="77777777" w:rsidR="00D8706E" w:rsidRPr="00D8706E" w:rsidRDefault="00D8706E" w:rsidP="00D8706E">
      <w:pPr>
        <w:pStyle w:val="BodyText"/>
      </w:pPr>
    </w:p>
    <w:p w14:paraId="5BFE1C70" w14:textId="5B749F14" w:rsidR="00E16C76" w:rsidRPr="006A6246" w:rsidRDefault="00CF5F20">
      <w:pPr>
        <w:pStyle w:val="ImageCaption"/>
      </w:pPr>
      <w:r w:rsidRPr="006A6246">
        <w:rPr>
          <w:bCs/>
        </w:rPr>
        <w:t xml:space="preserve">Figure </w:t>
      </w:r>
      <w:bookmarkStart w:id="90" w:name="unnamed-chunk-79"/>
      <w:r w:rsidRPr="006A6246">
        <w:rPr>
          <w:bCs/>
        </w:rPr>
        <w:fldChar w:fldCharType="begin"/>
      </w:r>
      <w:r w:rsidRPr="006A6246">
        <w:rPr>
          <w:bCs/>
        </w:rPr>
        <w:instrText>SEQ fig \* Arabic</w:instrText>
      </w:r>
      <w:r w:rsidRPr="006A6246">
        <w:rPr>
          <w:bCs/>
        </w:rPr>
        <w:fldChar w:fldCharType="separate"/>
      </w:r>
      <w:r w:rsidR="007F1DD8" w:rsidRPr="006A6246">
        <w:rPr>
          <w:bCs/>
          <w:noProof/>
        </w:rPr>
        <w:t>41</w:t>
      </w:r>
      <w:r w:rsidRPr="006A6246">
        <w:rPr>
          <w:bCs/>
        </w:rPr>
        <w:fldChar w:fldCharType="end"/>
      </w:r>
      <w:bookmarkEnd w:id="90"/>
      <w:r w:rsidRPr="006A6246">
        <w:rPr>
          <w:bCs/>
        </w:rPr>
        <w:t>:</w:t>
      </w:r>
      <w:r w:rsidRPr="006A6246">
        <w:rPr>
          <w:b/>
        </w:rPr>
        <w:t xml:space="preserve"> </w:t>
      </w:r>
      <w:r w:rsidRPr="006A6246">
        <w:t>Relationship between the undergraduate success rates of ATAR pathway and enabling program pathway students in 2023 for all equity students</w:t>
      </w:r>
    </w:p>
    <w:p w14:paraId="180655D7" w14:textId="063DE696" w:rsidR="00E16C76" w:rsidRDefault="00CF5F20" w:rsidP="00FE152A">
      <w:pPr>
        <w:pStyle w:val="Figure"/>
      </w:pPr>
      <w:r>
        <w:rPr>
          <w:noProof/>
        </w:rPr>
        <w:drawing>
          <wp:inline distT="0" distB="0" distL="0" distR="0" wp14:anchorId="15C57939" wp14:editId="4BD691EC">
            <wp:extent cx="8229600" cy="4571999"/>
            <wp:effectExtent l="0" t="0" r="0" b="635"/>
            <wp:docPr id="81" name="Picture 81" descr="The figure is a scatter plot comparing undergraduate success rates in 2023 for equity students whose main basis of admission to university was ATAR and enabling programs. The x‑axis shows success rates for ATAR pathway students and the y‑axis shows success rates for enabling program pathway students. Each dot represents a Table A institution, and the dotted 45‑degree line indicates equal success rates across the two pathways.  Institutions are distributed across a broad range of values mostly below the line of equality, indicating that equity students entering via enabling program pathways generally have lower success rates than those entering via ATAR pathways. While outcomes vary across institutions, the overall distribution remains weighted below parity, suggesting a consistent directional difference with variation in magnitude rather than isolated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The figure is a scatter plot comparing undergraduate success rates in 2023 for equity students whose main basis of admission to university was ATAR and enabling programs. The x‑axis shows success rates for ATAR pathway students and the y‑axis shows success rates for enabling program pathway students. Each dot represents a Table A institution, and the dotted 45‑degree line indicates equal success rates across the two pathways.  Institutions are distributed across a broad range of values mostly below the line of equality, indicating that equity students entering via enabling program pathways generally have lower success rates than those entering via ATAR pathways. While outcomes vary across institutions, the overall distribution remains weighted below parity, suggesting a consistent directional difference with variation in magnitude rather than isolated exceptions."/>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4617E7EE" w14:textId="77777777" w:rsidR="00E16C76" w:rsidRDefault="00CF5F20">
      <w:pPr>
        <w:pStyle w:val="Heading2"/>
        <w:rPr>
          <w:sz w:val="40"/>
          <w:szCs w:val="40"/>
        </w:rPr>
      </w:pPr>
      <w:bookmarkStart w:id="91" w:name="X3f451a37cdc2bca315d89f304890f4d6ff52618"/>
      <w:bookmarkEnd w:id="89"/>
      <w:r w:rsidRPr="004C429B">
        <w:rPr>
          <w:sz w:val="40"/>
          <w:szCs w:val="40"/>
        </w:rPr>
        <w:lastRenderedPageBreak/>
        <w:t>Success rates of students from low SES areas from ATAR vs enabling program pathways in 2023</w:t>
      </w:r>
    </w:p>
    <w:p w14:paraId="526AB1F8" w14:textId="77777777" w:rsidR="004C429B" w:rsidRPr="004C429B" w:rsidRDefault="004C429B" w:rsidP="004C429B">
      <w:pPr>
        <w:pStyle w:val="BodyText"/>
      </w:pPr>
    </w:p>
    <w:p w14:paraId="1E297299" w14:textId="2407A6F9" w:rsidR="00E16C76" w:rsidRPr="006A6246" w:rsidRDefault="00CF5F20">
      <w:pPr>
        <w:pStyle w:val="ImageCaption"/>
      </w:pPr>
      <w:r w:rsidRPr="006A6246">
        <w:rPr>
          <w:bCs/>
        </w:rPr>
        <w:t xml:space="preserve">Figure </w:t>
      </w:r>
      <w:bookmarkStart w:id="92" w:name="unnamed-chunk-80"/>
      <w:r w:rsidRPr="006A6246">
        <w:rPr>
          <w:bCs/>
        </w:rPr>
        <w:fldChar w:fldCharType="begin"/>
      </w:r>
      <w:r w:rsidRPr="006A6246">
        <w:rPr>
          <w:bCs/>
        </w:rPr>
        <w:instrText>SEQ fig \* Arabic</w:instrText>
      </w:r>
      <w:r w:rsidRPr="006A6246">
        <w:rPr>
          <w:bCs/>
        </w:rPr>
        <w:fldChar w:fldCharType="separate"/>
      </w:r>
      <w:r w:rsidR="007F1DD8" w:rsidRPr="006A6246">
        <w:rPr>
          <w:bCs/>
          <w:noProof/>
        </w:rPr>
        <w:t>42</w:t>
      </w:r>
      <w:r w:rsidRPr="006A6246">
        <w:rPr>
          <w:bCs/>
        </w:rPr>
        <w:fldChar w:fldCharType="end"/>
      </w:r>
      <w:bookmarkEnd w:id="92"/>
      <w:r w:rsidRPr="006A6246">
        <w:rPr>
          <w:bCs/>
        </w:rPr>
        <w:t>:</w:t>
      </w:r>
      <w:r w:rsidRPr="006A6246">
        <w:rPr>
          <w:b/>
        </w:rPr>
        <w:t xml:space="preserve"> </w:t>
      </w:r>
      <w:r w:rsidRPr="006A6246">
        <w:t>Relationship between the undergraduate success rates of ATAR pathway and enabling program pathway students from low SES areas in 2023</w:t>
      </w:r>
    </w:p>
    <w:p w14:paraId="1B15FC86" w14:textId="303C76D4" w:rsidR="00E16C76" w:rsidRDefault="00CF5F20" w:rsidP="00FE152A">
      <w:pPr>
        <w:pStyle w:val="Figure"/>
      </w:pPr>
      <w:r>
        <w:rPr>
          <w:noProof/>
        </w:rPr>
        <w:drawing>
          <wp:inline distT="0" distB="0" distL="0" distR="0" wp14:anchorId="42212697" wp14:editId="2F0AAD8A">
            <wp:extent cx="8229600" cy="4571999"/>
            <wp:effectExtent l="0" t="0" r="0" b="635"/>
            <wp:docPr id="83" name="Picture 83" descr="The figure compares 2023 success rates of low SES students entering university via ATAR and enabling program pathways. Institutions are spread across a range of values predominantly below the line of equality, indicating lower success rates for low SES students entering via enabling program pathways compared with ATAR pathways. Although there is variation across institutions, the distribution shows little evidence of systematic pa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The figure compares 2023 success rates of low SES students entering university via ATAR and enabling program pathways. Institutions are spread across a range of values predominantly below the line of equality, indicating lower success rates for low SES students entering via enabling program pathways compared with ATAR pathways. Although there is variation across institutions, the distribution shows little evidence of systematic parity."/>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35855907" w14:textId="549D56BA" w:rsidR="00E16C76" w:rsidRDefault="00CF5F20">
      <w:pPr>
        <w:pStyle w:val="Heading2"/>
        <w:rPr>
          <w:sz w:val="40"/>
          <w:szCs w:val="40"/>
        </w:rPr>
      </w:pPr>
      <w:bookmarkStart w:id="93" w:name="X88807a69767fceb3e0d491fa77133b7c6dd1c7d"/>
      <w:bookmarkEnd w:id="91"/>
      <w:r w:rsidRPr="00880925">
        <w:rPr>
          <w:sz w:val="40"/>
          <w:szCs w:val="40"/>
        </w:rPr>
        <w:lastRenderedPageBreak/>
        <w:t>Success rates of students from regional</w:t>
      </w:r>
      <w:r w:rsidR="00BF227B">
        <w:rPr>
          <w:sz w:val="40"/>
          <w:szCs w:val="40"/>
        </w:rPr>
        <w:t xml:space="preserve"> and </w:t>
      </w:r>
      <w:r w:rsidRPr="00880925">
        <w:rPr>
          <w:sz w:val="40"/>
          <w:szCs w:val="40"/>
        </w:rPr>
        <w:t>remote areas from ATAR vs enabling program pathways in 2023</w:t>
      </w:r>
    </w:p>
    <w:p w14:paraId="48D6E7F8" w14:textId="77777777" w:rsidR="00880925" w:rsidRPr="00880925" w:rsidRDefault="00880925" w:rsidP="00880925">
      <w:pPr>
        <w:pStyle w:val="BodyText"/>
      </w:pPr>
    </w:p>
    <w:p w14:paraId="57B52BCC" w14:textId="33150738" w:rsidR="00E16C76" w:rsidRPr="006A6246" w:rsidRDefault="00CF5F20">
      <w:pPr>
        <w:pStyle w:val="ImageCaption"/>
      </w:pPr>
      <w:r w:rsidRPr="006A6246">
        <w:rPr>
          <w:bCs/>
        </w:rPr>
        <w:t xml:space="preserve">Figure </w:t>
      </w:r>
      <w:bookmarkStart w:id="94" w:name="unnamed-chunk-81"/>
      <w:r w:rsidRPr="006A6246">
        <w:rPr>
          <w:bCs/>
        </w:rPr>
        <w:fldChar w:fldCharType="begin"/>
      </w:r>
      <w:r w:rsidRPr="006A6246">
        <w:rPr>
          <w:bCs/>
        </w:rPr>
        <w:instrText>SEQ fig \* Arabic</w:instrText>
      </w:r>
      <w:r w:rsidRPr="006A6246">
        <w:rPr>
          <w:bCs/>
        </w:rPr>
        <w:fldChar w:fldCharType="separate"/>
      </w:r>
      <w:r w:rsidR="007F1DD8" w:rsidRPr="006A6246">
        <w:rPr>
          <w:bCs/>
          <w:noProof/>
        </w:rPr>
        <w:t>43</w:t>
      </w:r>
      <w:r w:rsidRPr="006A6246">
        <w:rPr>
          <w:bCs/>
        </w:rPr>
        <w:fldChar w:fldCharType="end"/>
      </w:r>
      <w:bookmarkEnd w:id="94"/>
      <w:r w:rsidRPr="006A6246">
        <w:rPr>
          <w:bCs/>
        </w:rPr>
        <w:t xml:space="preserve">: </w:t>
      </w:r>
      <w:r w:rsidRPr="006A6246">
        <w:t>Relationship between the undergraduate success rates of ATAR pathway and enabling program pathway students from regional/remote areas in 2023</w:t>
      </w:r>
    </w:p>
    <w:p w14:paraId="1EDF7D90" w14:textId="266AC742" w:rsidR="00E16C76" w:rsidRDefault="00CF5F20" w:rsidP="006A6246">
      <w:pPr>
        <w:pStyle w:val="Figure"/>
      </w:pPr>
      <w:r>
        <w:rPr>
          <w:noProof/>
        </w:rPr>
        <w:drawing>
          <wp:inline distT="0" distB="0" distL="0" distR="0" wp14:anchorId="7C410F0E" wp14:editId="1BF87209">
            <wp:extent cx="8229600" cy="4571999"/>
            <wp:effectExtent l="0" t="0" r="0" b="635"/>
            <wp:docPr id="85" name="Picture 85" descr="The figure compares 2023 success rates of regional and remote students admitted through ATAR and enabling program pathways. Institutions are distributed across a range of values generally below the line of equality, indicating that success rates for regional and remote students entering via enabling program pathways are generally lower than for ATAR pathways. While outcomes differ between institutions, the distribution remains clearly weighted below pa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The figure compares 2023 success rates of regional and remote students admitted through ATAR and enabling program pathways. Institutions are distributed across a range of values generally below the line of equality, indicating that success rates for regional and remote students entering via enabling program pathways are generally lower than for ATAR pathways. While outcomes differ between institutions, the distribution remains clearly weighted below parity."/>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7EE0CA56" w14:textId="77777777" w:rsidR="00E16C76" w:rsidRDefault="00CF5F20">
      <w:pPr>
        <w:pStyle w:val="Heading2"/>
        <w:rPr>
          <w:sz w:val="40"/>
          <w:szCs w:val="40"/>
        </w:rPr>
      </w:pPr>
      <w:bookmarkStart w:id="95" w:name="X1ec1f2632cf426b4abe2308dc936ed8b01d3c22"/>
      <w:bookmarkEnd w:id="93"/>
      <w:r w:rsidRPr="00E552BC">
        <w:rPr>
          <w:sz w:val="40"/>
          <w:szCs w:val="40"/>
        </w:rPr>
        <w:lastRenderedPageBreak/>
        <w:t>Success rates of First Nations Australian students from ATAR vs enabling program pathways in 2023</w:t>
      </w:r>
    </w:p>
    <w:p w14:paraId="0090C9B1" w14:textId="77777777" w:rsidR="00E552BC" w:rsidRPr="00E552BC" w:rsidRDefault="00E552BC" w:rsidP="00E552BC">
      <w:pPr>
        <w:pStyle w:val="BodyText"/>
      </w:pPr>
    </w:p>
    <w:p w14:paraId="10BF3AF5" w14:textId="48C2CD87" w:rsidR="00E16C76" w:rsidRPr="00F6488B" w:rsidRDefault="00CF5F20">
      <w:pPr>
        <w:pStyle w:val="ImageCaption"/>
      </w:pPr>
      <w:r w:rsidRPr="00F6488B">
        <w:rPr>
          <w:bCs/>
        </w:rPr>
        <w:t xml:space="preserve">Figure </w:t>
      </w:r>
      <w:bookmarkStart w:id="96" w:name="unnamed-chunk-82"/>
      <w:r w:rsidRPr="00F6488B">
        <w:rPr>
          <w:bCs/>
        </w:rPr>
        <w:fldChar w:fldCharType="begin"/>
      </w:r>
      <w:r w:rsidRPr="00F6488B">
        <w:rPr>
          <w:bCs/>
        </w:rPr>
        <w:instrText>SEQ fig \* Arabic</w:instrText>
      </w:r>
      <w:r w:rsidRPr="00F6488B">
        <w:rPr>
          <w:bCs/>
        </w:rPr>
        <w:fldChar w:fldCharType="separate"/>
      </w:r>
      <w:r w:rsidR="007F1DD8" w:rsidRPr="00F6488B">
        <w:rPr>
          <w:bCs/>
          <w:noProof/>
        </w:rPr>
        <w:t>44</w:t>
      </w:r>
      <w:r w:rsidRPr="00F6488B">
        <w:rPr>
          <w:bCs/>
        </w:rPr>
        <w:fldChar w:fldCharType="end"/>
      </w:r>
      <w:bookmarkEnd w:id="96"/>
      <w:r w:rsidRPr="00F6488B">
        <w:rPr>
          <w:bCs/>
        </w:rPr>
        <w:t>:</w:t>
      </w:r>
      <w:r w:rsidRPr="00F6488B">
        <w:rPr>
          <w:b/>
        </w:rPr>
        <w:t xml:space="preserve"> </w:t>
      </w:r>
      <w:r w:rsidRPr="00F6488B">
        <w:t>Relationship between the undergraduate success rates of ATAR pathway and enabling program pathway First Nations Australian students in 2023</w:t>
      </w:r>
    </w:p>
    <w:p w14:paraId="6DD6348F" w14:textId="41E9C5C0" w:rsidR="00E16C76" w:rsidRDefault="00CF5F20" w:rsidP="00FE152A">
      <w:pPr>
        <w:pStyle w:val="Figure"/>
      </w:pPr>
      <w:r>
        <w:rPr>
          <w:noProof/>
        </w:rPr>
        <w:drawing>
          <wp:inline distT="0" distB="0" distL="0" distR="0" wp14:anchorId="73721BA6" wp14:editId="71CBD02F">
            <wp:extent cx="8229600" cy="4571999"/>
            <wp:effectExtent l="0" t="0" r="0" b="635"/>
            <wp:docPr id="87" name="Picture 87" descr="The figure compares 2023 success rates of First Nations Australian students entering university via ATAR and enabling program pathways. Enabling program pathway First Nations Australian students show a broad range of success rates, with all but one institution falling below the line. This broad dispersion indicates substantial variation in relative success outcomes across institutions, with no consistent directional pattern evident across the s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The figure compares 2023 success rates of First Nations Australian students entering university via ATAR and enabling program pathways. Enabling program pathway First Nations Australian students show a broad range of success rates, with all but one institution falling below the line. This broad dispersion indicates substantial variation in relative success outcomes across institutions, with no consistent directional pattern evident across the sector."/>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4DAB3454" w14:textId="77777777" w:rsidR="00E16C76" w:rsidRDefault="00CF5F20">
      <w:pPr>
        <w:pStyle w:val="Heading2"/>
        <w:rPr>
          <w:sz w:val="40"/>
          <w:szCs w:val="40"/>
        </w:rPr>
      </w:pPr>
      <w:bookmarkStart w:id="97" w:name="Xff485511219e27dd21cc83b8f47389416276b9e"/>
      <w:bookmarkEnd w:id="95"/>
      <w:r w:rsidRPr="004E3BCE">
        <w:rPr>
          <w:sz w:val="40"/>
          <w:szCs w:val="40"/>
        </w:rPr>
        <w:lastRenderedPageBreak/>
        <w:t>Success rates of students with disability from ATAR vs enabling program pathways in 2023</w:t>
      </w:r>
    </w:p>
    <w:p w14:paraId="3D736DC9" w14:textId="77777777" w:rsidR="004E3BCE" w:rsidRPr="004E3BCE" w:rsidRDefault="004E3BCE" w:rsidP="004E3BCE">
      <w:pPr>
        <w:pStyle w:val="BodyText"/>
      </w:pPr>
    </w:p>
    <w:p w14:paraId="3C036763" w14:textId="74539A3E" w:rsidR="00E16C76" w:rsidRPr="00F6488B" w:rsidRDefault="00CF5F20">
      <w:pPr>
        <w:pStyle w:val="ImageCaption"/>
      </w:pPr>
      <w:r w:rsidRPr="00F6488B">
        <w:rPr>
          <w:bCs/>
        </w:rPr>
        <w:t xml:space="preserve">Figure </w:t>
      </w:r>
      <w:bookmarkStart w:id="98" w:name="unnamed-chunk-83"/>
      <w:r w:rsidRPr="00F6488B">
        <w:rPr>
          <w:bCs/>
        </w:rPr>
        <w:fldChar w:fldCharType="begin"/>
      </w:r>
      <w:r w:rsidRPr="00F6488B">
        <w:rPr>
          <w:bCs/>
        </w:rPr>
        <w:instrText>SEQ fig \* Arabic</w:instrText>
      </w:r>
      <w:r w:rsidRPr="00F6488B">
        <w:rPr>
          <w:bCs/>
        </w:rPr>
        <w:fldChar w:fldCharType="separate"/>
      </w:r>
      <w:r w:rsidR="007F1DD8" w:rsidRPr="00F6488B">
        <w:rPr>
          <w:bCs/>
          <w:noProof/>
        </w:rPr>
        <w:t>45</w:t>
      </w:r>
      <w:r w:rsidRPr="00F6488B">
        <w:rPr>
          <w:bCs/>
        </w:rPr>
        <w:fldChar w:fldCharType="end"/>
      </w:r>
      <w:bookmarkEnd w:id="98"/>
      <w:r w:rsidRPr="00F6488B">
        <w:rPr>
          <w:bCs/>
        </w:rPr>
        <w:t>:</w:t>
      </w:r>
      <w:r w:rsidRPr="00F6488B">
        <w:rPr>
          <w:b/>
        </w:rPr>
        <w:t xml:space="preserve"> </w:t>
      </w:r>
      <w:r w:rsidRPr="00F6488B">
        <w:t>Relationship between the undergraduate success rates of ATAR pathway and enabling program pathway students with disability in 2023</w:t>
      </w:r>
    </w:p>
    <w:p w14:paraId="0A7B078E" w14:textId="400F941C" w:rsidR="00E16C76" w:rsidRDefault="00CF5F20" w:rsidP="00FE152A">
      <w:pPr>
        <w:pStyle w:val="Figure"/>
      </w:pPr>
      <w:r>
        <w:rPr>
          <w:noProof/>
        </w:rPr>
        <w:drawing>
          <wp:inline distT="0" distB="0" distL="0" distR="0" wp14:anchorId="1A956ED9" wp14:editId="2BA2694A">
            <wp:extent cx="8229600" cy="4571999"/>
            <wp:effectExtent l="0" t="0" r="0" b="635"/>
            <wp:docPr id="89" name="Picture 89" descr="The figure compares 2023 success rates of students with disability entering university via ATAR and enabling program pathways. Institutions are distributed across a broad range of values on both sides of the line of equality, indicating substantial variability in relative success outcomes. The dispersion suggests that success rates for students with disability entering via enabling program pathways vary markedly by institution, with no consistent advantage or disadvantage relative to ATAR pat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The figure compares 2023 success rates of students with disability entering university via ATAR and enabling program pathways. Institutions are distributed across a broad range of values on both sides of the line of equality, indicating substantial variability in relative success outcomes. The dispersion suggests that success rates for students with disability entering via enabling program pathways vary markedly by institution, with no consistent advantage or disadvantage relative to ATAR pathways."/>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2CDD8CE2" w14:textId="342F0D5B" w:rsidR="00E16C76" w:rsidRDefault="00CF5F20">
      <w:pPr>
        <w:pStyle w:val="Heading2"/>
        <w:rPr>
          <w:sz w:val="40"/>
          <w:szCs w:val="40"/>
        </w:rPr>
      </w:pPr>
      <w:bookmarkStart w:id="99" w:name="Xa39f5c001eff63d9acda24d136d5acd25dba01f"/>
      <w:bookmarkEnd w:id="97"/>
      <w:r w:rsidRPr="00DF3291">
        <w:rPr>
          <w:sz w:val="40"/>
          <w:szCs w:val="40"/>
        </w:rPr>
        <w:lastRenderedPageBreak/>
        <w:t>Success rates of first</w:t>
      </w:r>
      <w:r w:rsidR="00AF32C1">
        <w:rPr>
          <w:sz w:val="40"/>
          <w:szCs w:val="40"/>
        </w:rPr>
        <w:t>-</w:t>
      </w:r>
      <w:r w:rsidRPr="00DF3291">
        <w:rPr>
          <w:sz w:val="40"/>
          <w:szCs w:val="40"/>
        </w:rPr>
        <w:t>in</w:t>
      </w:r>
      <w:r w:rsidR="00AF32C1">
        <w:rPr>
          <w:sz w:val="40"/>
          <w:szCs w:val="40"/>
        </w:rPr>
        <w:t>-</w:t>
      </w:r>
      <w:r w:rsidRPr="00DF3291">
        <w:rPr>
          <w:sz w:val="40"/>
          <w:szCs w:val="40"/>
        </w:rPr>
        <w:t>family students from ATAR vs enabling program pathways in 2023</w:t>
      </w:r>
    </w:p>
    <w:p w14:paraId="7A183D0C" w14:textId="77777777" w:rsidR="00DF3291" w:rsidRPr="00DF3291" w:rsidRDefault="00DF3291" w:rsidP="00DF3291">
      <w:pPr>
        <w:pStyle w:val="BodyText"/>
      </w:pPr>
    </w:p>
    <w:p w14:paraId="4A7279B7" w14:textId="69B9B6FF" w:rsidR="00E16C76" w:rsidRPr="00F6488B" w:rsidRDefault="00CF5F20">
      <w:pPr>
        <w:pStyle w:val="ImageCaption"/>
      </w:pPr>
      <w:r w:rsidRPr="00F6488B">
        <w:rPr>
          <w:bCs/>
        </w:rPr>
        <w:t xml:space="preserve">Figure </w:t>
      </w:r>
      <w:bookmarkStart w:id="100" w:name="unnamed-chunk-84"/>
      <w:r w:rsidRPr="00F6488B">
        <w:rPr>
          <w:bCs/>
        </w:rPr>
        <w:fldChar w:fldCharType="begin"/>
      </w:r>
      <w:r w:rsidRPr="00F6488B">
        <w:rPr>
          <w:bCs/>
        </w:rPr>
        <w:instrText>SEQ fig \* Arabic</w:instrText>
      </w:r>
      <w:r w:rsidRPr="00F6488B">
        <w:rPr>
          <w:bCs/>
        </w:rPr>
        <w:fldChar w:fldCharType="separate"/>
      </w:r>
      <w:r w:rsidR="007F1DD8" w:rsidRPr="00F6488B">
        <w:rPr>
          <w:bCs/>
          <w:noProof/>
        </w:rPr>
        <w:t>46</w:t>
      </w:r>
      <w:r w:rsidRPr="00F6488B">
        <w:rPr>
          <w:bCs/>
        </w:rPr>
        <w:fldChar w:fldCharType="end"/>
      </w:r>
      <w:bookmarkEnd w:id="100"/>
      <w:r w:rsidRPr="00F6488B">
        <w:rPr>
          <w:bCs/>
        </w:rPr>
        <w:t>:</w:t>
      </w:r>
      <w:r w:rsidRPr="00F6488B">
        <w:rPr>
          <w:b/>
        </w:rPr>
        <w:t xml:space="preserve"> </w:t>
      </w:r>
      <w:r w:rsidRPr="00F6488B">
        <w:t>Relationship between the undergraduate success rates of ATAR pathway and enabling program pathway first</w:t>
      </w:r>
      <w:r w:rsidR="00AF32C1" w:rsidRPr="00F6488B">
        <w:t>-</w:t>
      </w:r>
      <w:r w:rsidRPr="00F6488B">
        <w:t>in</w:t>
      </w:r>
      <w:r w:rsidR="00AF32C1" w:rsidRPr="00F6488B">
        <w:t>-</w:t>
      </w:r>
      <w:r w:rsidRPr="00F6488B">
        <w:t>family students in 2023</w:t>
      </w:r>
    </w:p>
    <w:p w14:paraId="328DDC5E" w14:textId="37D341AC" w:rsidR="00E16C76" w:rsidRDefault="00CF5F20" w:rsidP="00FE152A">
      <w:pPr>
        <w:pStyle w:val="Figure"/>
      </w:pPr>
      <w:r>
        <w:rPr>
          <w:noProof/>
        </w:rPr>
        <w:drawing>
          <wp:inline distT="0" distB="0" distL="0" distR="0" wp14:anchorId="74485F67" wp14:editId="6281A2D0">
            <wp:extent cx="8229600" cy="4571999"/>
            <wp:effectExtent l="0" t="0" r="0" b="635"/>
            <wp:docPr id="91" name="Picture 91" descr="The figure compares 2023 success rates of first-in-family students entering university via ATAR and enabling program pathways. Institutions are distributed across a broad range of values on both sides of the line of equality, indicating substantial variability in relative success outcomes. The dispersion suggests that success rates for first-in-family students entering via enabling program pathways vary markedly by institution, with no consistent advantage or disadvantage relative to ATAR pat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The figure compares 2023 success rates of first-in-family students entering university via ATAR and enabling program pathways. Institutions are distributed across a broad range of values on both sides of the line of equality, indicating substantial variability in relative success outcomes. The dispersion suggests that success rates for first-in-family students entering via enabling program pathways vary markedly by institution, with no consistent advantage or disadvantage relative to ATAR pathways."/>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074BC058" w14:textId="77777777" w:rsidR="00E16C76" w:rsidRDefault="00CF5F20">
      <w:pPr>
        <w:pStyle w:val="Heading2"/>
        <w:rPr>
          <w:sz w:val="40"/>
          <w:szCs w:val="40"/>
        </w:rPr>
      </w:pPr>
      <w:bookmarkStart w:id="101" w:name="Xfdd4a4c1e3d9ecc78908b7381c83a1fdf66b400"/>
      <w:bookmarkEnd w:id="99"/>
      <w:r w:rsidRPr="009C65BE">
        <w:rPr>
          <w:sz w:val="40"/>
          <w:szCs w:val="40"/>
        </w:rPr>
        <w:lastRenderedPageBreak/>
        <w:t>Success rates of equity and non-equity enabling program pathway students at university in 2023</w:t>
      </w:r>
    </w:p>
    <w:p w14:paraId="7138EA89" w14:textId="77777777" w:rsidR="009C65BE" w:rsidRPr="009C65BE" w:rsidRDefault="009C65BE" w:rsidP="009C65BE">
      <w:pPr>
        <w:pStyle w:val="BodyText"/>
      </w:pPr>
    </w:p>
    <w:p w14:paraId="001E9A4F" w14:textId="7A144629" w:rsidR="00E16C76" w:rsidRPr="00F6488B" w:rsidRDefault="00CF5F20">
      <w:pPr>
        <w:pStyle w:val="ImageCaption"/>
      </w:pPr>
      <w:r w:rsidRPr="00F6488B">
        <w:rPr>
          <w:bCs/>
        </w:rPr>
        <w:t xml:space="preserve">Figure </w:t>
      </w:r>
      <w:bookmarkStart w:id="102" w:name="unnamed-chunk-85"/>
      <w:r w:rsidRPr="00F6488B">
        <w:rPr>
          <w:bCs/>
        </w:rPr>
        <w:fldChar w:fldCharType="begin"/>
      </w:r>
      <w:r w:rsidRPr="00F6488B">
        <w:rPr>
          <w:bCs/>
        </w:rPr>
        <w:instrText>SEQ fig \* Arabic</w:instrText>
      </w:r>
      <w:r w:rsidRPr="00F6488B">
        <w:rPr>
          <w:bCs/>
        </w:rPr>
        <w:fldChar w:fldCharType="separate"/>
      </w:r>
      <w:r w:rsidR="007F1DD8" w:rsidRPr="00F6488B">
        <w:rPr>
          <w:bCs/>
          <w:noProof/>
        </w:rPr>
        <w:t>47</w:t>
      </w:r>
      <w:r w:rsidRPr="00F6488B">
        <w:rPr>
          <w:bCs/>
        </w:rPr>
        <w:fldChar w:fldCharType="end"/>
      </w:r>
      <w:bookmarkEnd w:id="102"/>
      <w:r w:rsidRPr="00F6488B">
        <w:rPr>
          <w:bCs/>
        </w:rPr>
        <w:t>:</w:t>
      </w:r>
      <w:r w:rsidRPr="00F6488B">
        <w:rPr>
          <w:b/>
        </w:rPr>
        <w:t xml:space="preserve"> </w:t>
      </w:r>
      <w:r w:rsidRPr="00F6488B">
        <w:t>Relationship between the undergraduate success rate</w:t>
      </w:r>
      <w:r w:rsidR="003746DA">
        <w:t>s</w:t>
      </w:r>
      <w:r w:rsidRPr="00F6488B">
        <w:t xml:space="preserve"> of equity</w:t>
      </w:r>
      <w:r w:rsidR="003746DA">
        <w:t xml:space="preserve"> and non-equity enabling program pathway</w:t>
      </w:r>
      <w:r w:rsidRPr="00F6488B">
        <w:t xml:space="preserve"> students in 2023</w:t>
      </w:r>
    </w:p>
    <w:p w14:paraId="2B0D94B9" w14:textId="6CAD52EE" w:rsidR="00E16C76" w:rsidRDefault="00CF5F20" w:rsidP="00F6488B">
      <w:pPr>
        <w:pStyle w:val="Figure"/>
      </w:pPr>
      <w:r>
        <w:rPr>
          <w:noProof/>
        </w:rPr>
        <w:drawing>
          <wp:inline distT="0" distB="0" distL="0" distR="0" wp14:anchorId="480E1956" wp14:editId="784CD7B5">
            <wp:extent cx="8229600" cy="4571999"/>
            <wp:effectExtent l="0" t="0" r="0" b="635"/>
            <wp:docPr id="93" name="Picture 93" descr="The figure is a scatter plot comparing undergraduate success rates in 2023 for equity and non‑equity students whose main basis of admission to university was an enabling program. The x‑axis shows success rates for non‑equity students and the y‑axis shows success rates for equity students. Each dot represents a Table A institution, and the dotted 45‑degree line indicates equal success rates for the two groups.  Institutions are distributed across a broad range of values, with many lying below the line of equality, indicating lower success rates for equity students compared with non‑equity students. However, a number of institutions lie close to or above the line, showing that relative success outcomes vary across institutions rather than following a uniform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The figure is a scatter plot comparing undergraduate success rates in 2023 for equity and non‑equity students whose main basis of admission to university was an enabling program. The x‑axis shows success rates for non‑equity students and the y‑axis shows success rates for equity students. Each dot represents a Table A institution, and the dotted 45‑degree line indicates equal success rates for the two groups.  Institutions are distributed across a broad range of values, with many lying below the line of equality, indicating lower success rates for equity students compared with non‑equity students. However, a number of institutions lie close to or above the line, showing that relative success outcomes vary across institutions rather than following a uniform pattern."/>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430F527A" w14:textId="77777777" w:rsidR="00E16C76" w:rsidRDefault="00CF5F20">
      <w:pPr>
        <w:pStyle w:val="Heading2"/>
      </w:pPr>
      <w:bookmarkStart w:id="103" w:name="X609f4edaa81c9bbb227794a5c8ab4a3773ff865"/>
      <w:bookmarkEnd w:id="101"/>
      <w:r>
        <w:lastRenderedPageBreak/>
        <w:t>Correlations between retention and success rates</w:t>
      </w:r>
    </w:p>
    <w:p w14:paraId="454747C5" w14:textId="77777777" w:rsidR="00E16C0E" w:rsidRPr="00E16C0E" w:rsidRDefault="00E16C0E" w:rsidP="00E16C0E">
      <w:pPr>
        <w:pStyle w:val="BodyText"/>
      </w:pPr>
    </w:p>
    <w:p w14:paraId="3DDBE0EC" w14:textId="237E2548" w:rsidR="00E16C76" w:rsidRDefault="00CF5F20">
      <w:pPr>
        <w:pStyle w:val="FirstParagraph"/>
      </w:pPr>
      <w:r>
        <w:t>Examining the correlation between first-year success rates and subsequent retention rates across institutions helps indicate whether universities with stronger academic outcomes for a given group also tend to see higher rates of continuation in the higher education sector. A stronger correlation suggests that institutional differences in success and continuation move together. A weaker correlation indicates that the two outcomes vary more independently and suggests academic success alone may not translate into continuation. This provides context for understanding how closely academic performance and sector-wide persistence are aligned across different student cohorts.</w:t>
      </w:r>
    </w:p>
    <w:p w14:paraId="375085F7" w14:textId="53194378" w:rsidR="00E16C76" w:rsidRDefault="00CF5F20">
      <w:pPr>
        <w:pStyle w:val="BodyText"/>
      </w:pPr>
      <w:r>
        <w:t xml:space="preserve">Figures </w:t>
      </w:r>
      <w:r w:rsidR="00442A90">
        <w:t>4</w:t>
      </w:r>
      <w:r w:rsidR="00766C8B">
        <w:t>8</w:t>
      </w:r>
      <w:r w:rsidR="00442A90" w:rsidRPr="00442A90">
        <w:t>–</w:t>
      </w:r>
      <w:r w:rsidR="00442A90">
        <w:t>54</w:t>
      </w:r>
      <w:r>
        <w:t xml:space="preserve"> on the following pages show plots of retention </w:t>
      </w:r>
      <w:r w:rsidR="009D1CD2">
        <w:t>versus</w:t>
      </w:r>
      <w:r>
        <w:t xml:space="preserve"> success rates for students from enabling program pathways for each of the equity groups.</w:t>
      </w:r>
    </w:p>
    <w:p w14:paraId="27303278" w14:textId="0FB677FF" w:rsidR="00E16C76" w:rsidRDefault="00CF5F20">
      <w:pPr>
        <w:pStyle w:val="BodyText"/>
      </w:pPr>
      <w:r>
        <w:t>Table 2 below shows the correlation coefficients for enabling program and ATAR pathway students. The correlations between the two pathways are very similar</w:t>
      </w:r>
      <w:r w:rsidR="00D13CB1" w:rsidRPr="00D13CB1">
        <w:t>—</w:t>
      </w:r>
      <w:r>
        <w:t xml:space="preserve">moderate for each of the specific equity groups, and strong for non-equity students. However, the correlation is much weaker for </w:t>
      </w:r>
      <w:r w:rsidR="00D13CB1">
        <w:t>“a</w:t>
      </w:r>
      <w:r>
        <w:t>ll equity students</w:t>
      </w:r>
      <w:r w:rsidR="00D13CB1">
        <w:t>”</w:t>
      </w:r>
      <w:r>
        <w:t xml:space="preserve"> from enabling program pathways than from ATAR pathways.</w:t>
      </w:r>
    </w:p>
    <w:p w14:paraId="7F0CE1FC" w14:textId="22BFB47D" w:rsidR="00E16C76" w:rsidRPr="00FB3519" w:rsidRDefault="00CF5F20" w:rsidP="00E16C0E">
      <w:pPr>
        <w:pStyle w:val="TableCaption"/>
        <w:rPr>
          <w:szCs w:val="22"/>
        </w:rPr>
      </w:pPr>
      <w:r w:rsidRPr="00F6488B">
        <w:rPr>
          <w:szCs w:val="22"/>
        </w:rPr>
        <w:t>Table 2: Pairwise correlation coefficients between retention and success rates for first</w:t>
      </w:r>
      <w:r w:rsidR="00C771C8">
        <w:rPr>
          <w:szCs w:val="22"/>
        </w:rPr>
        <w:t>-</w:t>
      </w:r>
      <w:r w:rsidRPr="00FB3519">
        <w:rPr>
          <w:szCs w:val="22"/>
        </w:rPr>
        <w:t>year domestic undergraduate students from enabling programs at Table A institutions in 2022</w:t>
      </w:r>
    </w:p>
    <w:p w14:paraId="5A84970D" w14:textId="77777777" w:rsidR="00B85893" w:rsidRPr="00B85893" w:rsidRDefault="00B85893" w:rsidP="00E16C0E">
      <w:pPr>
        <w:pStyle w:val="TableCaption"/>
        <w:rPr>
          <w:sz w:val="18"/>
          <w:szCs w:val="18"/>
        </w:rPr>
      </w:pPr>
    </w:p>
    <w:tbl>
      <w:tblPr>
        <w:tblW w:w="0" w:type="auto"/>
        <w:tblLayout w:type="fixed"/>
        <w:tblLook w:val="0420" w:firstRow="1" w:lastRow="0" w:firstColumn="0" w:lastColumn="0" w:noHBand="0" w:noVBand="1"/>
      </w:tblPr>
      <w:tblGrid>
        <w:gridCol w:w="2795"/>
        <w:gridCol w:w="3028"/>
        <w:gridCol w:w="1878"/>
      </w:tblGrid>
      <w:tr w:rsidR="00E16C76" w14:paraId="63724B31" w14:textId="77777777" w:rsidTr="00B85893">
        <w:trPr>
          <w:tblHeader/>
        </w:trPr>
        <w:tc>
          <w:tcPr>
            <w:tcW w:w="2795"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C4669D3"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Equity group</w:t>
            </w:r>
          </w:p>
        </w:tc>
        <w:tc>
          <w:tcPr>
            <w:tcW w:w="302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4567F13"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Enabling program pathway</w:t>
            </w:r>
          </w:p>
        </w:tc>
        <w:tc>
          <w:tcPr>
            <w:tcW w:w="187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555B0F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ATAR pathway</w:t>
            </w:r>
          </w:p>
        </w:tc>
      </w:tr>
      <w:tr w:rsidR="00E16C76" w14:paraId="1FCC0AD8" w14:textId="77777777" w:rsidTr="00B85893">
        <w:tc>
          <w:tcPr>
            <w:tcW w:w="279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B8CBD"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Non-equity students</w:t>
            </w:r>
          </w:p>
        </w:tc>
        <w:tc>
          <w:tcPr>
            <w:tcW w:w="302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304C0"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0.77</w:t>
            </w:r>
          </w:p>
        </w:tc>
        <w:tc>
          <w:tcPr>
            <w:tcW w:w="187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AA2EA3"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0.71</w:t>
            </w:r>
          </w:p>
        </w:tc>
      </w:tr>
      <w:tr w:rsidR="00E16C76" w14:paraId="650C34E4" w14:textId="77777777" w:rsidTr="00B85893">
        <w:tc>
          <w:tcPr>
            <w:tcW w:w="2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8BBF6"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All equity students</w:t>
            </w:r>
          </w:p>
        </w:tc>
        <w:tc>
          <w:tcPr>
            <w:tcW w:w="30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FAEC0"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0.35</w:t>
            </w:r>
          </w:p>
        </w:tc>
        <w:tc>
          <w:tcPr>
            <w:tcW w:w="187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FC241"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0.61</w:t>
            </w:r>
          </w:p>
        </w:tc>
      </w:tr>
      <w:tr w:rsidR="00E16C76" w14:paraId="01E227F1" w14:textId="77777777" w:rsidTr="00B85893">
        <w:tc>
          <w:tcPr>
            <w:tcW w:w="2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603A5"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Low SES</w:t>
            </w:r>
          </w:p>
        </w:tc>
        <w:tc>
          <w:tcPr>
            <w:tcW w:w="30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D68B3D"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0.54</w:t>
            </w:r>
          </w:p>
        </w:tc>
        <w:tc>
          <w:tcPr>
            <w:tcW w:w="187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A862C7"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0.48</w:t>
            </w:r>
          </w:p>
        </w:tc>
      </w:tr>
      <w:tr w:rsidR="00E16C76" w14:paraId="4DC6AD0C" w14:textId="77777777" w:rsidTr="00B85893">
        <w:tc>
          <w:tcPr>
            <w:tcW w:w="2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2EC2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Regional/Remote</w:t>
            </w:r>
          </w:p>
        </w:tc>
        <w:tc>
          <w:tcPr>
            <w:tcW w:w="30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CA05A2"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0.53</w:t>
            </w:r>
          </w:p>
        </w:tc>
        <w:tc>
          <w:tcPr>
            <w:tcW w:w="187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FF8D"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0.49</w:t>
            </w:r>
          </w:p>
        </w:tc>
      </w:tr>
      <w:tr w:rsidR="00E16C76" w14:paraId="00BC0B90" w14:textId="77777777" w:rsidTr="00B85893">
        <w:tc>
          <w:tcPr>
            <w:tcW w:w="2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E9839E"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First Nations Australians</w:t>
            </w:r>
          </w:p>
        </w:tc>
        <w:tc>
          <w:tcPr>
            <w:tcW w:w="30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6B3191"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0.59</w:t>
            </w:r>
          </w:p>
        </w:tc>
        <w:tc>
          <w:tcPr>
            <w:tcW w:w="187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597A78"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0.54</w:t>
            </w:r>
          </w:p>
        </w:tc>
      </w:tr>
      <w:tr w:rsidR="00E16C76" w14:paraId="5B2D0044" w14:textId="77777777" w:rsidTr="00B85893">
        <w:tc>
          <w:tcPr>
            <w:tcW w:w="279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44F1B"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Students with disability</w:t>
            </w:r>
          </w:p>
        </w:tc>
        <w:tc>
          <w:tcPr>
            <w:tcW w:w="30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B96B4"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0.48</w:t>
            </w:r>
          </w:p>
        </w:tc>
        <w:tc>
          <w:tcPr>
            <w:tcW w:w="187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138CE"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0.57</w:t>
            </w:r>
          </w:p>
        </w:tc>
      </w:tr>
      <w:tr w:rsidR="00E16C76" w14:paraId="2A5C4921" w14:textId="77777777" w:rsidTr="00B85893">
        <w:tc>
          <w:tcPr>
            <w:tcW w:w="279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700AD7" w14:textId="3F38DEE6" w:rsidR="00E16C76" w:rsidRDefault="00CF5F2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First</w:t>
            </w:r>
            <w:r w:rsidR="00AF32C1">
              <w:rPr>
                <w:rFonts w:ascii="Arial" w:eastAsia="Arial" w:hAnsi="Arial" w:cs="Arial"/>
                <w:color w:val="000000"/>
                <w:sz w:val="22"/>
                <w:szCs w:val="22"/>
              </w:rPr>
              <w:t>-</w:t>
            </w:r>
            <w:r>
              <w:rPr>
                <w:rFonts w:ascii="Arial" w:eastAsia="Arial" w:hAnsi="Arial" w:cs="Arial"/>
                <w:color w:val="000000"/>
                <w:sz w:val="22"/>
                <w:szCs w:val="22"/>
              </w:rPr>
              <w:t>in</w:t>
            </w:r>
            <w:r w:rsidR="00AF32C1">
              <w:rPr>
                <w:rFonts w:ascii="Arial" w:eastAsia="Arial" w:hAnsi="Arial" w:cs="Arial"/>
                <w:color w:val="000000"/>
                <w:sz w:val="22"/>
                <w:szCs w:val="22"/>
              </w:rPr>
              <w:t>-</w:t>
            </w:r>
            <w:r>
              <w:rPr>
                <w:rFonts w:ascii="Arial" w:eastAsia="Arial" w:hAnsi="Arial" w:cs="Arial"/>
                <w:color w:val="000000"/>
                <w:sz w:val="22"/>
                <w:szCs w:val="22"/>
              </w:rPr>
              <w:t>family</w:t>
            </w:r>
          </w:p>
        </w:tc>
        <w:tc>
          <w:tcPr>
            <w:tcW w:w="302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D5CC7A7"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0.63</w:t>
            </w:r>
          </w:p>
        </w:tc>
        <w:tc>
          <w:tcPr>
            <w:tcW w:w="187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641A92" w14:textId="77777777" w:rsidR="00E16C76" w:rsidRDefault="00CF5F2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color w:val="000000"/>
                <w:sz w:val="22"/>
                <w:szCs w:val="22"/>
              </w:rPr>
            </w:pPr>
            <w:r>
              <w:rPr>
                <w:rFonts w:ascii="Arial" w:eastAsia="Arial" w:hAnsi="Arial" w:cs="Arial"/>
                <w:color w:val="000000"/>
                <w:sz w:val="22"/>
                <w:szCs w:val="22"/>
              </w:rPr>
              <w:t>0.56</w:t>
            </w:r>
          </w:p>
        </w:tc>
      </w:tr>
    </w:tbl>
    <w:p w14:paraId="6BE6D750" w14:textId="13B70D61" w:rsidR="00E16C76" w:rsidRDefault="00CF5F20">
      <w:pPr>
        <w:pStyle w:val="Heading2"/>
        <w:rPr>
          <w:sz w:val="40"/>
          <w:szCs w:val="40"/>
        </w:rPr>
      </w:pPr>
      <w:bookmarkStart w:id="104" w:name="X07f0e3c46786c29636259f596063b86860ec640"/>
      <w:bookmarkEnd w:id="103"/>
      <w:r w:rsidRPr="00604EB5">
        <w:rPr>
          <w:sz w:val="40"/>
          <w:szCs w:val="40"/>
        </w:rPr>
        <w:lastRenderedPageBreak/>
        <w:t>Correlation between 2022 university retention and success rates for non-equity students</w:t>
      </w:r>
    </w:p>
    <w:p w14:paraId="0A8745D8" w14:textId="77777777" w:rsidR="00604EB5" w:rsidRPr="00604EB5" w:rsidRDefault="00604EB5" w:rsidP="00604EB5">
      <w:pPr>
        <w:pStyle w:val="BodyText"/>
      </w:pPr>
    </w:p>
    <w:p w14:paraId="11DF0071" w14:textId="03CC0602" w:rsidR="00E16C76" w:rsidRPr="00F6488B" w:rsidRDefault="00CF5F20">
      <w:pPr>
        <w:pStyle w:val="ImageCaption"/>
      </w:pPr>
      <w:r w:rsidRPr="00F6488B">
        <w:rPr>
          <w:bCs/>
        </w:rPr>
        <w:t xml:space="preserve">Figure </w:t>
      </w:r>
      <w:bookmarkStart w:id="105" w:name="unnamed-chunk-106"/>
      <w:r w:rsidRPr="00F6488B">
        <w:rPr>
          <w:bCs/>
        </w:rPr>
        <w:fldChar w:fldCharType="begin"/>
      </w:r>
      <w:r w:rsidRPr="00F6488B">
        <w:rPr>
          <w:bCs/>
        </w:rPr>
        <w:instrText>SEQ fig \* Arabic</w:instrText>
      </w:r>
      <w:r w:rsidRPr="00F6488B">
        <w:rPr>
          <w:bCs/>
        </w:rPr>
        <w:fldChar w:fldCharType="separate"/>
      </w:r>
      <w:r w:rsidR="007F1DD8" w:rsidRPr="00F6488B">
        <w:rPr>
          <w:bCs/>
          <w:noProof/>
        </w:rPr>
        <w:t>48</w:t>
      </w:r>
      <w:r w:rsidRPr="00F6488B">
        <w:rPr>
          <w:bCs/>
        </w:rPr>
        <w:fldChar w:fldCharType="end"/>
      </w:r>
      <w:bookmarkEnd w:id="105"/>
      <w:r w:rsidRPr="00F6488B">
        <w:rPr>
          <w:bCs/>
        </w:rPr>
        <w:t>:</w:t>
      </w:r>
      <w:r w:rsidRPr="00F6488B">
        <w:rPr>
          <w:b/>
        </w:rPr>
        <w:t xml:space="preserve"> </w:t>
      </w:r>
      <w:r w:rsidRPr="00F6488B">
        <w:t>Relationship between the undergraduate retention and success rates of enabling program pathway non-equity students in 2022</w:t>
      </w:r>
    </w:p>
    <w:p w14:paraId="063024E8" w14:textId="01F4C951" w:rsidR="00E16C76" w:rsidRDefault="00CF5F20" w:rsidP="009C2378">
      <w:pPr>
        <w:pStyle w:val="Figure"/>
      </w:pPr>
      <w:r>
        <w:rPr>
          <w:noProof/>
        </w:rPr>
        <w:drawing>
          <wp:inline distT="0" distB="0" distL="0" distR="0" wp14:anchorId="69E9CB2F" wp14:editId="73892F0D">
            <wp:extent cx="8229600" cy="4571999"/>
            <wp:effectExtent l="0" t="0" r="0" b="635"/>
            <wp:docPr id="95" name="Picture 95" descr="The figure is a scatter plot showing the relationship between undergraduate retention rates and first‑year success rates in 2022 for non‑equity students whose main basis of admission to university was an enabling program. The x‑axis shows success rates and the y‑axis shows retention rates. Each dot represents a Table A institution, and the dotted 45‑degree line indicates equal success and retention rates for the two groups.  Institutions are distributed along a clear upward trend, indicating a strong positive association between success and retention. While outcomes vary across institutions, higher success rates are consistently associated with higher retention rates, with relatively limited dispersion around the overall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The figure is a scatter plot showing the relationship between undergraduate retention rates and first‑year success rates in 2022 for non‑equity students whose main basis of admission to university was an enabling program. The x‑axis shows success rates and the y‑axis shows retention rates. Each dot represents a Table A institution, and the dotted 45‑degree line indicates equal success and retention rates for the two groups.  Institutions are distributed along a clear upward trend, indicating a strong positive association between success and retention. While outcomes vary across institutions, higher success rates are consistently associated with higher retention rates, with relatively limited dispersion around the overall trend."/>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00049E58" w14:textId="77777777" w:rsidR="00E16C76" w:rsidRDefault="00CF5F20">
      <w:pPr>
        <w:pStyle w:val="Heading2"/>
        <w:rPr>
          <w:sz w:val="40"/>
          <w:szCs w:val="40"/>
        </w:rPr>
      </w:pPr>
      <w:bookmarkStart w:id="106" w:name="X0e036fcb1050054a8bc959f54ee275809c77676"/>
      <w:bookmarkEnd w:id="104"/>
      <w:r w:rsidRPr="006726A0">
        <w:rPr>
          <w:sz w:val="40"/>
          <w:szCs w:val="40"/>
        </w:rPr>
        <w:lastRenderedPageBreak/>
        <w:t>Correlation between 2022 university retention and success rates for all equity students</w:t>
      </w:r>
    </w:p>
    <w:p w14:paraId="45BEAC2C" w14:textId="77777777" w:rsidR="006726A0" w:rsidRPr="006726A0" w:rsidRDefault="006726A0" w:rsidP="006726A0">
      <w:pPr>
        <w:pStyle w:val="BodyText"/>
      </w:pPr>
    </w:p>
    <w:p w14:paraId="4C3B4313" w14:textId="450F3625" w:rsidR="00E16C76" w:rsidRPr="00F6488B" w:rsidRDefault="00CF5F20">
      <w:pPr>
        <w:pStyle w:val="ImageCaption"/>
      </w:pPr>
      <w:r w:rsidRPr="00F6488B">
        <w:rPr>
          <w:bCs/>
        </w:rPr>
        <w:t xml:space="preserve">Figure </w:t>
      </w:r>
      <w:bookmarkStart w:id="107" w:name="unnamed-chunk-107"/>
      <w:r w:rsidRPr="00F6488B">
        <w:rPr>
          <w:bCs/>
        </w:rPr>
        <w:fldChar w:fldCharType="begin"/>
      </w:r>
      <w:r w:rsidRPr="00F6488B">
        <w:rPr>
          <w:bCs/>
        </w:rPr>
        <w:instrText>SEQ fig \* Arabic</w:instrText>
      </w:r>
      <w:r w:rsidRPr="00F6488B">
        <w:rPr>
          <w:bCs/>
        </w:rPr>
        <w:fldChar w:fldCharType="separate"/>
      </w:r>
      <w:r w:rsidR="007F1DD8" w:rsidRPr="00F6488B">
        <w:rPr>
          <w:bCs/>
          <w:noProof/>
        </w:rPr>
        <w:t>49</w:t>
      </w:r>
      <w:r w:rsidRPr="00F6488B">
        <w:rPr>
          <w:bCs/>
        </w:rPr>
        <w:fldChar w:fldCharType="end"/>
      </w:r>
      <w:bookmarkEnd w:id="107"/>
      <w:r w:rsidRPr="00F6488B">
        <w:rPr>
          <w:bCs/>
        </w:rPr>
        <w:t>:</w:t>
      </w:r>
      <w:r w:rsidRPr="00F6488B">
        <w:rPr>
          <w:b/>
        </w:rPr>
        <w:t xml:space="preserve"> </w:t>
      </w:r>
      <w:r w:rsidRPr="00F6488B">
        <w:t>Relationship between the undergraduate retention and success rates of enabling program pathway equity students in 2022</w:t>
      </w:r>
    </w:p>
    <w:p w14:paraId="18891715" w14:textId="77777777" w:rsidR="00E16C76" w:rsidRDefault="00CF5F20">
      <w:pPr>
        <w:pStyle w:val="Figure"/>
      </w:pPr>
      <w:r>
        <w:rPr>
          <w:noProof/>
        </w:rPr>
        <w:drawing>
          <wp:inline distT="0" distB="0" distL="0" distR="0" wp14:anchorId="214050B0" wp14:editId="23F68A6E">
            <wp:extent cx="8229600" cy="4571999"/>
            <wp:effectExtent l="0" t="0" r="0" b="635"/>
            <wp:docPr id="97" name="Picture 97" descr="The figure shows the relationship between retention and success rates in 2022 for equity students from enabling program pathways. Institutions are spread across a broad range of values with a weak overall upward trend. The dispersion indicates substantial variation between institutions, suggesting that success and retention are not tightly aligned for equity students as they are for non‑equity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The figure shows the relationship between retention and success rates in 2022 for equity students from enabling program pathways. Institutions are spread across a broad range of values with a weak overall upward trend. The dispersion indicates substantial variation between institutions, suggesting that success and retention are not tightly aligned for equity students as they are for non‑equity students."/>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5E474689" w14:textId="77777777" w:rsidR="00E16C76" w:rsidRDefault="00CF5F20">
      <w:r>
        <w:br w:type="page"/>
      </w:r>
    </w:p>
    <w:p w14:paraId="6F69E1AA" w14:textId="77777777" w:rsidR="00E16C76" w:rsidRDefault="00CF5F20">
      <w:pPr>
        <w:pStyle w:val="Heading2"/>
        <w:rPr>
          <w:sz w:val="40"/>
          <w:szCs w:val="40"/>
        </w:rPr>
      </w:pPr>
      <w:bookmarkStart w:id="108" w:name="X79f0d05a5e22feb32bbdcd9f41732ebb3fb3ea6"/>
      <w:bookmarkEnd w:id="106"/>
      <w:r w:rsidRPr="00C82D6B">
        <w:rPr>
          <w:sz w:val="40"/>
          <w:szCs w:val="40"/>
        </w:rPr>
        <w:lastRenderedPageBreak/>
        <w:t>Correlation between 2022 university retention and success rates for low SES students</w:t>
      </w:r>
    </w:p>
    <w:p w14:paraId="10019A17" w14:textId="77777777" w:rsidR="00C82D6B" w:rsidRPr="00C82D6B" w:rsidRDefault="00C82D6B" w:rsidP="00C82D6B">
      <w:pPr>
        <w:pStyle w:val="BodyText"/>
      </w:pPr>
    </w:p>
    <w:p w14:paraId="4C03262D" w14:textId="2F67963E" w:rsidR="00E16C76" w:rsidRPr="00F6488B" w:rsidRDefault="00CF5F20">
      <w:pPr>
        <w:pStyle w:val="ImageCaption"/>
      </w:pPr>
      <w:r w:rsidRPr="00F6488B">
        <w:rPr>
          <w:bCs/>
        </w:rPr>
        <w:t xml:space="preserve">Figure </w:t>
      </w:r>
      <w:bookmarkStart w:id="109" w:name="unnamed-chunk-108"/>
      <w:r w:rsidRPr="00F6488B">
        <w:rPr>
          <w:bCs/>
        </w:rPr>
        <w:fldChar w:fldCharType="begin"/>
      </w:r>
      <w:r w:rsidRPr="00F6488B">
        <w:rPr>
          <w:bCs/>
        </w:rPr>
        <w:instrText>SEQ fig \* Arabic</w:instrText>
      </w:r>
      <w:r w:rsidRPr="00F6488B">
        <w:rPr>
          <w:bCs/>
        </w:rPr>
        <w:fldChar w:fldCharType="separate"/>
      </w:r>
      <w:r w:rsidR="007F1DD8" w:rsidRPr="00F6488B">
        <w:rPr>
          <w:bCs/>
          <w:noProof/>
        </w:rPr>
        <w:t>50</w:t>
      </w:r>
      <w:r w:rsidRPr="00F6488B">
        <w:rPr>
          <w:bCs/>
        </w:rPr>
        <w:fldChar w:fldCharType="end"/>
      </w:r>
      <w:bookmarkEnd w:id="109"/>
      <w:r w:rsidRPr="00F6488B">
        <w:rPr>
          <w:bCs/>
        </w:rPr>
        <w:t>:</w:t>
      </w:r>
      <w:r w:rsidRPr="00F6488B">
        <w:rPr>
          <w:b/>
        </w:rPr>
        <w:t xml:space="preserve"> </w:t>
      </w:r>
      <w:r w:rsidRPr="00F6488B">
        <w:t>Relationship between the undergraduate retention and success rates of enabling program pathway students from low SES areas in 2022</w:t>
      </w:r>
    </w:p>
    <w:p w14:paraId="35DE8A63" w14:textId="26C8A04F" w:rsidR="00E16C76" w:rsidRDefault="00CF5F20" w:rsidP="009C2378">
      <w:pPr>
        <w:pStyle w:val="Figure"/>
      </w:pPr>
      <w:r>
        <w:rPr>
          <w:noProof/>
        </w:rPr>
        <w:drawing>
          <wp:inline distT="0" distB="0" distL="0" distR="0" wp14:anchorId="0B508F73" wp14:editId="7E4CD66C">
            <wp:extent cx="8229600" cy="4571999"/>
            <wp:effectExtent l="0" t="0" r="0" b="635"/>
            <wp:docPr id="99" name="Picture 99" descr="The figure shows the relationship between retention and success rates in 2022 for low SES students from enabling program pathways. Institutions display a moderate positive association between success and retention, with points distributed across a bounded range along an upward trend. Although there is variation across institutions, higher success rates are generally associated with higher retention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The figure shows the relationship between retention and success rates in 2022 for low SES students from enabling program pathways. Institutions display a moderate positive association between success and retention, with points distributed across a bounded range along an upward trend. Although there is variation across institutions, higher success rates are generally associated with higher retention outcomes."/>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356FBAE0" w14:textId="33FB9F24" w:rsidR="00E16C76" w:rsidRDefault="00CF5F20">
      <w:pPr>
        <w:pStyle w:val="Heading2"/>
        <w:rPr>
          <w:sz w:val="40"/>
          <w:szCs w:val="40"/>
        </w:rPr>
      </w:pPr>
      <w:bookmarkStart w:id="110" w:name="Xf4cb0446811c4ac2f00ef8851b7dd4dc6e13182"/>
      <w:bookmarkEnd w:id="108"/>
      <w:r w:rsidRPr="007D539C">
        <w:rPr>
          <w:sz w:val="40"/>
          <w:szCs w:val="40"/>
        </w:rPr>
        <w:lastRenderedPageBreak/>
        <w:t>Correlation between 2022 university retention and success rates for regional</w:t>
      </w:r>
      <w:r w:rsidR="00BF227B">
        <w:rPr>
          <w:sz w:val="40"/>
          <w:szCs w:val="40"/>
        </w:rPr>
        <w:t xml:space="preserve"> and </w:t>
      </w:r>
      <w:r w:rsidRPr="007D539C">
        <w:rPr>
          <w:sz w:val="40"/>
          <w:szCs w:val="40"/>
        </w:rPr>
        <w:t>remote students</w:t>
      </w:r>
    </w:p>
    <w:p w14:paraId="4CBC29D9" w14:textId="77777777" w:rsidR="007D539C" w:rsidRPr="007D539C" w:rsidRDefault="007D539C" w:rsidP="007D539C">
      <w:pPr>
        <w:pStyle w:val="BodyText"/>
      </w:pPr>
    </w:p>
    <w:p w14:paraId="1A610516" w14:textId="5BD4E798" w:rsidR="00E16C76" w:rsidRPr="00FB3519" w:rsidRDefault="00CF5F20">
      <w:pPr>
        <w:pStyle w:val="ImageCaption"/>
      </w:pPr>
      <w:r w:rsidRPr="00F6488B">
        <w:rPr>
          <w:bCs/>
        </w:rPr>
        <w:t xml:space="preserve">Figure </w:t>
      </w:r>
      <w:bookmarkStart w:id="111" w:name="unnamed-chunk-109"/>
      <w:r w:rsidRPr="00F6488B">
        <w:rPr>
          <w:bCs/>
        </w:rPr>
        <w:fldChar w:fldCharType="begin"/>
      </w:r>
      <w:r w:rsidRPr="00F6488B">
        <w:rPr>
          <w:bCs/>
        </w:rPr>
        <w:instrText>SEQ fig \* Arabic</w:instrText>
      </w:r>
      <w:r w:rsidRPr="00F6488B">
        <w:rPr>
          <w:bCs/>
        </w:rPr>
        <w:fldChar w:fldCharType="separate"/>
      </w:r>
      <w:r w:rsidR="007F1DD8" w:rsidRPr="00F6488B">
        <w:rPr>
          <w:bCs/>
          <w:noProof/>
        </w:rPr>
        <w:t>51</w:t>
      </w:r>
      <w:r w:rsidRPr="00F6488B">
        <w:rPr>
          <w:bCs/>
        </w:rPr>
        <w:fldChar w:fldCharType="end"/>
      </w:r>
      <w:bookmarkEnd w:id="111"/>
      <w:r w:rsidRPr="00F6488B">
        <w:rPr>
          <w:bCs/>
        </w:rPr>
        <w:t>:</w:t>
      </w:r>
      <w:r w:rsidRPr="00F6488B">
        <w:rPr>
          <w:b/>
        </w:rPr>
        <w:t xml:space="preserve"> </w:t>
      </w:r>
      <w:r w:rsidRPr="00F6488B">
        <w:t>Relationship between the undergraduate retention and success rates of enabling program pathway students from regional</w:t>
      </w:r>
      <w:r w:rsidR="00BB18EC">
        <w:t>/</w:t>
      </w:r>
      <w:r w:rsidRPr="00FB3519">
        <w:t>remote areas in 2022</w:t>
      </w:r>
    </w:p>
    <w:p w14:paraId="60D76693" w14:textId="3ECE0740" w:rsidR="00E16C76" w:rsidRDefault="00CF5F20" w:rsidP="00F6488B">
      <w:pPr>
        <w:pStyle w:val="Figure"/>
      </w:pPr>
      <w:r>
        <w:rPr>
          <w:noProof/>
        </w:rPr>
        <w:drawing>
          <wp:inline distT="0" distB="0" distL="0" distR="0" wp14:anchorId="765465FA" wp14:editId="4A2D0DF6">
            <wp:extent cx="8229600" cy="4571999"/>
            <wp:effectExtent l="0" t="0" r="0" b="635"/>
            <wp:docPr id="101" name="Picture 101" descr="The figure shows the relationship between retention and success rates in 2022 for regional and remote students from enabling program pathways. Institutions display a moderate positive association between success and retention, with points distributed across a bounded range along an upward trend. Although there is variation across institutions, higher success rates are generally associated with higher retention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The figure shows the relationship between retention and success rates in 2022 for regional and remote students from enabling program pathways. Institutions display a moderate positive association between success and retention, with points distributed across a bounded range along an upward trend. Although there is variation across institutions, higher success rates are generally associated with higher retention outcomes."/>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42870AF7" w14:textId="77777777" w:rsidR="00E16C76" w:rsidRDefault="00CF5F20">
      <w:pPr>
        <w:pStyle w:val="Heading2"/>
        <w:rPr>
          <w:sz w:val="40"/>
          <w:szCs w:val="40"/>
        </w:rPr>
      </w:pPr>
      <w:bookmarkStart w:id="112" w:name="X492dfe9c35e80edfff7ee3cb8fbb8feff3bb4bc"/>
      <w:bookmarkEnd w:id="110"/>
      <w:r w:rsidRPr="00D14F93">
        <w:rPr>
          <w:sz w:val="40"/>
          <w:szCs w:val="40"/>
        </w:rPr>
        <w:lastRenderedPageBreak/>
        <w:t>Correlation between 2022 university retention and success rates for First Nations Australians students</w:t>
      </w:r>
    </w:p>
    <w:p w14:paraId="669DBD30" w14:textId="77777777" w:rsidR="00D14F93" w:rsidRPr="00D14F93" w:rsidRDefault="00D14F93" w:rsidP="00D14F93">
      <w:pPr>
        <w:pStyle w:val="BodyText"/>
      </w:pPr>
    </w:p>
    <w:p w14:paraId="51BC7F58" w14:textId="11C596B3" w:rsidR="00E16C76" w:rsidRPr="00F6488B" w:rsidRDefault="00CF5F20">
      <w:pPr>
        <w:pStyle w:val="ImageCaption"/>
      </w:pPr>
      <w:r w:rsidRPr="00F6488B">
        <w:rPr>
          <w:bCs/>
        </w:rPr>
        <w:t xml:space="preserve">Figure </w:t>
      </w:r>
      <w:bookmarkStart w:id="113" w:name="unnamed-chunk-110"/>
      <w:r w:rsidRPr="00F6488B">
        <w:rPr>
          <w:bCs/>
        </w:rPr>
        <w:fldChar w:fldCharType="begin"/>
      </w:r>
      <w:r w:rsidRPr="00F6488B">
        <w:rPr>
          <w:bCs/>
        </w:rPr>
        <w:instrText>SEQ fig \* Arabic</w:instrText>
      </w:r>
      <w:r w:rsidRPr="00F6488B">
        <w:rPr>
          <w:bCs/>
        </w:rPr>
        <w:fldChar w:fldCharType="separate"/>
      </w:r>
      <w:r w:rsidR="007F1DD8" w:rsidRPr="00F6488B">
        <w:rPr>
          <w:bCs/>
          <w:noProof/>
        </w:rPr>
        <w:t>52</w:t>
      </w:r>
      <w:r w:rsidRPr="00F6488B">
        <w:rPr>
          <w:bCs/>
        </w:rPr>
        <w:fldChar w:fldCharType="end"/>
      </w:r>
      <w:bookmarkEnd w:id="113"/>
      <w:r w:rsidRPr="00F6488B">
        <w:rPr>
          <w:bCs/>
        </w:rPr>
        <w:t>:</w:t>
      </w:r>
      <w:r w:rsidRPr="00F6488B">
        <w:rPr>
          <w:b/>
        </w:rPr>
        <w:t xml:space="preserve"> </w:t>
      </w:r>
      <w:r w:rsidRPr="00F6488B">
        <w:t>Relationship between the undergraduate retention and success rates of enabling program pathway First Nations Australian students in 2022</w:t>
      </w:r>
    </w:p>
    <w:p w14:paraId="6A1E42D5" w14:textId="461A52CE" w:rsidR="00E16C76" w:rsidRDefault="00CF5F20" w:rsidP="009C2378">
      <w:pPr>
        <w:pStyle w:val="Figure"/>
      </w:pPr>
      <w:r>
        <w:rPr>
          <w:noProof/>
        </w:rPr>
        <w:drawing>
          <wp:inline distT="0" distB="0" distL="0" distR="0" wp14:anchorId="09EFF661" wp14:editId="6C2ECAFF">
            <wp:extent cx="8229600" cy="4571999"/>
            <wp:effectExtent l="0" t="0" r="0" b="635"/>
            <wp:docPr id="103" name="Picture 103" descr="The figure shows the relationship between retention and success rates in 2022 for First Nations Australian students from enabling program pathways. Institutions are widely dispersed across the plot, with most lying below the line of equality. This indicates that, for many institutions, retention rates for First Nations Australian students entering via enabling program pathways are higher than their corresponding success rates. While an overall positive association between success and retention is visible, the distribution suggests that higher retention does not consistently coincide with higher first‑year success outcomes across instit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The figure shows the relationship between retention and success rates in 2022 for First Nations Australian students from enabling program pathways. Institutions are widely dispersed across the plot, with most lying below the line of equality. This indicates that, for many institutions, retention rates for First Nations Australian students entering via enabling program pathways are higher than their corresponding success rates. While an overall positive association between success and retention is visible, the distribution suggests that higher retention does not consistently coincide with higher first‑year success outcomes across institutions."/>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25F6D8D8" w14:textId="77777777" w:rsidR="00E16C76" w:rsidRDefault="00CF5F20">
      <w:pPr>
        <w:pStyle w:val="Heading2"/>
        <w:rPr>
          <w:sz w:val="40"/>
          <w:szCs w:val="40"/>
        </w:rPr>
      </w:pPr>
      <w:bookmarkStart w:id="114" w:name="X34e36eb59a6b08ba4ae3984d0456c151095608b"/>
      <w:bookmarkEnd w:id="112"/>
      <w:r w:rsidRPr="00E14086">
        <w:rPr>
          <w:sz w:val="40"/>
          <w:szCs w:val="40"/>
        </w:rPr>
        <w:lastRenderedPageBreak/>
        <w:t>Correlation between 2022 university retention and success rates for students with disability</w:t>
      </w:r>
    </w:p>
    <w:p w14:paraId="598DE71E" w14:textId="77777777" w:rsidR="00E14086" w:rsidRPr="00E14086" w:rsidRDefault="00E14086" w:rsidP="00E14086">
      <w:pPr>
        <w:pStyle w:val="BodyText"/>
      </w:pPr>
    </w:p>
    <w:p w14:paraId="09E9ACCA" w14:textId="64331AC1" w:rsidR="00E16C76" w:rsidRPr="00F6488B" w:rsidRDefault="00CF5F20">
      <w:pPr>
        <w:pStyle w:val="ImageCaption"/>
      </w:pPr>
      <w:r w:rsidRPr="00F6488B">
        <w:rPr>
          <w:bCs/>
        </w:rPr>
        <w:t xml:space="preserve">Figure </w:t>
      </w:r>
      <w:bookmarkStart w:id="115" w:name="unnamed-chunk-111"/>
      <w:r w:rsidRPr="00F6488B">
        <w:rPr>
          <w:bCs/>
        </w:rPr>
        <w:fldChar w:fldCharType="begin"/>
      </w:r>
      <w:r w:rsidRPr="00F6488B">
        <w:rPr>
          <w:bCs/>
        </w:rPr>
        <w:instrText>SEQ fig \* Arabic</w:instrText>
      </w:r>
      <w:r w:rsidRPr="00F6488B">
        <w:rPr>
          <w:bCs/>
        </w:rPr>
        <w:fldChar w:fldCharType="separate"/>
      </w:r>
      <w:r w:rsidR="007F1DD8" w:rsidRPr="00F6488B">
        <w:rPr>
          <w:bCs/>
          <w:noProof/>
        </w:rPr>
        <w:t>53</w:t>
      </w:r>
      <w:r w:rsidRPr="00F6488B">
        <w:rPr>
          <w:bCs/>
        </w:rPr>
        <w:fldChar w:fldCharType="end"/>
      </w:r>
      <w:bookmarkEnd w:id="115"/>
      <w:r w:rsidRPr="00F6488B">
        <w:rPr>
          <w:bCs/>
        </w:rPr>
        <w:t>:</w:t>
      </w:r>
      <w:r w:rsidRPr="00F6488B">
        <w:rPr>
          <w:b/>
        </w:rPr>
        <w:t xml:space="preserve"> </w:t>
      </w:r>
      <w:r w:rsidRPr="00F6488B">
        <w:t>Relationship between the undergraduate retention and success rates of enabling program pathway students with disability in 2022</w:t>
      </w:r>
    </w:p>
    <w:p w14:paraId="7C7DDD09" w14:textId="7A142BFD" w:rsidR="00E16C76" w:rsidRDefault="00CF5F20" w:rsidP="009C2378">
      <w:pPr>
        <w:pStyle w:val="Figure"/>
      </w:pPr>
      <w:r>
        <w:rPr>
          <w:noProof/>
        </w:rPr>
        <w:drawing>
          <wp:inline distT="0" distB="0" distL="0" distR="0" wp14:anchorId="7E9C546B" wp14:editId="16146DA8">
            <wp:extent cx="8229600" cy="4571999"/>
            <wp:effectExtent l="0" t="0" r="0" b="635"/>
            <wp:docPr id="105" name="Picture 105" descr="The figure shows the relationship between retention and success rates in 2022 for students with disability from enabling program pathways. Institutions show a moderate positive relationship between success and retention, with points spread across a reasonably wide range. Higher success rates are generally associated with higher retention, although outcomes vary across instit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The figure shows the relationship between retention and success rates in 2022 for students with disability from enabling program pathways. Institutions show a moderate positive relationship between success and retention, with points spread across a reasonably wide range. Higher success rates are generally associated with higher retention, although outcomes vary across institutions."/>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p>
    <w:p w14:paraId="0395AB9E" w14:textId="7D262CAF" w:rsidR="00E16C76" w:rsidRDefault="00CF5F20">
      <w:pPr>
        <w:pStyle w:val="Heading2"/>
        <w:rPr>
          <w:sz w:val="40"/>
          <w:szCs w:val="40"/>
        </w:rPr>
      </w:pPr>
      <w:bookmarkStart w:id="116" w:name="Xd6952ab156a5a7a5746ec7941710b9014c0f33c"/>
      <w:bookmarkEnd w:id="114"/>
      <w:r w:rsidRPr="00F27754">
        <w:rPr>
          <w:sz w:val="40"/>
          <w:szCs w:val="40"/>
        </w:rPr>
        <w:lastRenderedPageBreak/>
        <w:t>Correlation between 2022 university retention and success rates for first</w:t>
      </w:r>
      <w:r w:rsidR="00AF32C1">
        <w:rPr>
          <w:sz w:val="40"/>
          <w:szCs w:val="40"/>
        </w:rPr>
        <w:t>-</w:t>
      </w:r>
      <w:r w:rsidRPr="00F27754">
        <w:rPr>
          <w:sz w:val="40"/>
          <w:szCs w:val="40"/>
        </w:rPr>
        <w:t>in</w:t>
      </w:r>
      <w:r w:rsidR="00AF32C1">
        <w:rPr>
          <w:sz w:val="40"/>
          <w:szCs w:val="40"/>
        </w:rPr>
        <w:t>-</w:t>
      </w:r>
      <w:r w:rsidRPr="00F27754">
        <w:rPr>
          <w:sz w:val="40"/>
          <w:szCs w:val="40"/>
        </w:rPr>
        <w:t>family students</w:t>
      </w:r>
      <w:r w:rsidR="0009622F">
        <w:rPr>
          <w:sz w:val="40"/>
          <w:szCs w:val="40"/>
        </w:rPr>
        <w:t xml:space="preserve"> </w:t>
      </w:r>
    </w:p>
    <w:p w14:paraId="11B4FEAF" w14:textId="77777777" w:rsidR="00E05794" w:rsidRPr="00E05794" w:rsidRDefault="00E05794" w:rsidP="00E05794">
      <w:pPr>
        <w:pStyle w:val="BodyText"/>
      </w:pPr>
    </w:p>
    <w:p w14:paraId="1FE57DEE" w14:textId="673A5B83" w:rsidR="00E16C76" w:rsidRPr="00F6488B" w:rsidRDefault="00CF5F20">
      <w:pPr>
        <w:pStyle w:val="ImageCaption"/>
      </w:pPr>
      <w:r w:rsidRPr="00F6488B">
        <w:rPr>
          <w:bCs/>
        </w:rPr>
        <w:t xml:space="preserve">Figure </w:t>
      </w:r>
      <w:bookmarkStart w:id="117" w:name="unnamed-chunk-112"/>
      <w:r w:rsidRPr="00F6488B">
        <w:rPr>
          <w:bCs/>
        </w:rPr>
        <w:fldChar w:fldCharType="begin"/>
      </w:r>
      <w:r w:rsidRPr="00F6488B">
        <w:rPr>
          <w:bCs/>
        </w:rPr>
        <w:instrText>SEQ fig \* Arabic</w:instrText>
      </w:r>
      <w:r w:rsidRPr="00F6488B">
        <w:rPr>
          <w:bCs/>
        </w:rPr>
        <w:fldChar w:fldCharType="separate"/>
      </w:r>
      <w:r w:rsidR="007F1DD8" w:rsidRPr="00F6488B">
        <w:rPr>
          <w:bCs/>
          <w:noProof/>
        </w:rPr>
        <w:t>54</w:t>
      </w:r>
      <w:r w:rsidRPr="00F6488B">
        <w:rPr>
          <w:bCs/>
        </w:rPr>
        <w:fldChar w:fldCharType="end"/>
      </w:r>
      <w:bookmarkEnd w:id="117"/>
      <w:r w:rsidRPr="00F6488B">
        <w:rPr>
          <w:bCs/>
        </w:rPr>
        <w:t>:</w:t>
      </w:r>
      <w:r w:rsidRPr="00F6488B">
        <w:rPr>
          <w:b/>
        </w:rPr>
        <w:t xml:space="preserve"> </w:t>
      </w:r>
      <w:r w:rsidRPr="00F6488B">
        <w:t>Relationship between the undergraduate retention and success rates of enabling program pathway first</w:t>
      </w:r>
      <w:r w:rsidR="00AF32C1" w:rsidRPr="00F6488B">
        <w:t>-</w:t>
      </w:r>
      <w:r w:rsidRPr="00F6488B">
        <w:t>in</w:t>
      </w:r>
      <w:r w:rsidR="00AF32C1" w:rsidRPr="00F6488B">
        <w:t>-</w:t>
      </w:r>
      <w:r w:rsidRPr="00F6488B">
        <w:t>family students in 2022</w:t>
      </w:r>
    </w:p>
    <w:p w14:paraId="421CC969" w14:textId="77777777" w:rsidR="00E16C76" w:rsidRDefault="00CF5F20">
      <w:pPr>
        <w:pStyle w:val="Figure"/>
      </w:pPr>
      <w:r>
        <w:rPr>
          <w:noProof/>
        </w:rPr>
        <w:drawing>
          <wp:inline distT="0" distB="0" distL="0" distR="0" wp14:anchorId="4004E27C" wp14:editId="75EB2588">
            <wp:extent cx="8229600" cy="4571999"/>
            <wp:effectExtent l="0" t="0" r="0" b="635"/>
            <wp:docPr id="107" name="Picture 107" descr="The figure shows the relationship between retention and success rates in 2022 for first-in-family students from enabling program pathways. Institutions are distributed along a clear upward pattern, indicating a positive association between success and retention. While some variation is present, higher success rates are generally associated with higher retention outcomes across instit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The figure shows the relationship between retention and success rates in 2022 for first-in-family students from enabling program pathways. Institutions are distributed along a clear upward pattern, indicating a positive association between success and retention. While some variation is present, higher success rates are generally associated with higher retention outcomes across institutions."/>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8229600" cy="4571999"/>
                    </a:xfrm>
                    <a:prstGeom prst="rect">
                      <a:avLst/>
                    </a:prstGeom>
                    <a:noFill/>
                  </pic:spPr>
                </pic:pic>
              </a:graphicData>
            </a:graphic>
          </wp:inline>
        </w:drawing>
      </w:r>
      <w:bookmarkEnd w:id="0"/>
      <w:bookmarkEnd w:id="116"/>
    </w:p>
    <w:sectPr w:rsidR="00E16C76" w:rsidSect="00943CE7">
      <w:headerReference w:type="even" r:id="rId67"/>
      <w:headerReference w:type="default" r:id="rId68"/>
      <w:footerReference w:type="even" r:id="rId69"/>
      <w:footerReference w:type="default" r:id="rId70"/>
      <w:headerReference w:type="first" r:id="rId71"/>
      <w:footerReference w:type="first" r:id="rId72"/>
      <w:pgSz w:w="16840" w:h="11907" w:orient="landscape" w:code="9"/>
      <w:pgMar w:top="1021" w:right="1383" w:bottom="1021" w:left="1440" w:header="454" w:footer="3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D2174" w14:textId="77777777" w:rsidR="007C1EAD" w:rsidRDefault="007C1EAD">
      <w:pPr>
        <w:spacing w:after="0"/>
      </w:pPr>
      <w:r>
        <w:separator/>
      </w:r>
    </w:p>
  </w:endnote>
  <w:endnote w:type="continuationSeparator" w:id="0">
    <w:p w14:paraId="2CBFA3E3" w14:textId="77777777" w:rsidR="007C1EAD" w:rsidRDefault="007C1E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nter">
    <w:altName w:val="Calibri"/>
    <w:charset w:val="00"/>
    <w:family w:val="auto"/>
    <w:pitch w:val="variable"/>
    <w:sig w:usb0="E00002FF" w:usb1="1200A1FF" w:usb2="00000001" w:usb3="00000000" w:csb0="000001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ter Medium">
    <w:altName w:val="Calibri"/>
    <w:charset w:val="00"/>
    <w:family w:val="auto"/>
    <w:pitch w:val="variable"/>
    <w:sig w:usb0="E00002FF" w:usb1="1200A1FF" w:usb2="00000001"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984CC" w14:textId="77777777" w:rsidR="00CF5F20" w:rsidRPr="00593CC2" w:rsidRDefault="00CF5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Inter" w:hAnsi="Inter"/>
        <w:sz w:val="22"/>
        <w:szCs w:val="22"/>
      </w:rPr>
      <w:id w:val="972177194"/>
      <w:docPartObj>
        <w:docPartGallery w:val="Page Numbers (Bottom of Page)"/>
        <w:docPartUnique/>
      </w:docPartObj>
    </w:sdtPr>
    <w:sdtEndPr/>
    <w:sdtContent>
      <w:p w14:paraId="66BAAD30" w14:textId="77777777" w:rsidR="00CF5F20" w:rsidRPr="00593CC2" w:rsidRDefault="00CF5F20">
        <w:pPr>
          <w:pStyle w:val="Footer"/>
          <w:jc w:val="center"/>
          <w:rPr>
            <w:rFonts w:ascii="Inter" w:hAnsi="Inter"/>
            <w:sz w:val="22"/>
            <w:szCs w:val="22"/>
          </w:rPr>
        </w:pPr>
        <w:r w:rsidRPr="00593CC2">
          <w:rPr>
            <w:rFonts w:ascii="Inter" w:hAnsi="Inter"/>
            <w:sz w:val="22"/>
            <w:szCs w:val="22"/>
          </w:rPr>
          <w:fldChar w:fldCharType="begin"/>
        </w:r>
        <w:r w:rsidRPr="00593CC2">
          <w:rPr>
            <w:rFonts w:ascii="Inter" w:hAnsi="Inter"/>
            <w:sz w:val="22"/>
            <w:szCs w:val="22"/>
          </w:rPr>
          <w:instrText xml:space="preserve"> PAGE   \* MERGEFORMAT </w:instrText>
        </w:r>
        <w:r w:rsidRPr="00593CC2">
          <w:rPr>
            <w:rFonts w:ascii="Inter" w:hAnsi="Inter"/>
            <w:sz w:val="22"/>
            <w:szCs w:val="22"/>
          </w:rPr>
          <w:fldChar w:fldCharType="separate"/>
        </w:r>
        <w:r w:rsidRPr="00593CC2">
          <w:rPr>
            <w:rFonts w:ascii="Inter" w:hAnsi="Inter"/>
            <w:sz w:val="22"/>
            <w:szCs w:val="22"/>
          </w:rPr>
          <w:t>2</w:t>
        </w:r>
        <w:r w:rsidRPr="00593CC2">
          <w:rPr>
            <w:rFonts w:ascii="Inter" w:hAnsi="Inter"/>
            <w:sz w:val="22"/>
            <w:szCs w:val="22"/>
          </w:rPr>
          <w:fldChar w:fldCharType="end"/>
        </w:r>
      </w:p>
    </w:sdtContent>
  </w:sdt>
  <w:p w14:paraId="229309D1" w14:textId="77777777" w:rsidR="00CF5F20" w:rsidRPr="00593CC2" w:rsidRDefault="00CF5F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47959" w14:textId="77777777" w:rsidR="00CF5F20" w:rsidRPr="00593CC2" w:rsidRDefault="00CF5F20" w:rsidP="00FF445D">
    <w:pPr>
      <w:pStyle w:val="Footer"/>
      <w:jc w:val="right"/>
    </w:pPr>
    <w:r w:rsidRPr="00593CC2">
      <w:rPr>
        <w:noProof/>
      </w:rPr>
      <w:drawing>
        <wp:inline distT="0" distB="0" distL="0" distR="0" wp14:anchorId="65F747DD" wp14:editId="5A8CCA3E">
          <wp:extent cx="5315578" cy="492593"/>
          <wp:effectExtent l="0" t="0" r="0" b="3175"/>
          <wp:docPr id="2003017752" name="Picture 1" descr="Standard co-branded logo for ACSES and Curti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17752" name="Picture 1" descr="Standard co-branded logo for ACSES and Curtin University"/>
                  <pic:cNvPicPr/>
                </pic:nvPicPr>
                <pic:blipFill>
                  <a:blip r:embed="rId1">
                    <a:extLst>
                      <a:ext uri="{28A0092B-C50C-407E-A947-70E740481C1C}">
                        <a14:useLocalDpi xmlns:a14="http://schemas.microsoft.com/office/drawing/2010/main" val="0"/>
                      </a:ext>
                    </a:extLst>
                  </a:blip>
                  <a:stretch>
                    <a:fillRect/>
                  </a:stretch>
                </pic:blipFill>
                <pic:spPr>
                  <a:xfrm>
                    <a:off x="0" y="0"/>
                    <a:ext cx="5434414" cy="5036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5493C" w14:textId="77777777" w:rsidR="007C1EAD" w:rsidRDefault="007C1EAD">
      <w:pPr>
        <w:spacing w:after="0"/>
      </w:pPr>
      <w:r>
        <w:separator/>
      </w:r>
    </w:p>
  </w:footnote>
  <w:footnote w:type="continuationSeparator" w:id="0">
    <w:p w14:paraId="6CFF2A4F" w14:textId="77777777" w:rsidR="007C1EAD" w:rsidRDefault="007C1EAD">
      <w:pPr>
        <w:spacing w:after="0"/>
      </w:pPr>
      <w:r>
        <w:continuationSeparator/>
      </w:r>
    </w:p>
  </w:footnote>
  <w:footnote w:id="1">
    <w:p w14:paraId="7D2A39B8" w14:textId="77777777" w:rsidR="00E16C76" w:rsidRDefault="00CF5F20">
      <w:pPr>
        <w:pStyle w:val="FootnoteText"/>
      </w:pPr>
      <w:r w:rsidRPr="00773C8D">
        <w:rPr>
          <w:rStyle w:val="FootnoteReference"/>
          <w:i w:val="0"/>
          <w:iCs/>
        </w:rPr>
        <w:footnoteRef/>
      </w:r>
      <w:r w:rsidRPr="00773C8D">
        <w:rPr>
          <w:i/>
          <w:iCs/>
        </w:rPr>
        <w:t xml:space="preserve"> </w:t>
      </w:r>
      <w:r>
        <w:t xml:space="preserve">Please see </w:t>
      </w:r>
      <w:hyperlink r:id="rId1">
        <w:r w:rsidRPr="00AB5FF4">
          <w:rPr>
            <w:rStyle w:val="Hyperlink"/>
            <w:i w:val="0"/>
            <w:iCs/>
            <w:color w:val="254C8C"/>
            <w:sz w:val="20"/>
          </w:rPr>
          <w:t>Student Equity Data Guide: Defining Equity Groups</w:t>
        </w:r>
      </w:hyperlink>
      <w:r>
        <w:t xml:space="preserve"> for further information.</w:t>
      </w:r>
    </w:p>
  </w:footnote>
  <w:footnote w:id="2">
    <w:p w14:paraId="57F532D7" w14:textId="77777777" w:rsidR="00E16C76" w:rsidRDefault="00CF5F20">
      <w:pPr>
        <w:pStyle w:val="FootnoteText"/>
      </w:pPr>
      <w:r w:rsidRPr="00773C8D">
        <w:rPr>
          <w:rStyle w:val="FootnoteReference"/>
          <w:i w:val="0"/>
          <w:iCs/>
        </w:rPr>
        <w:footnoteRef/>
      </w:r>
      <w:r>
        <w:t xml:space="preserve"> Australian Government Department of Education (2025). Enabling Program Statistics, Private Request (2025). Canberra: Department of Education.</w:t>
      </w:r>
    </w:p>
  </w:footnote>
  <w:footnote w:id="3">
    <w:p w14:paraId="74AC4AA1" w14:textId="4B8F206C" w:rsidR="00E16C76" w:rsidRPr="00AB5FF4" w:rsidRDefault="00CF5F20">
      <w:pPr>
        <w:pStyle w:val="FootnoteText"/>
        <w:rPr>
          <w:i/>
          <w:iCs/>
        </w:rPr>
      </w:pPr>
      <w:r w:rsidRPr="00773C8D">
        <w:rPr>
          <w:rStyle w:val="FootnoteReference"/>
          <w:i w:val="0"/>
          <w:iCs/>
        </w:rPr>
        <w:footnoteRef/>
      </w:r>
      <w:r>
        <w:t xml:space="preserve"> For further discussion on first</w:t>
      </w:r>
      <w:r w:rsidR="00AF32C1">
        <w:t>-</w:t>
      </w:r>
      <w:r>
        <w:t>in</w:t>
      </w:r>
      <w:r w:rsidR="00AF32C1">
        <w:t>-</w:t>
      </w:r>
      <w:r>
        <w:t xml:space="preserve">family and equity, see: </w:t>
      </w:r>
      <w:hyperlink r:id="rId2">
        <w:r w:rsidRPr="00AB5FF4">
          <w:rPr>
            <w:rStyle w:val="Hyperlink"/>
            <w:i w:val="0"/>
            <w:iCs/>
            <w:color w:val="254C8C"/>
            <w:sz w:val="20"/>
          </w:rPr>
          <w:t>www.acses.edu.au/why-first-in-family-status-matters</w:t>
        </w:r>
      </w:hyperlink>
      <w:r w:rsidR="007059A6" w:rsidRPr="00AB5FF4">
        <w:rPr>
          <w:i/>
          <w:iCs/>
        </w:rPr>
        <w:t>.</w:t>
      </w:r>
    </w:p>
  </w:footnote>
  <w:footnote w:id="4">
    <w:p w14:paraId="10B7EB3E" w14:textId="77777777" w:rsidR="00E16C76" w:rsidRPr="00735B82" w:rsidRDefault="00CF5F20">
      <w:pPr>
        <w:pStyle w:val="FootnoteText"/>
      </w:pPr>
      <w:r w:rsidRPr="00773C8D">
        <w:rPr>
          <w:rStyle w:val="FootnoteReference"/>
          <w:i w:val="0"/>
          <w:iCs/>
        </w:rPr>
        <w:footnoteRef/>
      </w:r>
      <w:r>
        <w:t xml:space="preserve"> </w:t>
      </w:r>
      <w:hyperlink r:id="rId3">
        <w:r w:rsidRPr="00AB5FF4">
          <w:rPr>
            <w:rStyle w:val="Hyperlink"/>
            <w:i w:val="0"/>
            <w:iCs/>
            <w:color w:val="254C8C"/>
            <w:sz w:val="20"/>
          </w:rPr>
          <w:t>https://www.tcsisupport.gov.au/glossary/glossaryterm/retention-rate</w:t>
        </w:r>
      </w:hyperlink>
    </w:p>
  </w:footnote>
  <w:footnote w:id="5">
    <w:p w14:paraId="7AC85A99" w14:textId="77777777" w:rsidR="00E16C76" w:rsidRDefault="00CF5F20">
      <w:pPr>
        <w:pStyle w:val="FootnoteText"/>
      </w:pPr>
      <w:r w:rsidRPr="00AB5FF4">
        <w:rPr>
          <w:rStyle w:val="FootnoteReference"/>
          <w:i w:val="0"/>
          <w:iCs/>
          <w:sz w:val="20"/>
        </w:rPr>
        <w:footnoteRef/>
      </w:r>
      <w:r w:rsidRPr="00773C8D">
        <w:rPr>
          <w:iCs/>
        </w:rPr>
        <w:t xml:space="preserve"> </w:t>
      </w:r>
      <w:hyperlink r:id="rId4">
        <w:r w:rsidRPr="00AB5FF4">
          <w:rPr>
            <w:rStyle w:val="Hyperlink"/>
            <w:i w:val="0"/>
            <w:iCs/>
            <w:color w:val="254C8C"/>
            <w:sz w:val="20"/>
          </w:rPr>
          <w:t>https://www.tcsisupport.gov.au/node/8013</w:t>
        </w:r>
      </w:hyperlink>
    </w:p>
  </w:footnote>
  <w:footnote w:id="6">
    <w:p w14:paraId="73489ECF" w14:textId="77777777" w:rsidR="00E16C76" w:rsidRDefault="00CF5F20">
      <w:pPr>
        <w:pStyle w:val="FootnoteText"/>
      </w:pPr>
      <w:r w:rsidRPr="006B0080">
        <w:rPr>
          <w:rStyle w:val="FootnoteReference"/>
          <w:i w:val="0"/>
          <w:iCs/>
        </w:rPr>
        <w:footnoteRef/>
      </w:r>
      <w:r>
        <w:t xml:space="preserve"> Please see </w:t>
      </w:r>
      <w:hyperlink r:id="rId5">
        <w:r w:rsidRPr="00AB5FF4">
          <w:rPr>
            <w:rStyle w:val="Hyperlink"/>
            <w:color w:val="254C8C"/>
            <w:sz w:val="20"/>
          </w:rPr>
          <w:t>Student Equity Data Guide: Challenges in Comparing Student Outcomes Across Higher Education Institutions</w:t>
        </w:r>
      </w:hyperlink>
      <w:r>
        <w:t xml:space="preserve"> for further information.</w:t>
      </w:r>
    </w:p>
  </w:footnote>
  <w:footnote w:id="7">
    <w:p w14:paraId="44015586" w14:textId="77777777" w:rsidR="00E16C76" w:rsidRDefault="00CF5F20">
      <w:pPr>
        <w:pStyle w:val="FootnoteText"/>
      </w:pPr>
      <w:r w:rsidRPr="006B0080">
        <w:rPr>
          <w:rStyle w:val="FootnoteReference"/>
          <w:i w:val="0"/>
          <w:iCs/>
        </w:rPr>
        <w:footnoteRef/>
      </w:r>
      <w:r>
        <w:t xml:space="preserve"> Please see </w:t>
      </w:r>
      <w:hyperlink r:id="rId6">
        <w:r w:rsidRPr="00AB5FF4">
          <w:rPr>
            <w:rStyle w:val="Hyperlink"/>
            <w:color w:val="254C8C"/>
            <w:sz w:val="20"/>
          </w:rPr>
          <w:t>In-school enabling programs in the landscape of university pathways for secondary students in Australia: a scoping review</w:t>
        </w:r>
      </w:hyperlink>
      <w:r>
        <w:t xml:space="preserve"> for discussion of in-school enabling programs.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99A3F" w14:textId="77777777" w:rsidR="00CF5F20" w:rsidRPr="00593CC2" w:rsidRDefault="00CF5F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014B6" w14:textId="77777777" w:rsidR="00CF5F20" w:rsidRPr="00593CC2" w:rsidRDefault="00CF5F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86ED7" w14:textId="77777777" w:rsidR="00CF5F20" w:rsidRPr="00593CC2" w:rsidRDefault="00CF5F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31CE37D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DCE529C"/>
    <w:multiLevelType w:val="hybridMultilevel"/>
    <w:tmpl w:val="C2907EE0"/>
    <w:lvl w:ilvl="0" w:tplc="8158955C">
      <w:numFmt w:val="bullet"/>
      <w:lvlText w:val="•"/>
      <w:lvlJc w:val="left"/>
      <w:pPr>
        <w:ind w:left="720" w:hanging="360"/>
      </w:pPr>
      <w:rPr>
        <w:rFonts w:ascii="Inter" w:eastAsiaTheme="minorHAnsi" w:hAnsi="Inter"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1CE01C0"/>
    <w:multiLevelType w:val="hybridMultilevel"/>
    <w:tmpl w:val="BB64A2AE"/>
    <w:lvl w:ilvl="0" w:tplc="8158955C">
      <w:numFmt w:val="bullet"/>
      <w:lvlText w:val="•"/>
      <w:lvlJc w:val="left"/>
      <w:pPr>
        <w:ind w:left="720" w:hanging="360"/>
      </w:pPr>
      <w:rPr>
        <w:rFonts w:ascii="Inter" w:eastAsiaTheme="minorHAnsi" w:hAnsi="Inter"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5F8248C"/>
    <w:multiLevelType w:val="hybridMultilevel"/>
    <w:tmpl w:val="8604E304"/>
    <w:lvl w:ilvl="0" w:tplc="8158955C">
      <w:numFmt w:val="bullet"/>
      <w:lvlText w:val="•"/>
      <w:lvlJc w:val="left"/>
      <w:pPr>
        <w:ind w:left="720" w:hanging="360"/>
      </w:pPr>
      <w:rPr>
        <w:rFonts w:ascii="Inter" w:eastAsiaTheme="minorHAnsi" w:hAnsi="Inter"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A73735A"/>
    <w:multiLevelType w:val="hybridMultilevel"/>
    <w:tmpl w:val="27507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41516877">
    <w:abstractNumId w:val="0"/>
  </w:num>
  <w:num w:numId="2" w16cid:durableId="279066696">
    <w:abstractNumId w:val="0"/>
  </w:num>
  <w:num w:numId="3" w16cid:durableId="1046294586">
    <w:abstractNumId w:val="0"/>
  </w:num>
  <w:num w:numId="4" w16cid:durableId="504439469">
    <w:abstractNumId w:val="4"/>
  </w:num>
  <w:num w:numId="5" w16cid:durableId="2145853856">
    <w:abstractNumId w:val="1"/>
  </w:num>
  <w:num w:numId="6" w16cid:durableId="703136933">
    <w:abstractNumId w:val="3"/>
  </w:num>
  <w:num w:numId="7" w16cid:durableId="19144690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C76"/>
    <w:rsid w:val="00010D7C"/>
    <w:rsid w:val="0004463D"/>
    <w:rsid w:val="0006091C"/>
    <w:rsid w:val="00074AC5"/>
    <w:rsid w:val="000861A8"/>
    <w:rsid w:val="0008703E"/>
    <w:rsid w:val="00093ACC"/>
    <w:rsid w:val="0009622F"/>
    <w:rsid w:val="0009631A"/>
    <w:rsid w:val="000A26D2"/>
    <w:rsid w:val="000B251A"/>
    <w:rsid w:val="000B6414"/>
    <w:rsid w:val="000D56BF"/>
    <w:rsid w:val="000D7D8A"/>
    <w:rsid w:val="000E7EBB"/>
    <w:rsid w:val="000F7276"/>
    <w:rsid w:val="00104991"/>
    <w:rsid w:val="00106105"/>
    <w:rsid w:val="00110A3C"/>
    <w:rsid w:val="001123C5"/>
    <w:rsid w:val="00121EE3"/>
    <w:rsid w:val="00122F6F"/>
    <w:rsid w:val="00137170"/>
    <w:rsid w:val="0014490B"/>
    <w:rsid w:val="0017574B"/>
    <w:rsid w:val="00180636"/>
    <w:rsid w:val="00180B3E"/>
    <w:rsid w:val="001810BA"/>
    <w:rsid w:val="001836F6"/>
    <w:rsid w:val="0018655F"/>
    <w:rsid w:val="001871E9"/>
    <w:rsid w:val="001A5438"/>
    <w:rsid w:val="001A6DA9"/>
    <w:rsid w:val="001C12C7"/>
    <w:rsid w:val="001D2E34"/>
    <w:rsid w:val="001D66DB"/>
    <w:rsid w:val="001E218B"/>
    <w:rsid w:val="001F1100"/>
    <w:rsid w:val="001F1EC1"/>
    <w:rsid w:val="00213BD8"/>
    <w:rsid w:val="00220777"/>
    <w:rsid w:val="00224249"/>
    <w:rsid w:val="00261305"/>
    <w:rsid w:val="00262255"/>
    <w:rsid w:val="00273E6B"/>
    <w:rsid w:val="00281F1C"/>
    <w:rsid w:val="00283483"/>
    <w:rsid w:val="002A0226"/>
    <w:rsid w:val="002A67C4"/>
    <w:rsid w:val="002C0445"/>
    <w:rsid w:val="002D5EAE"/>
    <w:rsid w:val="003050A8"/>
    <w:rsid w:val="003139D7"/>
    <w:rsid w:val="003349A7"/>
    <w:rsid w:val="0035051D"/>
    <w:rsid w:val="00361DDD"/>
    <w:rsid w:val="0036361E"/>
    <w:rsid w:val="00372F76"/>
    <w:rsid w:val="003746DA"/>
    <w:rsid w:val="003765ED"/>
    <w:rsid w:val="00385EDD"/>
    <w:rsid w:val="00396BA2"/>
    <w:rsid w:val="003A786A"/>
    <w:rsid w:val="003B7371"/>
    <w:rsid w:val="003E7E1B"/>
    <w:rsid w:val="003F5D59"/>
    <w:rsid w:val="00405D52"/>
    <w:rsid w:val="004073E9"/>
    <w:rsid w:val="00410D60"/>
    <w:rsid w:val="00417F21"/>
    <w:rsid w:val="00427721"/>
    <w:rsid w:val="0043471F"/>
    <w:rsid w:val="00442A90"/>
    <w:rsid w:val="00456FD9"/>
    <w:rsid w:val="004B3BD7"/>
    <w:rsid w:val="004B748D"/>
    <w:rsid w:val="004B759C"/>
    <w:rsid w:val="004C064A"/>
    <w:rsid w:val="004C429B"/>
    <w:rsid w:val="004D0784"/>
    <w:rsid w:val="004D5D23"/>
    <w:rsid w:val="004E3BCE"/>
    <w:rsid w:val="00504AC6"/>
    <w:rsid w:val="005249B2"/>
    <w:rsid w:val="00533952"/>
    <w:rsid w:val="005464A9"/>
    <w:rsid w:val="00574D67"/>
    <w:rsid w:val="00592E97"/>
    <w:rsid w:val="005A00D0"/>
    <w:rsid w:val="005B45CC"/>
    <w:rsid w:val="005B67B6"/>
    <w:rsid w:val="005C373A"/>
    <w:rsid w:val="005E6117"/>
    <w:rsid w:val="005E74BD"/>
    <w:rsid w:val="005F1E8F"/>
    <w:rsid w:val="00604EB5"/>
    <w:rsid w:val="00613540"/>
    <w:rsid w:val="006203A3"/>
    <w:rsid w:val="00625540"/>
    <w:rsid w:val="006326F2"/>
    <w:rsid w:val="00634A01"/>
    <w:rsid w:val="006411D1"/>
    <w:rsid w:val="00645C59"/>
    <w:rsid w:val="006543E0"/>
    <w:rsid w:val="00657D5D"/>
    <w:rsid w:val="00664784"/>
    <w:rsid w:val="006666DF"/>
    <w:rsid w:val="006726A0"/>
    <w:rsid w:val="00677595"/>
    <w:rsid w:val="006847CD"/>
    <w:rsid w:val="006851E5"/>
    <w:rsid w:val="00691590"/>
    <w:rsid w:val="00694C73"/>
    <w:rsid w:val="006A6246"/>
    <w:rsid w:val="006B0080"/>
    <w:rsid w:val="006C6BA8"/>
    <w:rsid w:val="006D7B87"/>
    <w:rsid w:val="007055D3"/>
    <w:rsid w:val="007059A6"/>
    <w:rsid w:val="00710C12"/>
    <w:rsid w:val="00714AC7"/>
    <w:rsid w:val="007204ED"/>
    <w:rsid w:val="00727C2B"/>
    <w:rsid w:val="0073285C"/>
    <w:rsid w:val="00734B57"/>
    <w:rsid w:val="00735B82"/>
    <w:rsid w:val="0076054A"/>
    <w:rsid w:val="00766C8B"/>
    <w:rsid w:val="00773C8D"/>
    <w:rsid w:val="00781DFF"/>
    <w:rsid w:val="0078714A"/>
    <w:rsid w:val="0079011C"/>
    <w:rsid w:val="00794581"/>
    <w:rsid w:val="00796B89"/>
    <w:rsid w:val="007C12F4"/>
    <w:rsid w:val="007C1EAD"/>
    <w:rsid w:val="007D1F42"/>
    <w:rsid w:val="007D539C"/>
    <w:rsid w:val="007F1DD8"/>
    <w:rsid w:val="00811069"/>
    <w:rsid w:val="00824A60"/>
    <w:rsid w:val="00833791"/>
    <w:rsid w:val="00840093"/>
    <w:rsid w:val="00844F39"/>
    <w:rsid w:val="008555D4"/>
    <w:rsid w:val="0086756A"/>
    <w:rsid w:val="00880925"/>
    <w:rsid w:val="00884351"/>
    <w:rsid w:val="00887EEB"/>
    <w:rsid w:val="008A2D42"/>
    <w:rsid w:val="008A5F5C"/>
    <w:rsid w:val="008B30DD"/>
    <w:rsid w:val="008C2F34"/>
    <w:rsid w:val="008D5C87"/>
    <w:rsid w:val="008E2F5B"/>
    <w:rsid w:val="008E379C"/>
    <w:rsid w:val="0090117E"/>
    <w:rsid w:val="00903581"/>
    <w:rsid w:val="00905830"/>
    <w:rsid w:val="00912FF7"/>
    <w:rsid w:val="00914DE9"/>
    <w:rsid w:val="00930CF8"/>
    <w:rsid w:val="00933E4C"/>
    <w:rsid w:val="00940035"/>
    <w:rsid w:val="009478BF"/>
    <w:rsid w:val="00953487"/>
    <w:rsid w:val="00954461"/>
    <w:rsid w:val="00955CCE"/>
    <w:rsid w:val="009675AE"/>
    <w:rsid w:val="0097379B"/>
    <w:rsid w:val="00975AB2"/>
    <w:rsid w:val="009935D3"/>
    <w:rsid w:val="009A1F6F"/>
    <w:rsid w:val="009A4BF4"/>
    <w:rsid w:val="009A61B5"/>
    <w:rsid w:val="009B0E62"/>
    <w:rsid w:val="009C1851"/>
    <w:rsid w:val="009C2378"/>
    <w:rsid w:val="009C65BE"/>
    <w:rsid w:val="009D1CD2"/>
    <w:rsid w:val="009F0452"/>
    <w:rsid w:val="00A0080B"/>
    <w:rsid w:val="00A00861"/>
    <w:rsid w:val="00A00939"/>
    <w:rsid w:val="00A1039F"/>
    <w:rsid w:val="00A118C9"/>
    <w:rsid w:val="00A24819"/>
    <w:rsid w:val="00A24F37"/>
    <w:rsid w:val="00A25135"/>
    <w:rsid w:val="00A40ACC"/>
    <w:rsid w:val="00A46DB9"/>
    <w:rsid w:val="00A50B10"/>
    <w:rsid w:val="00A55BDB"/>
    <w:rsid w:val="00A73811"/>
    <w:rsid w:val="00A75358"/>
    <w:rsid w:val="00AA063E"/>
    <w:rsid w:val="00AA7E8E"/>
    <w:rsid w:val="00AB5FF4"/>
    <w:rsid w:val="00AC2F5B"/>
    <w:rsid w:val="00AC6EE7"/>
    <w:rsid w:val="00AE247C"/>
    <w:rsid w:val="00AE4327"/>
    <w:rsid w:val="00AF32C1"/>
    <w:rsid w:val="00AF4E85"/>
    <w:rsid w:val="00AF72CC"/>
    <w:rsid w:val="00B12059"/>
    <w:rsid w:val="00B21189"/>
    <w:rsid w:val="00B21FB3"/>
    <w:rsid w:val="00B30D20"/>
    <w:rsid w:val="00B524D6"/>
    <w:rsid w:val="00B64DAD"/>
    <w:rsid w:val="00B66CEA"/>
    <w:rsid w:val="00B7750E"/>
    <w:rsid w:val="00B80093"/>
    <w:rsid w:val="00B84573"/>
    <w:rsid w:val="00B85893"/>
    <w:rsid w:val="00BB0695"/>
    <w:rsid w:val="00BB18EC"/>
    <w:rsid w:val="00BB5C99"/>
    <w:rsid w:val="00BC552D"/>
    <w:rsid w:val="00BD6D4D"/>
    <w:rsid w:val="00BF1076"/>
    <w:rsid w:val="00BF15B7"/>
    <w:rsid w:val="00BF227B"/>
    <w:rsid w:val="00BF569E"/>
    <w:rsid w:val="00C04456"/>
    <w:rsid w:val="00C0552C"/>
    <w:rsid w:val="00C12A02"/>
    <w:rsid w:val="00C13C36"/>
    <w:rsid w:val="00C408C4"/>
    <w:rsid w:val="00C41B2D"/>
    <w:rsid w:val="00C46ABF"/>
    <w:rsid w:val="00C54285"/>
    <w:rsid w:val="00C550C6"/>
    <w:rsid w:val="00C65281"/>
    <w:rsid w:val="00C75737"/>
    <w:rsid w:val="00C771C8"/>
    <w:rsid w:val="00C77DFC"/>
    <w:rsid w:val="00C82D6B"/>
    <w:rsid w:val="00C8732A"/>
    <w:rsid w:val="00C92825"/>
    <w:rsid w:val="00CA0FB6"/>
    <w:rsid w:val="00CA6E2A"/>
    <w:rsid w:val="00CB004C"/>
    <w:rsid w:val="00CB15CE"/>
    <w:rsid w:val="00CC3EBB"/>
    <w:rsid w:val="00CE73CC"/>
    <w:rsid w:val="00CF480A"/>
    <w:rsid w:val="00CF5F20"/>
    <w:rsid w:val="00D034E4"/>
    <w:rsid w:val="00D07C59"/>
    <w:rsid w:val="00D1340D"/>
    <w:rsid w:val="00D13CB1"/>
    <w:rsid w:val="00D14F93"/>
    <w:rsid w:val="00D55E72"/>
    <w:rsid w:val="00D66825"/>
    <w:rsid w:val="00D80708"/>
    <w:rsid w:val="00D8706E"/>
    <w:rsid w:val="00DA37E6"/>
    <w:rsid w:val="00DE07F3"/>
    <w:rsid w:val="00DF3291"/>
    <w:rsid w:val="00DF6D5A"/>
    <w:rsid w:val="00E04AD3"/>
    <w:rsid w:val="00E05794"/>
    <w:rsid w:val="00E11E2D"/>
    <w:rsid w:val="00E12E9F"/>
    <w:rsid w:val="00E14086"/>
    <w:rsid w:val="00E16C0E"/>
    <w:rsid w:val="00E16C76"/>
    <w:rsid w:val="00E34FC6"/>
    <w:rsid w:val="00E35918"/>
    <w:rsid w:val="00E552BC"/>
    <w:rsid w:val="00E57376"/>
    <w:rsid w:val="00E8340A"/>
    <w:rsid w:val="00E86CD1"/>
    <w:rsid w:val="00E9317A"/>
    <w:rsid w:val="00EA0AF0"/>
    <w:rsid w:val="00EB21CB"/>
    <w:rsid w:val="00EB4C85"/>
    <w:rsid w:val="00EC2EDC"/>
    <w:rsid w:val="00EC7AF5"/>
    <w:rsid w:val="00ED32CA"/>
    <w:rsid w:val="00EE7A1A"/>
    <w:rsid w:val="00EF0949"/>
    <w:rsid w:val="00EF6703"/>
    <w:rsid w:val="00F02F9F"/>
    <w:rsid w:val="00F109C2"/>
    <w:rsid w:val="00F27754"/>
    <w:rsid w:val="00F40164"/>
    <w:rsid w:val="00F536A1"/>
    <w:rsid w:val="00F63787"/>
    <w:rsid w:val="00F63861"/>
    <w:rsid w:val="00F6488B"/>
    <w:rsid w:val="00F65F50"/>
    <w:rsid w:val="00F82A86"/>
    <w:rsid w:val="00F91E0E"/>
    <w:rsid w:val="00F95A83"/>
    <w:rsid w:val="00FB3519"/>
    <w:rsid w:val="00FD2D51"/>
    <w:rsid w:val="00FD6356"/>
    <w:rsid w:val="00FE152A"/>
    <w:rsid w:val="00FE69AC"/>
    <w:rsid w:val="00FE7734"/>
    <w:rsid w:val="00FF08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CBB4C"/>
  <w15:docId w15:val="{0E77B77C-8F26-4876-8BCA-413C95055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caption"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AU"/>
    </w:rPr>
  </w:style>
  <w:style w:type="paragraph" w:styleId="Heading1">
    <w:name w:val="heading 1"/>
    <w:basedOn w:val="Normal"/>
    <w:next w:val="BodyText"/>
    <w:uiPriority w:val="9"/>
    <w:qFormat/>
    <w:rsid w:val="005F3803"/>
    <w:pPr>
      <w:keepNext/>
      <w:keepLines/>
      <w:spacing w:before="480" w:after="0"/>
      <w:outlineLvl w:val="0"/>
    </w:pPr>
    <w:rPr>
      <w:rFonts w:ascii="Inter" w:eastAsiaTheme="majorEastAsia" w:hAnsi="Inter" w:cstheme="majorBidi"/>
      <w:color w:val="6B3B57"/>
      <w:sz w:val="40"/>
      <w:szCs w:val="40"/>
    </w:rPr>
  </w:style>
  <w:style w:type="paragraph" w:styleId="Heading2">
    <w:name w:val="heading 2"/>
    <w:basedOn w:val="Normal"/>
    <w:next w:val="BodyText"/>
    <w:uiPriority w:val="9"/>
    <w:unhideWhenUsed/>
    <w:qFormat/>
    <w:rsid w:val="005F3803"/>
    <w:pPr>
      <w:keepNext/>
      <w:keepLines/>
      <w:spacing w:before="200" w:after="0"/>
      <w:outlineLvl w:val="1"/>
    </w:pPr>
    <w:rPr>
      <w:rFonts w:ascii="Inter Medium" w:eastAsiaTheme="majorEastAsia" w:hAnsi="Inter Medium" w:cstheme="majorBidi"/>
      <w:color w:val="6B3B57"/>
      <w:sz w:val="52"/>
      <w:szCs w:val="5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F914C0"/>
    <w:pPr>
      <w:spacing w:after="180" w:line="274" w:lineRule="auto"/>
    </w:pPr>
    <w:rPr>
      <w:rFonts w:ascii="Inter" w:hAnsi="Inter"/>
      <w:sz w:val="22"/>
      <w:szCs w:val="22"/>
    </w:rPr>
  </w:style>
  <w:style w:type="paragraph" w:customStyle="1" w:styleId="FirstParagraph">
    <w:name w:val="First Paragraph"/>
    <w:basedOn w:val="BodyText"/>
    <w:next w:val="BodyText"/>
    <w:qFormat/>
    <w:rsid w:val="008E2CD2"/>
  </w:style>
  <w:style w:type="paragraph" w:customStyle="1" w:styleId="Compact">
    <w:name w:val="Compact"/>
    <w:basedOn w:val="BodyText"/>
    <w:qFormat/>
    <w:pPr>
      <w:spacing w:before="36" w:after="36"/>
    </w:pPr>
  </w:style>
  <w:style w:type="paragraph" w:styleId="Title">
    <w:name w:val="Title"/>
    <w:basedOn w:val="Normal"/>
    <w:next w:val="BodyText"/>
    <w:qFormat/>
    <w:rsid w:val="00B3105D"/>
    <w:pPr>
      <w:keepNext/>
      <w:keepLines/>
      <w:spacing w:before="480" w:after="240"/>
      <w:jc w:val="center"/>
    </w:pPr>
    <w:rPr>
      <w:rFonts w:ascii="Inter" w:eastAsiaTheme="majorEastAsia" w:hAnsi="Inter" w:cstheme="majorBidi"/>
      <w:color w:val="6B3B57"/>
      <w:sz w:val="104"/>
      <w:szCs w:val="104"/>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rsid w:val="00050606"/>
    <w:rPr>
      <w:rFonts w:ascii="Inter" w:hAnsi="Inter"/>
      <w:sz w:val="20"/>
      <w:szCs w:val="20"/>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qFormat/>
    <w:rsid w:val="008F222F"/>
    <w:pPr>
      <w:spacing w:after="120"/>
    </w:pPr>
    <w:rPr>
      <w:rFonts w:ascii="Inter" w:hAnsi="Inter"/>
      <w:i/>
      <w:sz w:val="22"/>
    </w:rPr>
  </w:style>
  <w:style w:type="paragraph" w:customStyle="1" w:styleId="TableCaption">
    <w:name w:val="Table Caption"/>
    <w:basedOn w:val="Caption"/>
    <w:pPr>
      <w:keepNext/>
    </w:pPr>
  </w:style>
  <w:style w:type="paragraph" w:customStyle="1" w:styleId="ImageCaption">
    <w:name w:val="Image Caption"/>
    <w:basedOn w:val="BodyText"/>
    <w:rsid w:val="006E7FF2"/>
    <w:rPr>
      <w:i/>
    </w:rPr>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rsid w:val="008F222F"/>
    <w:rPr>
      <w:rFonts w:ascii="Inter" w:hAnsi="Inter"/>
      <w:i/>
      <w:sz w:val="22"/>
    </w:rPr>
  </w:style>
  <w:style w:type="character" w:customStyle="1" w:styleId="VerbatimChar">
    <w:name w:val="Verbatim Char"/>
    <w:basedOn w:val="CaptionChar"/>
    <w:link w:val="SourceCode"/>
    <w:rPr>
      <w:rFonts w:ascii="Consolas" w:hAnsi="Consolas"/>
      <w:i/>
      <w:sz w:val="22"/>
    </w:rPr>
  </w:style>
  <w:style w:type="character" w:customStyle="1" w:styleId="SectionNumber">
    <w:name w:val="Section Number"/>
    <w:basedOn w:val="CaptionChar"/>
    <w:rPr>
      <w:rFonts w:ascii="Inter" w:hAnsi="Inter"/>
      <w:i/>
      <w:sz w:val="22"/>
    </w:rPr>
  </w:style>
  <w:style w:type="character" w:styleId="FootnoteReference">
    <w:name w:val="footnote reference"/>
    <w:basedOn w:val="CaptionChar"/>
    <w:rPr>
      <w:rFonts w:ascii="Inter" w:hAnsi="Inter"/>
      <w:i/>
      <w:sz w:val="22"/>
      <w:vertAlign w:val="superscript"/>
    </w:rPr>
  </w:style>
  <w:style w:type="character" w:styleId="Hyperlink">
    <w:name w:val="Hyperlink"/>
    <w:basedOn w:val="CaptionChar"/>
    <w:rPr>
      <w:rFonts w:ascii="Inter" w:hAnsi="Inter"/>
      <w:i/>
      <w:color w:val="4F81BD" w:themeColor="accent1"/>
      <w:sz w:val="22"/>
    </w:rPr>
  </w:style>
  <w:style w:type="paragraph" w:styleId="TOCHeading">
    <w:name w:val="TOC Heading"/>
    <w:basedOn w:val="Heading1"/>
    <w:next w:val="BodyText"/>
    <w:uiPriority w:val="39"/>
    <w:unhideWhenUsed/>
    <w:qFormat/>
    <w:pPr>
      <w:spacing w:before="240" w:line="259" w:lineRule="auto"/>
      <w:outlineLvl w:val="9"/>
    </w:pPr>
    <w:rPr>
      <w:b/>
      <w:bCs/>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i/>
      <w:color w:val="204A87"/>
      <w:sz w:val="22"/>
      <w:shd w:val="clear" w:color="auto" w:fill="F8F8F8"/>
    </w:rPr>
  </w:style>
  <w:style w:type="character" w:customStyle="1" w:styleId="DataTypeTok">
    <w:name w:val="DataTypeTok"/>
    <w:basedOn w:val="VerbatimChar"/>
    <w:rPr>
      <w:rFonts w:ascii="Consolas" w:hAnsi="Consolas"/>
      <w:i/>
      <w:color w:val="204A87"/>
      <w:sz w:val="22"/>
      <w:shd w:val="clear" w:color="auto" w:fill="F8F8F8"/>
    </w:rPr>
  </w:style>
  <w:style w:type="character" w:customStyle="1" w:styleId="DecValTok">
    <w:name w:val="DecValTok"/>
    <w:basedOn w:val="VerbatimChar"/>
    <w:rPr>
      <w:rFonts w:ascii="Consolas" w:hAnsi="Consolas"/>
      <w:i/>
      <w:color w:val="0000CF"/>
      <w:sz w:val="22"/>
      <w:shd w:val="clear" w:color="auto" w:fill="F8F8F8"/>
    </w:rPr>
  </w:style>
  <w:style w:type="character" w:customStyle="1" w:styleId="BaseNTok">
    <w:name w:val="BaseNTok"/>
    <w:basedOn w:val="VerbatimChar"/>
    <w:rPr>
      <w:rFonts w:ascii="Consolas" w:hAnsi="Consolas"/>
      <w:i/>
      <w:color w:val="0000CF"/>
      <w:sz w:val="22"/>
      <w:shd w:val="clear" w:color="auto" w:fill="F8F8F8"/>
    </w:rPr>
  </w:style>
  <w:style w:type="character" w:customStyle="1" w:styleId="FloatTok">
    <w:name w:val="FloatTok"/>
    <w:basedOn w:val="VerbatimChar"/>
    <w:rPr>
      <w:rFonts w:ascii="Consolas" w:hAnsi="Consolas"/>
      <w:i/>
      <w:color w:val="0000CF"/>
      <w:sz w:val="22"/>
      <w:shd w:val="clear" w:color="auto" w:fill="F8F8F8"/>
    </w:rPr>
  </w:style>
  <w:style w:type="character" w:customStyle="1" w:styleId="ConstantTok">
    <w:name w:val="ConstantTok"/>
    <w:basedOn w:val="VerbatimChar"/>
    <w:rPr>
      <w:rFonts w:ascii="Consolas" w:hAnsi="Consolas"/>
      <w:i/>
      <w:color w:val="8F5902"/>
      <w:sz w:val="22"/>
      <w:shd w:val="clear" w:color="auto" w:fill="F8F8F8"/>
    </w:rPr>
  </w:style>
  <w:style w:type="character" w:customStyle="1" w:styleId="CharTok">
    <w:name w:val="CharTok"/>
    <w:basedOn w:val="VerbatimChar"/>
    <w:rPr>
      <w:rFonts w:ascii="Consolas" w:hAnsi="Consolas"/>
      <w:i/>
      <w:color w:val="4E9A06"/>
      <w:sz w:val="22"/>
      <w:shd w:val="clear" w:color="auto" w:fill="F8F8F8"/>
    </w:rPr>
  </w:style>
  <w:style w:type="character" w:customStyle="1" w:styleId="SpecialCharTok">
    <w:name w:val="SpecialCharTok"/>
    <w:basedOn w:val="VerbatimChar"/>
    <w:rPr>
      <w:rFonts w:ascii="Consolas" w:hAnsi="Consolas"/>
      <w:b/>
      <w:i/>
      <w:color w:val="CE5C00"/>
      <w:sz w:val="22"/>
      <w:shd w:val="clear" w:color="auto" w:fill="F8F8F8"/>
    </w:rPr>
  </w:style>
  <w:style w:type="character" w:customStyle="1" w:styleId="StringTok">
    <w:name w:val="StringTok"/>
    <w:basedOn w:val="VerbatimChar"/>
    <w:rPr>
      <w:rFonts w:ascii="Consolas" w:hAnsi="Consolas"/>
      <w:i/>
      <w:color w:val="4E9A06"/>
      <w:sz w:val="22"/>
      <w:shd w:val="clear" w:color="auto" w:fill="F8F8F8"/>
    </w:rPr>
  </w:style>
  <w:style w:type="character" w:customStyle="1" w:styleId="VerbatimStringTok">
    <w:name w:val="VerbatimStringTok"/>
    <w:basedOn w:val="VerbatimChar"/>
    <w:rPr>
      <w:rFonts w:ascii="Consolas" w:hAnsi="Consolas"/>
      <w:i/>
      <w:color w:val="4E9A06"/>
      <w:sz w:val="22"/>
      <w:shd w:val="clear" w:color="auto" w:fill="F8F8F8"/>
    </w:rPr>
  </w:style>
  <w:style w:type="character" w:customStyle="1" w:styleId="SpecialStringTok">
    <w:name w:val="SpecialStringTok"/>
    <w:basedOn w:val="VerbatimChar"/>
    <w:rPr>
      <w:rFonts w:ascii="Consolas" w:hAnsi="Consolas"/>
      <w:i/>
      <w:color w:val="4E9A06"/>
      <w:sz w:val="22"/>
      <w:shd w:val="clear" w:color="auto" w:fill="F8F8F8"/>
    </w:rPr>
  </w:style>
  <w:style w:type="character" w:customStyle="1" w:styleId="ImportTok">
    <w:name w:val="ImportTok"/>
    <w:basedOn w:val="VerbatimChar"/>
    <w:rPr>
      <w:rFonts w:ascii="Consolas" w:hAnsi="Consolas"/>
      <w:i/>
      <w:sz w:val="22"/>
      <w:shd w:val="clear" w:color="auto" w:fill="F8F8F8"/>
    </w:rPr>
  </w:style>
  <w:style w:type="character" w:customStyle="1" w:styleId="CommentTok">
    <w:name w:val="CommentTok"/>
    <w:basedOn w:val="VerbatimChar"/>
    <w:rPr>
      <w:rFonts w:ascii="Consolas" w:hAnsi="Consolas"/>
      <w:i w:val="0"/>
      <w:color w:val="8F5902"/>
      <w:sz w:val="22"/>
      <w:shd w:val="clear" w:color="auto" w:fill="F8F8F8"/>
    </w:rPr>
  </w:style>
  <w:style w:type="character" w:customStyle="1" w:styleId="DocumentationTok">
    <w:name w:val="DocumentationTok"/>
    <w:basedOn w:val="VerbatimChar"/>
    <w:rPr>
      <w:rFonts w:ascii="Consolas" w:hAnsi="Consolas"/>
      <w:b/>
      <w:i w:val="0"/>
      <w:color w:val="8F5902"/>
      <w:sz w:val="22"/>
      <w:shd w:val="clear" w:color="auto" w:fill="F8F8F8"/>
    </w:rPr>
  </w:style>
  <w:style w:type="character" w:customStyle="1" w:styleId="AnnotationTok">
    <w:name w:val="AnnotationTok"/>
    <w:basedOn w:val="VerbatimChar"/>
    <w:rPr>
      <w:rFonts w:ascii="Consolas" w:hAnsi="Consolas"/>
      <w:b/>
      <w:i w:val="0"/>
      <w:color w:val="8F5902"/>
      <w:sz w:val="22"/>
      <w:shd w:val="clear" w:color="auto" w:fill="F8F8F8"/>
    </w:rPr>
  </w:style>
  <w:style w:type="character" w:customStyle="1" w:styleId="CommentVarTok">
    <w:name w:val="CommentVarTok"/>
    <w:basedOn w:val="VerbatimChar"/>
    <w:rPr>
      <w:rFonts w:ascii="Consolas" w:hAnsi="Consolas"/>
      <w:b/>
      <w:i w:val="0"/>
      <w:color w:val="8F5902"/>
      <w:sz w:val="22"/>
      <w:shd w:val="clear" w:color="auto" w:fill="F8F8F8"/>
    </w:rPr>
  </w:style>
  <w:style w:type="character" w:customStyle="1" w:styleId="OtherTok">
    <w:name w:val="OtherTok"/>
    <w:basedOn w:val="VerbatimChar"/>
    <w:rPr>
      <w:rFonts w:ascii="Consolas" w:hAnsi="Consolas"/>
      <w:i/>
      <w:color w:val="8F5902"/>
      <w:sz w:val="22"/>
      <w:shd w:val="clear" w:color="auto" w:fill="F8F8F8"/>
    </w:rPr>
  </w:style>
  <w:style w:type="character" w:customStyle="1" w:styleId="FunctionTok">
    <w:name w:val="FunctionTok"/>
    <w:basedOn w:val="VerbatimChar"/>
    <w:rPr>
      <w:rFonts w:ascii="Consolas" w:hAnsi="Consolas"/>
      <w:b/>
      <w:i/>
      <w:color w:val="204A87"/>
      <w:sz w:val="22"/>
      <w:shd w:val="clear" w:color="auto" w:fill="F8F8F8"/>
    </w:rPr>
  </w:style>
  <w:style w:type="character" w:customStyle="1" w:styleId="VariableTok">
    <w:name w:val="VariableTok"/>
    <w:basedOn w:val="VerbatimChar"/>
    <w:rPr>
      <w:rFonts w:ascii="Consolas" w:hAnsi="Consolas"/>
      <w:i/>
      <w:color w:val="000000"/>
      <w:sz w:val="22"/>
      <w:shd w:val="clear" w:color="auto" w:fill="F8F8F8"/>
    </w:rPr>
  </w:style>
  <w:style w:type="character" w:customStyle="1" w:styleId="ControlFlowTok">
    <w:name w:val="ControlFlowTok"/>
    <w:basedOn w:val="VerbatimChar"/>
    <w:rPr>
      <w:rFonts w:ascii="Consolas" w:hAnsi="Consolas"/>
      <w:b/>
      <w:i/>
      <w:color w:val="204A87"/>
      <w:sz w:val="22"/>
      <w:shd w:val="clear" w:color="auto" w:fill="F8F8F8"/>
    </w:rPr>
  </w:style>
  <w:style w:type="character" w:customStyle="1" w:styleId="OperatorTok">
    <w:name w:val="OperatorTok"/>
    <w:basedOn w:val="VerbatimChar"/>
    <w:rPr>
      <w:rFonts w:ascii="Consolas" w:hAnsi="Consolas"/>
      <w:b/>
      <w:i/>
      <w:color w:val="CE5C00"/>
      <w:sz w:val="22"/>
      <w:shd w:val="clear" w:color="auto" w:fill="F8F8F8"/>
    </w:rPr>
  </w:style>
  <w:style w:type="character" w:customStyle="1" w:styleId="BuiltInTok">
    <w:name w:val="BuiltInTok"/>
    <w:basedOn w:val="VerbatimChar"/>
    <w:rPr>
      <w:rFonts w:ascii="Consolas" w:hAnsi="Consolas"/>
      <w:i/>
      <w:sz w:val="22"/>
      <w:shd w:val="clear" w:color="auto" w:fill="F8F8F8"/>
    </w:rPr>
  </w:style>
  <w:style w:type="character" w:customStyle="1" w:styleId="ExtensionTok">
    <w:name w:val="ExtensionTok"/>
    <w:basedOn w:val="VerbatimChar"/>
    <w:rPr>
      <w:rFonts w:ascii="Consolas" w:hAnsi="Consolas"/>
      <w:i/>
      <w:sz w:val="22"/>
      <w:shd w:val="clear" w:color="auto" w:fill="F8F8F8"/>
    </w:rPr>
  </w:style>
  <w:style w:type="character" w:customStyle="1" w:styleId="PreprocessorTok">
    <w:name w:val="PreprocessorTok"/>
    <w:basedOn w:val="VerbatimChar"/>
    <w:rPr>
      <w:rFonts w:ascii="Consolas" w:hAnsi="Consolas"/>
      <w:i w:val="0"/>
      <w:color w:val="8F5902"/>
      <w:sz w:val="22"/>
      <w:shd w:val="clear" w:color="auto" w:fill="F8F8F8"/>
    </w:rPr>
  </w:style>
  <w:style w:type="character" w:customStyle="1" w:styleId="AttributeTok">
    <w:name w:val="AttributeTok"/>
    <w:basedOn w:val="VerbatimChar"/>
    <w:rPr>
      <w:rFonts w:ascii="Consolas" w:hAnsi="Consolas"/>
      <w:i/>
      <w:color w:val="204A87"/>
      <w:sz w:val="22"/>
      <w:shd w:val="clear" w:color="auto" w:fill="F8F8F8"/>
    </w:rPr>
  </w:style>
  <w:style w:type="character" w:customStyle="1" w:styleId="RegionMarkerTok">
    <w:name w:val="RegionMarkerTok"/>
    <w:basedOn w:val="VerbatimChar"/>
    <w:rPr>
      <w:rFonts w:ascii="Consolas" w:hAnsi="Consolas"/>
      <w:i/>
      <w:sz w:val="22"/>
      <w:shd w:val="clear" w:color="auto" w:fill="F8F8F8"/>
    </w:rPr>
  </w:style>
  <w:style w:type="character" w:customStyle="1" w:styleId="InformationTok">
    <w:name w:val="InformationTok"/>
    <w:basedOn w:val="VerbatimChar"/>
    <w:rPr>
      <w:rFonts w:ascii="Consolas" w:hAnsi="Consolas"/>
      <w:b/>
      <w:i w:val="0"/>
      <w:color w:val="8F5902"/>
      <w:sz w:val="22"/>
      <w:shd w:val="clear" w:color="auto" w:fill="F8F8F8"/>
    </w:rPr>
  </w:style>
  <w:style w:type="character" w:customStyle="1" w:styleId="WarningTok">
    <w:name w:val="WarningTok"/>
    <w:basedOn w:val="VerbatimChar"/>
    <w:rPr>
      <w:rFonts w:ascii="Consolas" w:hAnsi="Consolas"/>
      <w:b/>
      <w:i w:val="0"/>
      <w:color w:val="8F5902"/>
      <w:sz w:val="22"/>
      <w:shd w:val="clear" w:color="auto" w:fill="F8F8F8"/>
    </w:rPr>
  </w:style>
  <w:style w:type="character" w:customStyle="1" w:styleId="AlertTok">
    <w:name w:val="AlertTok"/>
    <w:basedOn w:val="VerbatimChar"/>
    <w:rPr>
      <w:rFonts w:ascii="Consolas" w:hAnsi="Consolas"/>
      <w:i/>
      <w:color w:val="EF2929"/>
      <w:sz w:val="22"/>
      <w:shd w:val="clear" w:color="auto" w:fill="F8F8F8"/>
    </w:rPr>
  </w:style>
  <w:style w:type="character" w:customStyle="1" w:styleId="ErrorTok">
    <w:name w:val="ErrorTok"/>
    <w:basedOn w:val="VerbatimChar"/>
    <w:rPr>
      <w:rFonts w:ascii="Consolas" w:hAnsi="Consolas"/>
      <w:b/>
      <w:i/>
      <w:color w:val="A40000"/>
      <w:sz w:val="22"/>
      <w:shd w:val="clear" w:color="auto" w:fill="F8F8F8"/>
    </w:rPr>
  </w:style>
  <w:style w:type="character" w:customStyle="1" w:styleId="NormalTok">
    <w:name w:val="NormalTok"/>
    <w:basedOn w:val="VerbatimChar"/>
    <w:rPr>
      <w:rFonts w:ascii="Consolas" w:hAnsi="Consolas"/>
      <w:i/>
      <w:sz w:val="22"/>
      <w:shd w:val="clear" w:color="auto" w:fill="F8F8F8"/>
    </w:rPr>
  </w:style>
  <w:style w:type="paragraph" w:styleId="Header">
    <w:name w:val="header"/>
    <w:basedOn w:val="Normal"/>
    <w:link w:val="HeaderChar"/>
    <w:rsid w:val="00A55E6D"/>
    <w:pPr>
      <w:tabs>
        <w:tab w:val="center" w:pos="4513"/>
        <w:tab w:val="right" w:pos="9026"/>
      </w:tabs>
      <w:spacing w:after="0"/>
    </w:pPr>
  </w:style>
  <w:style w:type="character" w:customStyle="1" w:styleId="HeaderChar">
    <w:name w:val="Header Char"/>
    <w:basedOn w:val="DefaultParagraphFont"/>
    <w:link w:val="Header"/>
    <w:rsid w:val="00A55E6D"/>
  </w:style>
  <w:style w:type="paragraph" w:styleId="Footer">
    <w:name w:val="footer"/>
    <w:basedOn w:val="Normal"/>
    <w:link w:val="FooterChar"/>
    <w:uiPriority w:val="99"/>
    <w:rsid w:val="00A55E6D"/>
    <w:pPr>
      <w:tabs>
        <w:tab w:val="center" w:pos="4513"/>
        <w:tab w:val="right" w:pos="9026"/>
      </w:tabs>
      <w:spacing w:after="0"/>
    </w:pPr>
  </w:style>
  <w:style w:type="character" w:customStyle="1" w:styleId="FooterChar">
    <w:name w:val="Footer Char"/>
    <w:basedOn w:val="DefaultParagraphFont"/>
    <w:link w:val="Footer"/>
    <w:uiPriority w:val="99"/>
    <w:rsid w:val="00A55E6D"/>
  </w:style>
  <w:style w:type="table" w:customStyle="1" w:styleId="ACSEStable">
    <w:name w:val="ACSES table"/>
    <w:basedOn w:val="TableNormal"/>
    <w:uiPriority w:val="49"/>
    <w:rsid w:val="001D121C"/>
    <w:pPr>
      <w:spacing w:after="0"/>
    </w:pPr>
    <w:rPr>
      <w:rFonts w:ascii="Inter" w:eastAsia="Cambria" w:hAnsi="Inter" w:cs="Times New Roman"/>
      <w:kern w:val="2"/>
      <w:sz w:val="22"/>
      <w:szCs w:val="22"/>
      <w14:ligatures w14:val="standardContextual"/>
    </w:rPr>
    <w:tblPr>
      <w:tblStyleRowBandSize w:val="1"/>
      <w:tblStyleColBandSize w:val="1"/>
      <w:tblInd w:w="0" w:type="nil"/>
      <w:tblBorders>
        <w:top w:val="single" w:sz="4" w:space="0" w:color="A55776"/>
        <w:left w:val="single" w:sz="4" w:space="0" w:color="A55776"/>
        <w:bottom w:val="single" w:sz="4" w:space="0" w:color="A55776"/>
        <w:right w:val="single" w:sz="4" w:space="0" w:color="A55776"/>
        <w:insideH w:val="single" w:sz="4" w:space="0" w:color="A55776"/>
        <w:insideV w:val="single" w:sz="4" w:space="0" w:color="A55776"/>
      </w:tblBorders>
    </w:tblPr>
    <w:tblStylePr w:type="firstRow">
      <w:rPr>
        <w:b/>
        <w:bCs/>
        <w:color w:val="EDE8E0"/>
      </w:rPr>
      <w:tblPr/>
      <w:tcPr>
        <w:tcBorders>
          <w:top w:val="single" w:sz="4" w:space="0" w:color="351C26"/>
          <w:left w:val="single" w:sz="4" w:space="0" w:color="351C26"/>
          <w:bottom w:val="single" w:sz="4" w:space="0" w:color="351C26"/>
          <w:right w:val="single" w:sz="4" w:space="0" w:color="351C26"/>
          <w:insideH w:val="nil"/>
          <w:insideV w:val="nil"/>
        </w:tcBorders>
        <w:shd w:val="clear" w:color="auto" w:fill="351C26"/>
      </w:tcPr>
    </w:tblStylePr>
    <w:tblStylePr w:type="lastRow">
      <w:rPr>
        <w:b/>
        <w:bCs/>
      </w:rPr>
      <w:tblPr/>
      <w:tcPr>
        <w:tcBorders>
          <w:top w:val="double" w:sz="4" w:space="0" w:color="351C26"/>
        </w:tcBorders>
      </w:tcPr>
    </w:tblStylePr>
    <w:tblStylePr w:type="firstCol">
      <w:rPr>
        <w:b/>
        <w:bCs/>
      </w:rPr>
    </w:tblStylePr>
    <w:tblStylePr w:type="lastCol">
      <w:rPr>
        <w:b/>
        <w:bCs/>
      </w:rPr>
    </w:tblStylePr>
    <w:tblStylePr w:type="band1Vert">
      <w:tblPr/>
      <w:tcPr>
        <w:shd w:val="clear" w:color="auto" w:fill="E1C6D1"/>
      </w:tcPr>
    </w:tblStylePr>
    <w:tblStylePr w:type="band1Horz">
      <w:tblPr/>
      <w:tcPr>
        <w:shd w:val="clear" w:color="auto" w:fill="E1C6D1"/>
      </w:tcPr>
    </w:tblStylePr>
  </w:style>
  <w:style w:type="table" w:styleId="GridTable4-Accent1">
    <w:name w:val="Grid Table 4 Accent 1"/>
    <w:basedOn w:val="TableNormal"/>
    <w:uiPriority w:val="49"/>
    <w:rsid w:val="009E3362"/>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rsid w:val="00384CD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rsid w:val="00FD6356"/>
    <w:pPr>
      <w:spacing w:after="0"/>
    </w:pPr>
    <w:rPr>
      <w:lang w:val="en-AU"/>
    </w:rPr>
  </w:style>
  <w:style w:type="character" w:styleId="CommentReference">
    <w:name w:val="annotation reference"/>
    <w:basedOn w:val="DefaultParagraphFont"/>
    <w:rsid w:val="00FD6356"/>
    <w:rPr>
      <w:sz w:val="16"/>
      <w:szCs w:val="16"/>
    </w:rPr>
  </w:style>
  <w:style w:type="paragraph" w:styleId="CommentText">
    <w:name w:val="annotation text"/>
    <w:basedOn w:val="Normal"/>
    <w:link w:val="CommentTextChar"/>
    <w:rsid w:val="00FD6356"/>
    <w:rPr>
      <w:sz w:val="20"/>
      <w:szCs w:val="20"/>
    </w:rPr>
  </w:style>
  <w:style w:type="character" w:customStyle="1" w:styleId="CommentTextChar">
    <w:name w:val="Comment Text Char"/>
    <w:basedOn w:val="DefaultParagraphFont"/>
    <w:link w:val="CommentText"/>
    <w:rsid w:val="00FD6356"/>
    <w:rPr>
      <w:sz w:val="20"/>
      <w:szCs w:val="20"/>
      <w:lang w:val="en-AU"/>
    </w:rPr>
  </w:style>
  <w:style w:type="paragraph" w:styleId="CommentSubject">
    <w:name w:val="annotation subject"/>
    <w:basedOn w:val="CommentText"/>
    <w:next w:val="CommentText"/>
    <w:link w:val="CommentSubjectChar"/>
    <w:rsid w:val="00FD6356"/>
    <w:rPr>
      <w:b/>
      <w:bCs/>
    </w:rPr>
  </w:style>
  <w:style w:type="character" w:customStyle="1" w:styleId="CommentSubjectChar">
    <w:name w:val="Comment Subject Char"/>
    <w:basedOn w:val="CommentTextChar"/>
    <w:link w:val="CommentSubject"/>
    <w:rsid w:val="00FD6356"/>
    <w:rPr>
      <w:b/>
      <w:bCs/>
      <w:sz w:val="20"/>
      <w:szCs w:val="20"/>
      <w:lang w:val="en-AU"/>
    </w:rPr>
  </w:style>
  <w:style w:type="character" w:styleId="UnresolvedMention">
    <w:name w:val="Unresolved Mention"/>
    <w:basedOn w:val="DefaultParagraphFont"/>
    <w:uiPriority w:val="99"/>
    <w:semiHidden/>
    <w:unhideWhenUsed/>
    <w:rsid w:val="00FD6356"/>
    <w:rPr>
      <w:color w:val="605E5C"/>
      <w:shd w:val="clear" w:color="auto" w:fill="E1DFDD"/>
    </w:rPr>
  </w:style>
  <w:style w:type="character" w:styleId="FollowedHyperlink">
    <w:name w:val="FollowedHyperlink"/>
    <w:basedOn w:val="DefaultParagraphFont"/>
    <w:rsid w:val="006411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header" Target="header2.xml"/><Relationship Id="rId7" Type="http://schemas.openxmlformats.org/officeDocument/2006/relationships/hyperlink" Target="https://www.acses.edu.au/data/interactive-tool/" TargetMode="External"/><Relationship Id="rId71"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https://enablingeducators.org/wp-content/uploads/2023/03/Report-on-Benchmarking-of-Enabling-Programs-Across-Australia-2023.pdf"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61" Type="http://schemas.openxmlformats.org/officeDocument/2006/relationships/image" Target="media/image49.png"/><Relationship Id="rId10" Type="http://schemas.openxmlformats.org/officeDocument/2006/relationships/hyperlink" Target="https://enablingeducators.org/wp-content/uploads/2024/10/Enabling-Education-Across-Australia.pdf" TargetMode="Externa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cses.edu.au/"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footer" Target="footer1.xml"/><Relationship Id="rId8" Type="http://schemas.openxmlformats.org/officeDocument/2006/relationships/hyperlink" Target="https://www.education.gov.au/" TargetMode="External"/><Relationship Id="rId51" Type="http://schemas.openxmlformats.org/officeDocument/2006/relationships/image" Target="media/image39.png"/><Relationship Id="rId72"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s://www.ncsehe.edu.au/app/uploads/2016/07/Final-Pathways-to-Higher-Education-The-Efficacy-of-Enabling-and-Sub-Bachelor-Pathways-for-Disadvantaged-Students.pdf"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header" Target="header1.xm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s>
</file>

<file path=word/_rels/footer3.xml.rels><?xml version="1.0" encoding="UTF-8" standalone="yes"?>
<Relationships xmlns="http://schemas.openxmlformats.org/package/2006/relationships"><Relationship Id="rId1" Type="http://schemas.openxmlformats.org/officeDocument/2006/relationships/image" Target="media/image55.png"/></Relationships>
</file>

<file path=word/_rels/footnotes.xml.rels><?xml version="1.0" encoding="UTF-8" standalone="yes"?>
<Relationships xmlns="http://schemas.openxmlformats.org/package/2006/relationships"><Relationship Id="rId3" Type="http://schemas.openxmlformats.org/officeDocument/2006/relationships/hyperlink" Target="https://www.tcsisupport.gov.au/glossary/glossaryterm/retention-rate" TargetMode="External"/><Relationship Id="rId2" Type="http://schemas.openxmlformats.org/officeDocument/2006/relationships/hyperlink" Target="https://www.acses.edu.au/why-first-in-family-status-matters/" TargetMode="External"/><Relationship Id="rId1" Type="http://schemas.openxmlformats.org/officeDocument/2006/relationships/hyperlink" Target="https://www.acses.edu.au/publication/student-equity-data-guide-defining-equity-groups/" TargetMode="External"/><Relationship Id="rId6" Type="http://schemas.openxmlformats.org/officeDocument/2006/relationships/hyperlink" Target="https://link.springer.com/article/10.1007/s13384-025-00853-1" TargetMode="External"/><Relationship Id="rId5" Type="http://schemas.openxmlformats.org/officeDocument/2006/relationships/hyperlink" Target="https://www.acses.edu.au/publication/student-equity-data-guide-challenges-in-comparing-student-outcomes/" TargetMode="External"/><Relationship Id="rId4" Type="http://schemas.openxmlformats.org/officeDocument/2006/relationships/hyperlink" Target="https://www.tcsisupport.gov.au/node/8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323</TotalTime>
  <Pages>66</Pages>
  <Words>5302</Words>
  <Characters>30224</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Enabling programs in Australian higher education</vt:lpstr>
    </vt:vector>
  </TitlesOfParts>
  <Company/>
  <LinksUpToDate>false</LinksUpToDate>
  <CharactersWithSpaces>35456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Enabling programs in Australian higher education</dc:title>
  <dc:creator>Anna Will</dc:creator>
  <cp:keywords/>
  <cp:lastModifiedBy>Adam Poulsen</cp:lastModifiedBy>
  <cp:revision>53</cp:revision>
  <dcterms:created xsi:type="dcterms:W3CDTF">2026-05-11T03:42:00Z</dcterms:created>
  <dcterms:modified xsi:type="dcterms:W3CDTF">2026-05-15T05:42:00Z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ies>
</file>