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7400F" w14:textId="2CF6368D" w:rsidR="00434CE0" w:rsidRDefault="00434CE0" w:rsidP="00BF48E1">
      <w:pPr>
        <w:pStyle w:val="Title"/>
        <w:ind w:right="-2269"/>
        <w:rPr>
          <w:noProof/>
          <w:sz w:val="92"/>
          <w:szCs w:val="92"/>
        </w:rPr>
      </w:pPr>
      <w:r w:rsidRPr="00BF48E1">
        <w:rPr>
          <w:noProof/>
          <w:sz w:val="92"/>
          <w:szCs w:val="92"/>
        </w:rPr>
        <w:drawing>
          <wp:anchor distT="0" distB="0" distL="114300" distR="114300" simplePos="0" relativeHeight="251660288" behindDoc="1" locked="0" layoutInCell="1" allowOverlap="1" wp14:anchorId="6B41E957" wp14:editId="7D46589E">
            <wp:simplePos x="0" y="0"/>
            <wp:positionH relativeFrom="page">
              <wp:align>right</wp:align>
            </wp:positionH>
            <wp:positionV relativeFrom="paragraph">
              <wp:posOffset>-513080</wp:posOffset>
            </wp:positionV>
            <wp:extent cx="7553324" cy="10684300"/>
            <wp:effectExtent l="0" t="0" r="0" b="3175"/>
            <wp:wrapNone/>
            <wp:docPr id="1599020349" name="Picture 2"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Flinders University, and University of Canberra lo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020349" name="Picture 2"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Flinders University, and University of Canberra logos. "/>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53324" cy="10684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1CEA">
        <w:rPr>
          <w:color w:val="6B3B57"/>
          <w:sz w:val="32"/>
          <w:szCs w:val="32"/>
        </w:rPr>
        <w:t>SMALL GRANTS RESEARCH PROGRAM REPORT</w:t>
      </w:r>
    </w:p>
    <w:p w14:paraId="4212D653" w14:textId="6ECF96E5" w:rsidR="003E73FD" w:rsidRDefault="003E73FD" w:rsidP="0059687F">
      <w:pPr>
        <w:pStyle w:val="Title"/>
        <w:ind w:right="-2128"/>
        <w:rPr>
          <w:sz w:val="92"/>
          <w:szCs w:val="92"/>
        </w:rPr>
      </w:pPr>
      <w:r w:rsidRPr="00BF48E1">
        <w:rPr>
          <w:sz w:val="92"/>
          <w:szCs w:val="92"/>
        </w:rPr>
        <w:t>Socio</w:t>
      </w:r>
      <w:r w:rsidR="00C84724">
        <w:rPr>
          <w:sz w:val="92"/>
          <w:szCs w:val="92"/>
        </w:rPr>
        <w:t>-</w:t>
      </w:r>
      <w:r w:rsidRPr="00BF48E1">
        <w:rPr>
          <w:sz w:val="92"/>
          <w:szCs w:val="92"/>
        </w:rPr>
        <w:t xml:space="preserve">economic </w:t>
      </w:r>
      <w:r w:rsidR="00B50829" w:rsidRPr="00BF48E1">
        <w:rPr>
          <w:sz w:val="92"/>
          <w:szCs w:val="92"/>
        </w:rPr>
        <w:t>b</w:t>
      </w:r>
      <w:r w:rsidR="00B47999" w:rsidRPr="00BF48E1">
        <w:rPr>
          <w:sz w:val="92"/>
          <w:szCs w:val="92"/>
        </w:rPr>
        <w:t>ackgrounds</w:t>
      </w:r>
      <w:r w:rsidR="009D364D" w:rsidRPr="00BF48E1">
        <w:rPr>
          <w:sz w:val="92"/>
          <w:szCs w:val="92"/>
        </w:rPr>
        <w:t xml:space="preserve">, </w:t>
      </w:r>
      <w:r w:rsidR="00B50829" w:rsidRPr="00BF48E1">
        <w:rPr>
          <w:sz w:val="92"/>
          <w:szCs w:val="92"/>
        </w:rPr>
        <w:t>c</w:t>
      </w:r>
      <w:r w:rsidR="00D55C81" w:rsidRPr="00BF48E1">
        <w:rPr>
          <w:sz w:val="92"/>
          <w:szCs w:val="92"/>
        </w:rPr>
        <w:t xml:space="preserve">hoice of </w:t>
      </w:r>
      <w:r w:rsidR="00B50829" w:rsidRPr="00BF48E1">
        <w:rPr>
          <w:sz w:val="92"/>
          <w:szCs w:val="92"/>
        </w:rPr>
        <w:t>d</w:t>
      </w:r>
      <w:r w:rsidR="00D55C81" w:rsidRPr="00BF48E1">
        <w:rPr>
          <w:sz w:val="92"/>
          <w:szCs w:val="92"/>
        </w:rPr>
        <w:t>isciplines</w:t>
      </w:r>
      <w:r w:rsidRPr="00BF48E1">
        <w:rPr>
          <w:sz w:val="92"/>
          <w:szCs w:val="92"/>
        </w:rPr>
        <w:t xml:space="preserve">, and </w:t>
      </w:r>
      <w:r w:rsidR="00B50829" w:rsidRPr="00BF48E1">
        <w:rPr>
          <w:sz w:val="92"/>
          <w:szCs w:val="92"/>
        </w:rPr>
        <w:t>p</w:t>
      </w:r>
      <w:r w:rsidRPr="00BF48E1">
        <w:rPr>
          <w:sz w:val="92"/>
          <w:szCs w:val="92"/>
        </w:rPr>
        <w:t>ost-</w:t>
      </w:r>
      <w:r w:rsidR="00B50829" w:rsidRPr="00BF48E1">
        <w:rPr>
          <w:sz w:val="92"/>
          <w:szCs w:val="92"/>
        </w:rPr>
        <w:t>u</w:t>
      </w:r>
      <w:r w:rsidRPr="00BF48E1">
        <w:rPr>
          <w:sz w:val="92"/>
          <w:szCs w:val="92"/>
        </w:rPr>
        <w:t xml:space="preserve">niversity </w:t>
      </w:r>
      <w:r w:rsidR="00B50829" w:rsidRPr="00BF48E1">
        <w:rPr>
          <w:sz w:val="92"/>
          <w:szCs w:val="92"/>
        </w:rPr>
        <w:t>l</w:t>
      </w:r>
      <w:r w:rsidRPr="00BF48E1">
        <w:rPr>
          <w:sz w:val="92"/>
          <w:szCs w:val="92"/>
        </w:rPr>
        <w:t xml:space="preserve">abour </w:t>
      </w:r>
      <w:r w:rsidR="00B50829" w:rsidRPr="00BF48E1">
        <w:rPr>
          <w:sz w:val="92"/>
          <w:szCs w:val="92"/>
        </w:rPr>
        <w:t>m</w:t>
      </w:r>
      <w:r w:rsidRPr="00BF48E1">
        <w:rPr>
          <w:sz w:val="92"/>
          <w:szCs w:val="92"/>
        </w:rPr>
        <w:t xml:space="preserve">arket </w:t>
      </w:r>
      <w:r w:rsidR="00B50829" w:rsidRPr="00BF48E1">
        <w:rPr>
          <w:sz w:val="92"/>
          <w:szCs w:val="92"/>
        </w:rPr>
        <w:t>p</w:t>
      </w:r>
      <w:r w:rsidRPr="00BF48E1">
        <w:rPr>
          <w:sz w:val="92"/>
          <w:szCs w:val="92"/>
        </w:rPr>
        <w:t>erformance</w:t>
      </w:r>
    </w:p>
    <w:p w14:paraId="414DBFE8" w14:textId="77777777" w:rsidR="0059687F" w:rsidRDefault="0059687F" w:rsidP="0059687F"/>
    <w:p w14:paraId="240C7668" w14:textId="77777777" w:rsidR="0059687F" w:rsidRDefault="0059687F" w:rsidP="0059687F"/>
    <w:p w14:paraId="74F0F3BD" w14:textId="77777777" w:rsidR="0059687F" w:rsidRDefault="0059687F" w:rsidP="0059687F"/>
    <w:p w14:paraId="7C90008E" w14:textId="77777777" w:rsidR="0059687F" w:rsidRDefault="0059687F" w:rsidP="0059687F"/>
    <w:p w14:paraId="3C08DD3E" w14:textId="77777777" w:rsidR="0059687F" w:rsidRDefault="0059687F" w:rsidP="0059687F"/>
    <w:p w14:paraId="359ED1A9" w14:textId="77777777" w:rsidR="0059687F" w:rsidRDefault="0059687F" w:rsidP="0059687F"/>
    <w:p w14:paraId="006F4E09" w14:textId="77777777" w:rsidR="0059687F" w:rsidRDefault="0059687F" w:rsidP="0059687F"/>
    <w:p w14:paraId="6551BEDC" w14:textId="77777777" w:rsidR="0059687F" w:rsidRDefault="0059687F" w:rsidP="0059687F"/>
    <w:p w14:paraId="53F6AF0B" w14:textId="77777777" w:rsidR="0059687F" w:rsidRDefault="0059687F" w:rsidP="0059687F"/>
    <w:p w14:paraId="02C58EB7" w14:textId="350A16A4" w:rsidR="0059687F" w:rsidRDefault="0059687F" w:rsidP="0059687F"/>
    <w:p w14:paraId="61011FD2" w14:textId="77777777" w:rsidR="0059687F" w:rsidRDefault="0059687F" w:rsidP="0059687F"/>
    <w:p w14:paraId="3C4E67BC" w14:textId="77777777" w:rsidR="0059687F" w:rsidRDefault="0059687F" w:rsidP="0059687F"/>
    <w:p w14:paraId="78F92030" w14:textId="77777777" w:rsidR="0059687F" w:rsidRDefault="0059687F" w:rsidP="0059687F"/>
    <w:p w14:paraId="799C06A3" w14:textId="1A826207" w:rsidR="0059687F" w:rsidRDefault="0059687F" w:rsidP="0059687F">
      <w:pPr>
        <w:spacing w:after="0"/>
        <w:rPr>
          <w:color w:val="351C26" w:themeColor="text1"/>
          <w:sz w:val="32"/>
          <w:szCs w:val="32"/>
        </w:rPr>
      </w:pPr>
      <w:r>
        <w:rPr>
          <w:color w:val="351C26" w:themeColor="text1"/>
          <w:sz w:val="32"/>
          <w:szCs w:val="32"/>
        </w:rPr>
        <w:t>Rong Zhu</w:t>
      </w:r>
      <w:r w:rsidR="00BF48E1">
        <w:rPr>
          <w:color w:val="351C26" w:themeColor="text1"/>
          <w:sz w:val="32"/>
          <w:szCs w:val="32"/>
        </w:rPr>
        <w:t xml:space="preserve"> and</w:t>
      </w:r>
      <w:r w:rsidRPr="008C77B0">
        <w:rPr>
          <w:color w:val="351C26" w:themeColor="text1"/>
          <w:sz w:val="32"/>
          <w:szCs w:val="32"/>
        </w:rPr>
        <w:t xml:space="preserve"> </w:t>
      </w:r>
      <w:r>
        <w:rPr>
          <w:color w:val="351C26" w:themeColor="text1"/>
          <w:sz w:val="32"/>
          <w:szCs w:val="32"/>
        </w:rPr>
        <w:t>Xiaodong Gong</w:t>
      </w:r>
      <w:r w:rsidRPr="008C77B0">
        <w:rPr>
          <w:color w:val="351C26" w:themeColor="text1"/>
          <w:sz w:val="32"/>
          <w:szCs w:val="32"/>
        </w:rPr>
        <w:t xml:space="preserve"> </w:t>
      </w:r>
    </w:p>
    <w:p w14:paraId="28B5ED85" w14:textId="77777777" w:rsidR="0059687F" w:rsidRPr="008C77B0" w:rsidRDefault="0059687F" w:rsidP="0059687F">
      <w:pPr>
        <w:spacing w:after="0"/>
        <w:rPr>
          <w:color w:val="351C26" w:themeColor="text1"/>
          <w:sz w:val="32"/>
          <w:szCs w:val="32"/>
        </w:rPr>
      </w:pPr>
    </w:p>
    <w:p w14:paraId="1D9C888F" w14:textId="30A12094" w:rsidR="0059687F" w:rsidRPr="00BF48E1" w:rsidRDefault="0059687F" w:rsidP="00BF48E1">
      <w:r w:rsidRPr="008C77B0">
        <w:rPr>
          <w:b/>
          <w:bCs/>
          <w:color w:val="351C26" w:themeColor="text1"/>
          <w:sz w:val="28"/>
          <w:szCs w:val="28"/>
        </w:rPr>
        <w:t>202</w:t>
      </w:r>
      <w:r w:rsidR="00BF48E1">
        <w:rPr>
          <w:b/>
          <w:bCs/>
          <w:color w:val="351C26" w:themeColor="text1"/>
          <w:sz w:val="28"/>
          <w:szCs w:val="28"/>
        </w:rPr>
        <w:t>6</w:t>
      </w:r>
    </w:p>
    <w:p w14:paraId="254705C3" w14:textId="77777777" w:rsidR="008C7722" w:rsidRPr="0016620E" w:rsidRDefault="008C7722">
      <w:pPr>
        <w:spacing w:line="259" w:lineRule="auto"/>
        <w:rPr>
          <w:rFonts w:cs="Arial"/>
        </w:rPr>
        <w:sectPr w:rsidR="008C7722" w:rsidRPr="0016620E" w:rsidSect="008C7722">
          <w:footerReference w:type="default" r:id="rId9"/>
          <w:pgSz w:w="11906" w:h="16838"/>
          <w:pgMar w:top="794" w:right="4309" w:bottom="1440" w:left="794" w:header="709" w:footer="709" w:gutter="0"/>
          <w:cols w:space="708"/>
          <w:docGrid w:linePitch="360"/>
        </w:sectPr>
      </w:pPr>
    </w:p>
    <w:p w14:paraId="30B4DA64" w14:textId="3A821AA5" w:rsidR="00F871A0" w:rsidRPr="0016620E" w:rsidRDefault="003E73FD" w:rsidP="00F871A0">
      <w:pPr>
        <w:jc w:val="center"/>
        <w:rPr>
          <w:rFonts w:cs="Arial"/>
          <w:b/>
          <w:bCs/>
          <w:sz w:val="36"/>
          <w:szCs w:val="36"/>
        </w:rPr>
      </w:pPr>
      <w:bookmarkStart w:id="0" w:name="_Toc170822380"/>
      <w:r w:rsidRPr="0016620E">
        <w:rPr>
          <w:rFonts w:cs="Arial"/>
          <w:b/>
          <w:bCs/>
          <w:sz w:val="36"/>
          <w:szCs w:val="36"/>
        </w:rPr>
        <w:lastRenderedPageBreak/>
        <w:t>Socio</w:t>
      </w:r>
      <w:r w:rsidR="00C84724">
        <w:rPr>
          <w:rFonts w:cs="Arial"/>
          <w:b/>
          <w:bCs/>
          <w:sz w:val="36"/>
          <w:szCs w:val="36"/>
        </w:rPr>
        <w:t>-</w:t>
      </w:r>
      <w:r w:rsidRPr="0016620E">
        <w:rPr>
          <w:rFonts w:cs="Arial"/>
          <w:b/>
          <w:bCs/>
          <w:sz w:val="36"/>
          <w:szCs w:val="36"/>
        </w:rPr>
        <w:t xml:space="preserve">economic </w:t>
      </w:r>
      <w:r w:rsidR="00B50829">
        <w:rPr>
          <w:rFonts w:cs="Arial"/>
          <w:b/>
          <w:bCs/>
          <w:sz w:val="36"/>
          <w:szCs w:val="36"/>
        </w:rPr>
        <w:t>b</w:t>
      </w:r>
      <w:r w:rsidR="00B47999">
        <w:rPr>
          <w:rFonts w:cs="Arial"/>
          <w:b/>
          <w:bCs/>
          <w:sz w:val="36"/>
          <w:szCs w:val="36"/>
        </w:rPr>
        <w:t>ackground</w:t>
      </w:r>
      <w:r w:rsidR="00B47999" w:rsidRPr="0016620E">
        <w:rPr>
          <w:rFonts w:cs="Arial"/>
          <w:b/>
          <w:bCs/>
          <w:sz w:val="36"/>
          <w:szCs w:val="36"/>
        </w:rPr>
        <w:t>s</w:t>
      </w:r>
      <w:r w:rsidRPr="0016620E">
        <w:rPr>
          <w:rFonts w:cs="Arial"/>
          <w:b/>
          <w:bCs/>
          <w:sz w:val="36"/>
          <w:szCs w:val="36"/>
        </w:rPr>
        <w:t xml:space="preserve">, </w:t>
      </w:r>
      <w:r w:rsidR="00B50829">
        <w:rPr>
          <w:rFonts w:cs="Arial"/>
          <w:b/>
          <w:bCs/>
          <w:sz w:val="36"/>
          <w:szCs w:val="36"/>
        </w:rPr>
        <w:t>c</w:t>
      </w:r>
      <w:r w:rsidR="00D55C81" w:rsidRPr="0016620E">
        <w:rPr>
          <w:rFonts w:cs="Arial"/>
          <w:b/>
          <w:bCs/>
          <w:sz w:val="36"/>
          <w:szCs w:val="36"/>
        </w:rPr>
        <w:t xml:space="preserve">hoice of </w:t>
      </w:r>
      <w:r w:rsidR="00B50829">
        <w:rPr>
          <w:rFonts w:cs="Arial"/>
          <w:b/>
          <w:bCs/>
          <w:sz w:val="36"/>
          <w:szCs w:val="36"/>
        </w:rPr>
        <w:t>d</w:t>
      </w:r>
      <w:r w:rsidR="00D55C81" w:rsidRPr="0016620E">
        <w:rPr>
          <w:rFonts w:cs="Arial"/>
          <w:b/>
          <w:bCs/>
          <w:sz w:val="36"/>
          <w:szCs w:val="36"/>
        </w:rPr>
        <w:t>isciplines</w:t>
      </w:r>
      <w:r w:rsidRPr="0016620E">
        <w:rPr>
          <w:rFonts w:cs="Arial"/>
          <w:b/>
          <w:bCs/>
          <w:sz w:val="36"/>
          <w:szCs w:val="36"/>
        </w:rPr>
        <w:t xml:space="preserve">, and </w:t>
      </w:r>
      <w:r w:rsidR="00B50829">
        <w:rPr>
          <w:rFonts w:cs="Arial"/>
          <w:b/>
          <w:bCs/>
          <w:sz w:val="36"/>
          <w:szCs w:val="36"/>
        </w:rPr>
        <w:t>p</w:t>
      </w:r>
      <w:r w:rsidRPr="0016620E">
        <w:rPr>
          <w:rFonts w:cs="Arial"/>
          <w:b/>
          <w:bCs/>
          <w:sz w:val="36"/>
          <w:szCs w:val="36"/>
        </w:rPr>
        <w:t>ost-</w:t>
      </w:r>
      <w:r w:rsidR="00B50829">
        <w:rPr>
          <w:rFonts w:cs="Arial"/>
          <w:b/>
          <w:bCs/>
          <w:sz w:val="36"/>
          <w:szCs w:val="36"/>
        </w:rPr>
        <w:t>u</w:t>
      </w:r>
      <w:r w:rsidRPr="0016620E">
        <w:rPr>
          <w:rFonts w:cs="Arial"/>
          <w:b/>
          <w:bCs/>
          <w:sz w:val="36"/>
          <w:szCs w:val="36"/>
        </w:rPr>
        <w:t xml:space="preserve">niversity </w:t>
      </w:r>
      <w:r w:rsidR="00B50829">
        <w:rPr>
          <w:rFonts w:cs="Arial"/>
          <w:b/>
          <w:bCs/>
          <w:sz w:val="36"/>
          <w:szCs w:val="36"/>
        </w:rPr>
        <w:t>l</w:t>
      </w:r>
      <w:r w:rsidRPr="0016620E">
        <w:rPr>
          <w:rFonts w:cs="Arial"/>
          <w:b/>
          <w:bCs/>
          <w:sz w:val="36"/>
          <w:szCs w:val="36"/>
        </w:rPr>
        <w:t xml:space="preserve">abour </w:t>
      </w:r>
      <w:r w:rsidR="00B50829">
        <w:rPr>
          <w:rFonts w:cs="Arial"/>
          <w:b/>
          <w:bCs/>
          <w:sz w:val="36"/>
          <w:szCs w:val="36"/>
        </w:rPr>
        <w:t>m</w:t>
      </w:r>
      <w:r w:rsidRPr="0016620E">
        <w:rPr>
          <w:rFonts w:cs="Arial"/>
          <w:b/>
          <w:bCs/>
          <w:sz w:val="36"/>
          <w:szCs w:val="36"/>
        </w:rPr>
        <w:t xml:space="preserve">arket </w:t>
      </w:r>
      <w:r w:rsidR="00B50829">
        <w:rPr>
          <w:rFonts w:cs="Arial"/>
          <w:b/>
          <w:bCs/>
          <w:sz w:val="36"/>
          <w:szCs w:val="36"/>
        </w:rPr>
        <w:t>p</w:t>
      </w:r>
      <w:r w:rsidRPr="0016620E">
        <w:rPr>
          <w:rFonts w:cs="Arial"/>
          <w:b/>
          <w:bCs/>
          <w:sz w:val="36"/>
          <w:szCs w:val="36"/>
        </w:rPr>
        <w:t>erformance</w:t>
      </w:r>
    </w:p>
    <w:p w14:paraId="252AEBEC" w14:textId="77777777" w:rsidR="00F871A0" w:rsidRPr="0016620E" w:rsidRDefault="00F871A0" w:rsidP="00F871A0">
      <w:pPr>
        <w:rPr>
          <w:rFonts w:cs="Arial"/>
        </w:rPr>
      </w:pPr>
    </w:p>
    <w:p w14:paraId="7AA97C0C" w14:textId="77777777" w:rsidR="00F871A0" w:rsidRPr="0016620E" w:rsidRDefault="00F871A0" w:rsidP="00F871A0">
      <w:pPr>
        <w:rPr>
          <w:rFonts w:cs="Arial"/>
        </w:rPr>
      </w:pPr>
    </w:p>
    <w:p w14:paraId="5308C4DB" w14:textId="39AE8A29" w:rsidR="00F871A0" w:rsidRPr="0016620E" w:rsidRDefault="00C83F48" w:rsidP="00F871A0">
      <w:pPr>
        <w:jc w:val="center"/>
        <w:rPr>
          <w:rFonts w:cs="Arial"/>
          <w:b/>
          <w:color w:val="351C26" w:themeColor="text2"/>
        </w:rPr>
      </w:pPr>
      <w:r>
        <w:rPr>
          <w:rFonts w:cs="Arial"/>
          <w:b/>
          <w:color w:val="351C26" w:themeColor="text2"/>
        </w:rPr>
        <w:t xml:space="preserve">12 </w:t>
      </w:r>
      <w:r w:rsidR="00BF48E1">
        <w:rPr>
          <w:rFonts w:cs="Arial"/>
          <w:b/>
          <w:color w:val="351C26" w:themeColor="text2"/>
        </w:rPr>
        <w:t xml:space="preserve">March </w:t>
      </w:r>
      <w:r w:rsidR="003E73FD" w:rsidRPr="0016620E">
        <w:rPr>
          <w:rFonts w:cs="Arial"/>
          <w:b/>
          <w:color w:val="351C26" w:themeColor="text2"/>
        </w:rPr>
        <w:t>202</w:t>
      </w:r>
      <w:r w:rsidR="00BF48E1">
        <w:rPr>
          <w:rFonts w:cs="Arial"/>
          <w:b/>
          <w:color w:val="351C26" w:themeColor="text2"/>
        </w:rPr>
        <w:t>6</w:t>
      </w:r>
    </w:p>
    <w:p w14:paraId="1274E000" w14:textId="77777777" w:rsidR="00F871A0" w:rsidRPr="0016620E" w:rsidRDefault="00F871A0" w:rsidP="00F871A0">
      <w:pPr>
        <w:jc w:val="center"/>
        <w:rPr>
          <w:rFonts w:cs="Arial"/>
          <w:b/>
        </w:rPr>
      </w:pPr>
    </w:p>
    <w:p w14:paraId="28C21CB2" w14:textId="2C4510B9" w:rsidR="00F871A0" w:rsidRDefault="003E73FD" w:rsidP="00F871A0">
      <w:pPr>
        <w:jc w:val="center"/>
        <w:rPr>
          <w:rFonts w:cs="Arial"/>
        </w:rPr>
      </w:pPr>
      <w:r w:rsidRPr="0016620E">
        <w:rPr>
          <w:rFonts w:cs="Arial"/>
        </w:rPr>
        <w:t>Dr Rong Zhu</w:t>
      </w:r>
      <w:r w:rsidR="00BF48E1">
        <w:rPr>
          <w:rFonts w:cs="Arial"/>
        </w:rPr>
        <w:t xml:space="preserve">, </w:t>
      </w:r>
      <w:r w:rsidRPr="0016620E">
        <w:rPr>
          <w:rFonts w:cs="Arial"/>
        </w:rPr>
        <w:t>Flinders University</w:t>
      </w:r>
    </w:p>
    <w:p w14:paraId="32BCA156" w14:textId="709F4872" w:rsidR="003E73FD" w:rsidRPr="0016620E" w:rsidRDefault="003E73FD" w:rsidP="00F871A0">
      <w:pPr>
        <w:jc w:val="center"/>
        <w:rPr>
          <w:rFonts w:cs="Arial"/>
        </w:rPr>
      </w:pPr>
      <w:r w:rsidRPr="0016620E">
        <w:rPr>
          <w:rFonts w:cs="Arial"/>
        </w:rPr>
        <w:t>Professor Xiaodong Gong</w:t>
      </w:r>
      <w:r w:rsidR="00BF48E1">
        <w:rPr>
          <w:rFonts w:cs="Arial"/>
        </w:rPr>
        <w:t xml:space="preserve">, </w:t>
      </w:r>
      <w:r w:rsidRPr="0016620E">
        <w:rPr>
          <w:rFonts w:cs="Arial"/>
        </w:rPr>
        <w:t>University of Canberra</w:t>
      </w:r>
    </w:p>
    <w:p w14:paraId="1F63BA72" w14:textId="77777777" w:rsidR="00F871A0" w:rsidRPr="0016620E" w:rsidRDefault="00F871A0" w:rsidP="00F871A0">
      <w:pPr>
        <w:spacing w:after="0"/>
        <w:rPr>
          <w:rFonts w:cs="Arial"/>
          <w:bCs/>
          <w:sz w:val="18"/>
          <w:szCs w:val="18"/>
        </w:rPr>
      </w:pPr>
    </w:p>
    <w:p w14:paraId="4FF46228" w14:textId="77777777" w:rsidR="00F871A0" w:rsidRPr="0016620E" w:rsidRDefault="00F871A0" w:rsidP="00F871A0">
      <w:pPr>
        <w:spacing w:after="0"/>
        <w:rPr>
          <w:rFonts w:cs="Arial"/>
          <w:bCs/>
          <w:sz w:val="18"/>
          <w:szCs w:val="18"/>
        </w:rPr>
      </w:pPr>
    </w:p>
    <w:p w14:paraId="6D6681F4" w14:textId="77777777" w:rsidR="00F871A0" w:rsidRPr="0016620E" w:rsidRDefault="00F871A0" w:rsidP="00F871A0">
      <w:pPr>
        <w:spacing w:after="0"/>
        <w:rPr>
          <w:rFonts w:cs="Arial"/>
          <w:bCs/>
          <w:sz w:val="18"/>
          <w:szCs w:val="18"/>
        </w:rPr>
      </w:pPr>
    </w:p>
    <w:p w14:paraId="10945D49" w14:textId="77777777" w:rsidR="00F871A0" w:rsidRPr="0016620E" w:rsidRDefault="00F871A0" w:rsidP="00F871A0">
      <w:pPr>
        <w:spacing w:after="0"/>
        <w:rPr>
          <w:rFonts w:cs="Arial"/>
          <w:bCs/>
          <w:sz w:val="18"/>
          <w:szCs w:val="18"/>
        </w:rPr>
      </w:pPr>
    </w:p>
    <w:p w14:paraId="453A3263" w14:textId="77777777" w:rsidR="00F871A0" w:rsidRDefault="00F871A0" w:rsidP="00F871A0">
      <w:pPr>
        <w:spacing w:after="0"/>
        <w:rPr>
          <w:rFonts w:cs="Arial"/>
          <w:bCs/>
          <w:sz w:val="18"/>
          <w:szCs w:val="18"/>
        </w:rPr>
      </w:pPr>
    </w:p>
    <w:p w14:paraId="08FFB55B" w14:textId="77777777" w:rsidR="00240387" w:rsidRPr="0016620E" w:rsidRDefault="00240387" w:rsidP="00F871A0">
      <w:pPr>
        <w:spacing w:after="0"/>
        <w:rPr>
          <w:rFonts w:cs="Arial"/>
          <w:bCs/>
          <w:sz w:val="18"/>
          <w:szCs w:val="18"/>
        </w:rPr>
      </w:pPr>
    </w:p>
    <w:p w14:paraId="64ABE604" w14:textId="77777777" w:rsidR="00F871A0" w:rsidRPr="0016620E" w:rsidRDefault="00F871A0" w:rsidP="00F871A0">
      <w:pPr>
        <w:spacing w:after="0"/>
        <w:rPr>
          <w:rFonts w:cs="Arial"/>
          <w:bCs/>
          <w:sz w:val="18"/>
          <w:szCs w:val="18"/>
        </w:rPr>
      </w:pPr>
    </w:p>
    <w:p w14:paraId="31A4106E" w14:textId="77777777" w:rsidR="00F871A0" w:rsidRPr="0016620E" w:rsidRDefault="00F871A0" w:rsidP="00F871A0">
      <w:pPr>
        <w:spacing w:after="0"/>
        <w:rPr>
          <w:rFonts w:cs="Arial"/>
          <w:bCs/>
          <w:sz w:val="18"/>
          <w:szCs w:val="18"/>
        </w:rPr>
      </w:pPr>
    </w:p>
    <w:p w14:paraId="5A5E836F" w14:textId="77777777" w:rsidR="00ED3F87" w:rsidRDefault="00ED3F87" w:rsidP="00F871A0">
      <w:pPr>
        <w:spacing w:after="0"/>
        <w:rPr>
          <w:rFonts w:cs="Arial"/>
          <w:bCs/>
          <w:sz w:val="18"/>
          <w:szCs w:val="18"/>
        </w:rPr>
      </w:pPr>
    </w:p>
    <w:p w14:paraId="7E1711CA" w14:textId="512382D2" w:rsidR="00F871A0" w:rsidRPr="0016620E" w:rsidRDefault="00BF48E1" w:rsidP="00F871A0">
      <w:pPr>
        <w:spacing w:after="0"/>
        <w:rPr>
          <w:rFonts w:cs="Arial"/>
          <w:bCs/>
          <w:sz w:val="18"/>
          <w:szCs w:val="18"/>
        </w:rPr>
      </w:pPr>
      <w:r w:rsidRPr="00BF48E1">
        <w:rPr>
          <w:rFonts w:cs="Arial"/>
          <w:bCs/>
          <w:sz w:val="18"/>
          <w:szCs w:val="18"/>
        </w:rPr>
        <w:t xml:space="preserve">Suggested citation: </w:t>
      </w:r>
      <w:r>
        <w:rPr>
          <w:rFonts w:cs="Arial"/>
          <w:bCs/>
          <w:sz w:val="18"/>
          <w:szCs w:val="18"/>
        </w:rPr>
        <w:t xml:space="preserve">Zhu, R. &amp; Gong, X. </w:t>
      </w:r>
      <w:r w:rsidRPr="00BF48E1">
        <w:rPr>
          <w:rFonts w:cs="Arial"/>
          <w:bCs/>
          <w:sz w:val="18"/>
          <w:szCs w:val="18"/>
        </w:rPr>
        <w:t>(202</w:t>
      </w:r>
      <w:r>
        <w:rPr>
          <w:rFonts w:cs="Arial"/>
          <w:bCs/>
          <w:sz w:val="18"/>
          <w:szCs w:val="18"/>
        </w:rPr>
        <w:t>6</w:t>
      </w:r>
      <w:r w:rsidRPr="00BF48E1">
        <w:rPr>
          <w:rFonts w:cs="Arial"/>
          <w:bCs/>
          <w:sz w:val="18"/>
          <w:szCs w:val="18"/>
        </w:rPr>
        <w:t xml:space="preserve">). </w:t>
      </w:r>
      <w:r w:rsidRPr="00BF48E1">
        <w:rPr>
          <w:rFonts w:cs="Arial"/>
          <w:bCs/>
          <w:i/>
          <w:iCs/>
          <w:sz w:val="18"/>
          <w:szCs w:val="18"/>
        </w:rPr>
        <w:t>Socio-economic backgrounds, choice of disciplines, and post-university labour market performance</w:t>
      </w:r>
      <w:r w:rsidRPr="00BF48E1">
        <w:rPr>
          <w:rFonts w:cs="Arial"/>
          <w:bCs/>
          <w:sz w:val="18"/>
          <w:szCs w:val="18"/>
        </w:rPr>
        <w:t xml:space="preserve"> (Small Grants Research Program final report). Australian Centre for Student Equity and Success, Curtin University.</w:t>
      </w:r>
    </w:p>
    <w:p w14:paraId="3E15706E" w14:textId="77777777" w:rsidR="00F871A0" w:rsidRDefault="00F871A0" w:rsidP="00F871A0">
      <w:pPr>
        <w:spacing w:after="0"/>
        <w:rPr>
          <w:rFonts w:cs="Arial"/>
          <w:bCs/>
          <w:sz w:val="18"/>
          <w:szCs w:val="18"/>
        </w:rPr>
      </w:pPr>
    </w:p>
    <w:p w14:paraId="578707F9" w14:textId="77777777" w:rsidR="00F871A0" w:rsidRPr="0016620E" w:rsidRDefault="00F871A0" w:rsidP="00F871A0">
      <w:pPr>
        <w:spacing w:after="0"/>
        <w:rPr>
          <w:rFonts w:cs="Arial"/>
          <w:bCs/>
          <w:sz w:val="18"/>
          <w:szCs w:val="18"/>
        </w:rPr>
      </w:pPr>
      <w:r w:rsidRPr="0016620E">
        <w:rPr>
          <w:rFonts w:cs="Arial"/>
          <w:bCs/>
          <w:sz w:val="18"/>
          <w:szCs w:val="18"/>
        </w:rPr>
        <w:t>Australian Centre for Student Equity and Success</w:t>
      </w:r>
    </w:p>
    <w:p w14:paraId="7249B764" w14:textId="77777777" w:rsidR="00F871A0" w:rsidRPr="0016620E" w:rsidRDefault="00F871A0" w:rsidP="00F871A0">
      <w:pPr>
        <w:spacing w:after="0"/>
        <w:rPr>
          <w:rFonts w:cs="Arial"/>
          <w:bCs/>
          <w:sz w:val="18"/>
          <w:szCs w:val="18"/>
        </w:rPr>
      </w:pPr>
      <w:r w:rsidRPr="0016620E">
        <w:rPr>
          <w:rFonts w:cs="Arial"/>
          <w:bCs/>
          <w:sz w:val="18"/>
          <w:szCs w:val="18"/>
        </w:rPr>
        <w:t>Tel: +61 8 9266 1573</w:t>
      </w:r>
    </w:p>
    <w:p w14:paraId="110D72AA" w14:textId="77777777" w:rsidR="00F871A0" w:rsidRPr="0016620E" w:rsidRDefault="00F871A0" w:rsidP="00F871A0">
      <w:pPr>
        <w:spacing w:after="0"/>
        <w:rPr>
          <w:rFonts w:cs="Arial"/>
          <w:bCs/>
          <w:sz w:val="18"/>
          <w:szCs w:val="18"/>
        </w:rPr>
      </w:pPr>
      <w:r w:rsidRPr="0016620E">
        <w:rPr>
          <w:rFonts w:cs="Arial"/>
          <w:bCs/>
          <w:sz w:val="18"/>
          <w:szCs w:val="18"/>
        </w:rPr>
        <w:t xml:space="preserve">Email: </w:t>
      </w:r>
      <w:hyperlink r:id="rId10" w:history="1">
        <w:r w:rsidRPr="00BF48E1">
          <w:rPr>
            <w:rStyle w:val="Hyperlink"/>
            <w:sz w:val="18"/>
            <w:szCs w:val="18"/>
          </w:rPr>
          <w:t>acses@curtin.edu.au</w:t>
        </w:r>
      </w:hyperlink>
    </w:p>
    <w:p w14:paraId="4BF496A2" w14:textId="77777777" w:rsidR="00F871A0" w:rsidRPr="0016620E" w:rsidRDefault="00F871A0" w:rsidP="00F871A0">
      <w:pPr>
        <w:spacing w:after="0"/>
        <w:rPr>
          <w:rFonts w:cs="Arial"/>
          <w:bCs/>
          <w:sz w:val="18"/>
          <w:szCs w:val="18"/>
        </w:rPr>
      </w:pPr>
      <w:r w:rsidRPr="0016620E">
        <w:rPr>
          <w:rFonts w:cs="Arial"/>
          <w:bCs/>
          <w:sz w:val="18"/>
          <w:szCs w:val="18"/>
        </w:rPr>
        <w:t xml:space="preserve">Web: </w:t>
      </w:r>
      <w:hyperlink r:id="rId11" w:history="1">
        <w:r w:rsidRPr="00BF48E1">
          <w:rPr>
            <w:rStyle w:val="Hyperlink"/>
            <w:sz w:val="18"/>
            <w:szCs w:val="18"/>
          </w:rPr>
          <w:t>www.acses.edu.au</w:t>
        </w:r>
      </w:hyperlink>
      <w:r w:rsidRPr="0016620E">
        <w:rPr>
          <w:rFonts w:cs="Arial"/>
          <w:bCs/>
          <w:sz w:val="18"/>
          <w:szCs w:val="18"/>
        </w:rPr>
        <w:t xml:space="preserve"> </w:t>
      </w:r>
    </w:p>
    <w:p w14:paraId="0143AB82" w14:textId="77777777" w:rsidR="00F871A0" w:rsidRPr="0016620E" w:rsidRDefault="00F871A0" w:rsidP="00F871A0">
      <w:pPr>
        <w:spacing w:after="0"/>
        <w:rPr>
          <w:rFonts w:cs="Arial"/>
          <w:bCs/>
          <w:sz w:val="18"/>
          <w:szCs w:val="18"/>
        </w:rPr>
      </w:pPr>
      <w:r w:rsidRPr="0016620E">
        <w:rPr>
          <w:rFonts w:cs="Arial"/>
          <w:bCs/>
          <w:sz w:val="18"/>
          <w:szCs w:val="18"/>
        </w:rPr>
        <w:t>Building 100</w:t>
      </w:r>
    </w:p>
    <w:p w14:paraId="1C1747DC" w14:textId="77777777" w:rsidR="00F871A0" w:rsidRPr="0016620E" w:rsidRDefault="00F871A0" w:rsidP="00F871A0">
      <w:pPr>
        <w:spacing w:after="0"/>
        <w:rPr>
          <w:rFonts w:cs="Arial"/>
          <w:bCs/>
          <w:sz w:val="18"/>
          <w:szCs w:val="18"/>
        </w:rPr>
      </w:pPr>
      <w:r w:rsidRPr="0016620E">
        <w:rPr>
          <w:rFonts w:cs="Arial"/>
          <w:bCs/>
          <w:sz w:val="18"/>
          <w:szCs w:val="18"/>
        </w:rPr>
        <w:t>Curtin University</w:t>
      </w:r>
    </w:p>
    <w:p w14:paraId="7C563B3A" w14:textId="4814D975" w:rsidR="00F871A0" w:rsidRDefault="00F871A0" w:rsidP="00F871A0">
      <w:pPr>
        <w:spacing w:after="0"/>
        <w:rPr>
          <w:rFonts w:cs="Arial"/>
          <w:bCs/>
          <w:sz w:val="18"/>
          <w:szCs w:val="18"/>
        </w:rPr>
      </w:pPr>
      <w:r w:rsidRPr="0016620E">
        <w:rPr>
          <w:rFonts w:cs="Arial"/>
          <w:bCs/>
          <w:sz w:val="18"/>
          <w:szCs w:val="18"/>
        </w:rPr>
        <w:t>Kent St, Bentley WA 6102</w:t>
      </w:r>
      <w:r w:rsidR="00BF48E1">
        <w:rPr>
          <w:rFonts w:cs="Arial"/>
          <w:bCs/>
          <w:sz w:val="18"/>
          <w:szCs w:val="18"/>
        </w:rPr>
        <w:t xml:space="preserve"> |</w:t>
      </w:r>
      <w:r w:rsidR="00B50829">
        <w:rPr>
          <w:rFonts w:cs="Arial"/>
          <w:bCs/>
          <w:sz w:val="18"/>
          <w:szCs w:val="18"/>
        </w:rPr>
        <w:t xml:space="preserve"> </w:t>
      </w:r>
      <w:r w:rsidRPr="0016620E">
        <w:rPr>
          <w:rFonts w:cs="Arial"/>
          <w:bCs/>
          <w:sz w:val="18"/>
          <w:szCs w:val="18"/>
        </w:rPr>
        <w:t>GPO Box U1987, Perth WA 6845</w:t>
      </w:r>
      <w:bookmarkStart w:id="1" w:name="_Toc57894677"/>
    </w:p>
    <w:p w14:paraId="60DDDD97" w14:textId="77777777" w:rsidR="00053A1C" w:rsidRPr="0016620E" w:rsidRDefault="00053A1C" w:rsidP="00F871A0">
      <w:pPr>
        <w:spacing w:after="0"/>
        <w:rPr>
          <w:rFonts w:cs="Arial"/>
          <w:bCs/>
          <w:sz w:val="18"/>
          <w:szCs w:val="18"/>
        </w:rPr>
      </w:pPr>
    </w:p>
    <w:p w14:paraId="132B2C7D" w14:textId="77777777" w:rsidR="00F871A0" w:rsidRPr="0016620E" w:rsidRDefault="00F871A0" w:rsidP="00F871A0">
      <w:pPr>
        <w:spacing w:line="259" w:lineRule="auto"/>
        <w:rPr>
          <w:rFonts w:eastAsiaTheme="majorEastAsia" w:cs="Arial"/>
          <w:color w:val="6B3B57"/>
          <w:sz w:val="52"/>
          <w:szCs w:val="40"/>
        </w:rPr>
      </w:pPr>
      <w:r w:rsidRPr="0016620E">
        <w:rPr>
          <w:rFonts w:cs="Arial"/>
          <w:noProof/>
          <w:lang w:eastAsia="en-AU"/>
        </w:rPr>
        <mc:AlternateContent>
          <mc:Choice Requires="wps">
            <w:drawing>
              <wp:inline distT="0" distB="0" distL="0" distR="0" wp14:anchorId="0E3312E5" wp14:editId="1D6AA7C7">
                <wp:extent cx="5821680" cy="3174521"/>
                <wp:effectExtent l="0" t="0" r="26670" b="26035"/>
                <wp:docPr id="217" name="Text Box 2" descr="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title="Disclai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3174521"/>
                        </a:xfrm>
                        <a:prstGeom prst="rect">
                          <a:avLst/>
                        </a:prstGeom>
                        <a:solidFill>
                          <a:srgbClr val="FFFFFF"/>
                        </a:solidFill>
                        <a:ln w="9525">
                          <a:solidFill>
                            <a:schemeClr val="accent3"/>
                          </a:solidFill>
                          <a:miter lim="800000"/>
                          <a:headEnd/>
                          <a:tailEnd/>
                        </a:ln>
                      </wps:spPr>
                      <wps:txbx>
                        <w:txbxContent>
                          <w:p w14:paraId="13DADD43" w14:textId="77777777" w:rsidR="00F871A0" w:rsidRPr="008E31EC" w:rsidRDefault="00F871A0" w:rsidP="00F871A0">
                            <w:pPr>
                              <w:rPr>
                                <w:b/>
                                <w:sz w:val="16"/>
                                <w:szCs w:val="16"/>
                              </w:rPr>
                            </w:pPr>
                            <w:r w:rsidRPr="008E31EC">
                              <w:rPr>
                                <w:b/>
                                <w:sz w:val="16"/>
                                <w:szCs w:val="16"/>
                              </w:rPr>
                              <w:t>DISCLAIMER</w:t>
                            </w:r>
                          </w:p>
                          <w:p w14:paraId="4E6705C4"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61551368" w14:textId="77777777"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17D66981" w14:textId="77777777" w:rsidR="00F871A0" w:rsidRDefault="00F871A0" w:rsidP="00F871A0">
                            <w:pPr>
                              <w:rPr>
                                <w:sz w:val="16"/>
                                <w:szCs w:val="16"/>
                              </w:rPr>
                            </w:pPr>
                          </w:p>
                          <w:p w14:paraId="179A42D9" w14:textId="77777777" w:rsidR="00F871A0" w:rsidRPr="008619B3" w:rsidRDefault="00F871A0" w:rsidP="00F871A0">
                            <w:pPr>
                              <w:rPr>
                                <w:b/>
                                <w:sz w:val="16"/>
                                <w:szCs w:val="16"/>
                              </w:rPr>
                            </w:pPr>
                            <w:r w:rsidRPr="008619B3">
                              <w:rPr>
                                <w:b/>
                                <w:sz w:val="16"/>
                                <w:szCs w:val="16"/>
                              </w:rPr>
                              <w:t>COPYRIGHT</w:t>
                            </w:r>
                          </w:p>
                          <w:p w14:paraId="14032F2A" w14:textId="6EFFB4A8" w:rsidR="00F871A0" w:rsidRDefault="00F871A0" w:rsidP="00F871A0">
                            <w:pPr>
                              <w:rPr>
                                <w:sz w:val="16"/>
                                <w:szCs w:val="16"/>
                              </w:rPr>
                            </w:pPr>
                            <w:r w:rsidRPr="008619B3">
                              <w:rPr>
                                <w:sz w:val="16"/>
                                <w:szCs w:val="16"/>
                              </w:rPr>
                              <w:t xml:space="preserve">© Curtin University </w:t>
                            </w:r>
                            <w:r w:rsidRPr="00333816">
                              <w:rPr>
                                <w:sz w:val="16"/>
                                <w:szCs w:val="16"/>
                              </w:rPr>
                              <w:t>202</w:t>
                            </w:r>
                            <w:r w:rsidR="00BF48E1">
                              <w:rPr>
                                <w:sz w:val="16"/>
                                <w:szCs w:val="16"/>
                              </w:rPr>
                              <w:t>6</w:t>
                            </w:r>
                          </w:p>
                          <w:p w14:paraId="593517CD" w14:textId="77777777" w:rsidR="00F871A0"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64DF007E" w14:textId="77777777" w:rsidR="00F871A0" w:rsidRDefault="00F871A0" w:rsidP="00F871A0">
                            <w:pPr>
                              <w:rPr>
                                <w:sz w:val="16"/>
                                <w:szCs w:val="16"/>
                              </w:rPr>
                            </w:pPr>
                            <w:r w:rsidRPr="008619B3">
                              <w:rPr>
                                <w:sz w:val="16"/>
                                <w:szCs w:val="16"/>
                              </w:rPr>
                              <w:t>CRICOS Provider Code 00301J</w:t>
                            </w:r>
                          </w:p>
                          <w:p w14:paraId="5A22C6A0" w14:textId="5B1C99D7" w:rsidR="00F871A0" w:rsidRPr="008E31EC" w:rsidRDefault="00CE4810" w:rsidP="00F871A0">
                            <w:pPr>
                              <w:rPr>
                                <w:sz w:val="16"/>
                                <w:szCs w:val="16"/>
                              </w:rPr>
                            </w:pPr>
                            <w:r>
                              <w:rPr>
                                <w:sz w:val="16"/>
                                <w:szCs w:val="16"/>
                              </w:rPr>
                              <w:t xml:space="preserve">ISBN </w:t>
                            </w:r>
                            <w:r w:rsidRPr="00CE4810">
                              <w:rPr>
                                <w:sz w:val="16"/>
                                <w:szCs w:val="16"/>
                              </w:rPr>
                              <w:t>978-1-7642138-7-5</w:t>
                            </w:r>
                          </w:p>
                          <w:p w14:paraId="032AD4B3" w14:textId="77777777" w:rsidR="00F871A0" w:rsidRDefault="00F871A0" w:rsidP="00F871A0"/>
                        </w:txbxContent>
                      </wps:txbx>
                      <wps:bodyPr rot="0" vert="horz" wrap="square" lIns="91440" tIns="72000" rIns="91440" bIns="72000" anchor="t" anchorCtr="0">
                        <a:noAutofit/>
                      </wps:bodyPr>
                    </wps:wsp>
                  </a:graphicData>
                </a:graphic>
              </wp:inline>
            </w:drawing>
          </mc:Choice>
          <mc:Fallback>
            <w:pict>
              <v:shapetype w14:anchorId="0E3312E5" id="_x0000_t202" coordsize="21600,21600" o:spt="202" path="m,l,21600r21600,l21600,xe">
                <v:stroke joinstyle="miter"/>
                <v:path gradientshapeok="t" o:connecttype="rect"/>
              </v:shapetype>
              <v:shape id="Text Box 2" o:spid="_x0000_s1026" type="#_x0000_t202" alt="Title: Disclaimer - Description: 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style="width:458.4pt;height:24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" strokecolor="#fcab63 [3206]">
                <v:textbox inset=",2mm,,2mm">
                  <w:txbxContent>
                    <w:p w14:paraId="13DADD43" w14:textId="77777777" w:rsidR="00F871A0" w:rsidRPr="008E31EC" w:rsidRDefault="00F871A0" w:rsidP="00F871A0">
                      <w:pPr>
                        <w:rPr>
                          <w:b/>
                          <w:sz w:val="16"/>
                          <w:szCs w:val="16"/>
                        </w:rPr>
                      </w:pPr>
                      <w:r w:rsidRPr="008E31EC">
                        <w:rPr>
                          <w:b/>
                          <w:sz w:val="16"/>
                          <w:szCs w:val="16"/>
                        </w:rPr>
                        <w:t>DISCLAIMER</w:t>
                      </w:r>
                    </w:p>
                    <w:p w14:paraId="4E6705C4"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61551368" w14:textId="77777777"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17D66981" w14:textId="77777777" w:rsidR="00F871A0" w:rsidRDefault="00F871A0" w:rsidP="00F871A0">
                      <w:pPr>
                        <w:rPr>
                          <w:sz w:val="16"/>
                          <w:szCs w:val="16"/>
                        </w:rPr>
                      </w:pPr>
                    </w:p>
                    <w:p w14:paraId="179A42D9" w14:textId="77777777" w:rsidR="00F871A0" w:rsidRPr="008619B3" w:rsidRDefault="00F871A0" w:rsidP="00F871A0">
                      <w:pPr>
                        <w:rPr>
                          <w:b/>
                          <w:sz w:val="16"/>
                          <w:szCs w:val="16"/>
                        </w:rPr>
                      </w:pPr>
                      <w:r w:rsidRPr="008619B3">
                        <w:rPr>
                          <w:b/>
                          <w:sz w:val="16"/>
                          <w:szCs w:val="16"/>
                        </w:rPr>
                        <w:t>COPYRIGHT</w:t>
                      </w:r>
                    </w:p>
                    <w:p w14:paraId="14032F2A" w14:textId="6EFFB4A8" w:rsidR="00F871A0" w:rsidRDefault="00F871A0" w:rsidP="00F871A0">
                      <w:pPr>
                        <w:rPr>
                          <w:sz w:val="16"/>
                          <w:szCs w:val="16"/>
                        </w:rPr>
                      </w:pPr>
                      <w:r w:rsidRPr="008619B3">
                        <w:rPr>
                          <w:sz w:val="16"/>
                          <w:szCs w:val="16"/>
                        </w:rPr>
                        <w:t xml:space="preserve">© Curtin University </w:t>
                      </w:r>
                      <w:r w:rsidRPr="00333816">
                        <w:rPr>
                          <w:sz w:val="16"/>
                          <w:szCs w:val="16"/>
                        </w:rPr>
                        <w:t>202</w:t>
                      </w:r>
                      <w:r w:rsidR="00BF48E1">
                        <w:rPr>
                          <w:sz w:val="16"/>
                          <w:szCs w:val="16"/>
                        </w:rPr>
                        <w:t>6</w:t>
                      </w:r>
                    </w:p>
                    <w:p w14:paraId="593517CD" w14:textId="77777777" w:rsidR="00F871A0"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64DF007E" w14:textId="77777777" w:rsidR="00F871A0" w:rsidRDefault="00F871A0" w:rsidP="00F871A0">
                      <w:pPr>
                        <w:rPr>
                          <w:sz w:val="16"/>
                          <w:szCs w:val="16"/>
                        </w:rPr>
                      </w:pPr>
                      <w:r w:rsidRPr="008619B3">
                        <w:rPr>
                          <w:sz w:val="16"/>
                          <w:szCs w:val="16"/>
                        </w:rPr>
                        <w:t>CRICOS Provider Code 00301J</w:t>
                      </w:r>
                    </w:p>
                    <w:p w14:paraId="5A22C6A0" w14:textId="5B1C99D7" w:rsidR="00F871A0" w:rsidRPr="008E31EC" w:rsidRDefault="00CE4810" w:rsidP="00F871A0">
                      <w:pPr>
                        <w:rPr>
                          <w:sz w:val="16"/>
                          <w:szCs w:val="16"/>
                        </w:rPr>
                      </w:pPr>
                      <w:r>
                        <w:rPr>
                          <w:sz w:val="16"/>
                          <w:szCs w:val="16"/>
                        </w:rPr>
                        <w:t xml:space="preserve">ISBN </w:t>
                      </w:r>
                      <w:r w:rsidRPr="00CE4810">
                        <w:rPr>
                          <w:sz w:val="16"/>
                          <w:szCs w:val="16"/>
                        </w:rPr>
                        <w:t>978-1-7642138-7-5</w:t>
                      </w:r>
                    </w:p>
                    <w:p w14:paraId="032AD4B3" w14:textId="77777777" w:rsidR="00F871A0" w:rsidRDefault="00F871A0" w:rsidP="00F871A0"/>
                  </w:txbxContent>
                </v:textbox>
                <w10:anchorlock/>
              </v:shape>
            </w:pict>
          </mc:Fallback>
        </mc:AlternateContent>
      </w:r>
      <w:bookmarkEnd w:id="1"/>
      <w:r w:rsidRPr="0016620E">
        <w:rPr>
          <w:rFonts w:cs="Arial"/>
        </w:rPr>
        <w:br w:type="page"/>
      </w:r>
    </w:p>
    <w:p w14:paraId="7A567A2B" w14:textId="77777777" w:rsidR="008C7722" w:rsidRPr="0016620E" w:rsidRDefault="008C7722" w:rsidP="004D121F">
      <w:pPr>
        <w:pStyle w:val="Heading1"/>
        <w:numPr>
          <w:ilvl w:val="0"/>
          <w:numId w:val="0"/>
        </w:numPr>
      </w:pPr>
      <w:bookmarkStart w:id="2" w:name="_Ref184722345"/>
      <w:bookmarkStart w:id="3" w:name="_Toc222998755"/>
      <w:r w:rsidRPr="0016620E">
        <w:lastRenderedPageBreak/>
        <w:t>Acknowledgement of Country</w:t>
      </w:r>
      <w:bookmarkEnd w:id="0"/>
      <w:bookmarkEnd w:id="2"/>
      <w:bookmarkEnd w:id="3"/>
    </w:p>
    <w:p w14:paraId="6299BDC1" w14:textId="77777777" w:rsidR="0073342F" w:rsidRPr="0016620E" w:rsidRDefault="00FB6831" w:rsidP="00DB7731">
      <w:pPr>
        <w:spacing w:line="240" w:lineRule="auto"/>
        <w:rPr>
          <w:rFonts w:cs="Arial"/>
          <w:sz w:val="28"/>
          <w:szCs w:val="28"/>
        </w:rPr>
      </w:pPr>
      <w:r w:rsidRPr="0016620E">
        <w:rPr>
          <w:rFonts w:cs="Arial"/>
          <w:sz w:val="28"/>
          <w:szCs w:val="28"/>
        </w:rPr>
        <w:t>The Australian Centre for Student Equity and Success acknowledges Indigenous peoples across Australia as the Traditional Owners of the lands on which the nation’s campuses are situated. With a history spanning more than 60,000 years as the original educators, Indigenous peoples hold a unique place in our nation. We recognise the importance of their knowledge and culture, and reflect the principles of participation, equity, and cultural respect in our work. We pay our respects to Elders past, present, and future, and consider it an honour to learn from our Indigenous colleagues, partners, and friends.</w:t>
      </w:r>
    </w:p>
    <w:p w14:paraId="3F1171F3" w14:textId="77777777" w:rsidR="0073342F" w:rsidRPr="0016620E" w:rsidRDefault="0073342F">
      <w:pPr>
        <w:spacing w:line="259" w:lineRule="auto"/>
        <w:rPr>
          <w:rFonts w:cs="Arial"/>
          <w:sz w:val="28"/>
          <w:szCs w:val="28"/>
        </w:rPr>
      </w:pPr>
      <w:r w:rsidRPr="0016620E">
        <w:rPr>
          <w:rFonts w:cs="Arial"/>
          <w:sz w:val="28"/>
          <w:szCs w:val="28"/>
        </w:rPr>
        <w:br w:type="page"/>
      </w:r>
    </w:p>
    <w:p w14:paraId="62104B78" w14:textId="77777777" w:rsidR="002D5BEE" w:rsidRDefault="002D5BEE" w:rsidP="002D5BEE">
      <w:pPr>
        <w:pStyle w:val="headingnotitTOC"/>
      </w:pPr>
      <w:r>
        <w:lastRenderedPageBreak/>
        <w:t>At a glance</w:t>
      </w:r>
    </w:p>
    <w:p w14:paraId="262C296A" w14:textId="77777777" w:rsidR="002D5BEE" w:rsidRPr="0039644F" w:rsidRDefault="002D5BEE" w:rsidP="002D5BEE">
      <w:pPr>
        <w:spacing w:after="60"/>
        <w:rPr>
          <w:b/>
          <w:bCs/>
          <w:color w:val="6B3B57" w:themeColor="accent2"/>
          <w:sz w:val="24"/>
          <w:szCs w:val="28"/>
        </w:rPr>
      </w:pPr>
      <w:r w:rsidRPr="0039644F">
        <w:rPr>
          <w:b/>
          <w:bCs/>
          <w:color w:val="6B3B57" w:themeColor="accent2"/>
          <w:sz w:val="24"/>
          <w:szCs w:val="28"/>
        </w:rPr>
        <w:t>What we did</w:t>
      </w:r>
    </w:p>
    <w:p w14:paraId="073D93CA" w14:textId="6ADCB20B" w:rsidR="002D5BEE" w:rsidRPr="00BF48E1" w:rsidRDefault="008D0B58" w:rsidP="00BF48E1">
      <w:pPr>
        <w:spacing w:line="276" w:lineRule="auto"/>
        <w:rPr>
          <w:rFonts w:eastAsia="Arial" w:cs="Arial"/>
          <w:w w:val="105"/>
          <w:kern w:val="0"/>
          <w14:ligatures w14:val="none"/>
        </w:rPr>
      </w:pPr>
      <w:r w:rsidRPr="005C2C69">
        <w:rPr>
          <w:rFonts w:eastAsia="Arial" w:cs="Arial"/>
          <w:w w:val="105"/>
          <w:kern w:val="0"/>
          <w14:ligatures w14:val="none"/>
        </w:rPr>
        <w:t xml:space="preserve">Using data from multiple waves of the </w:t>
      </w:r>
      <w:r w:rsidR="009F5141" w:rsidRPr="0026502A">
        <w:rPr>
          <w:rFonts w:cs="Arial"/>
        </w:rPr>
        <w:t>Household, Income and Labour Dynamics in Australia</w:t>
      </w:r>
      <w:r w:rsidR="009F5141" w:rsidRPr="005C2C69">
        <w:rPr>
          <w:rFonts w:eastAsia="Arial" w:cs="Arial"/>
          <w:w w:val="105"/>
          <w:kern w:val="0"/>
          <w14:ligatures w14:val="none"/>
        </w:rPr>
        <w:t xml:space="preserve"> </w:t>
      </w:r>
      <w:r w:rsidR="009F5141">
        <w:rPr>
          <w:rFonts w:eastAsia="Arial" w:cs="Arial"/>
          <w:w w:val="105"/>
          <w:kern w:val="0"/>
          <w14:ligatures w14:val="none"/>
        </w:rPr>
        <w:t>(</w:t>
      </w:r>
      <w:r w:rsidRPr="005C2C69">
        <w:rPr>
          <w:rFonts w:eastAsia="Arial" w:cs="Arial"/>
          <w:w w:val="105"/>
          <w:kern w:val="0"/>
          <w14:ligatures w14:val="none"/>
        </w:rPr>
        <w:t>HILDA</w:t>
      </w:r>
      <w:r w:rsidR="009F5141">
        <w:rPr>
          <w:rFonts w:eastAsia="Arial" w:cs="Arial"/>
          <w:w w:val="105"/>
          <w:kern w:val="0"/>
          <w14:ligatures w14:val="none"/>
        </w:rPr>
        <w:t>)</w:t>
      </w:r>
      <w:r w:rsidRPr="005C2C69">
        <w:rPr>
          <w:rFonts w:eastAsia="Arial" w:cs="Arial"/>
          <w:w w:val="105"/>
          <w:kern w:val="0"/>
          <w14:ligatures w14:val="none"/>
        </w:rPr>
        <w:t xml:space="preserve"> </w:t>
      </w:r>
      <w:r w:rsidR="00CD560A">
        <w:rPr>
          <w:rFonts w:eastAsia="Arial" w:cs="Arial"/>
          <w:w w:val="105"/>
          <w:kern w:val="0"/>
          <w14:ligatures w14:val="none"/>
        </w:rPr>
        <w:t>S</w:t>
      </w:r>
      <w:r w:rsidRPr="005C2C69">
        <w:rPr>
          <w:rFonts w:eastAsia="Arial" w:cs="Arial"/>
          <w:w w:val="105"/>
          <w:kern w:val="0"/>
          <w14:ligatures w14:val="none"/>
        </w:rPr>
        <w:t xml:space="preserve">urvey, this study empirically examined the long-term labour market outcomes of university graduates from </w:t>
      </w:r>
      <w:r>
        <w:rPr>
          <w:rFonts w:eastAsia="Arial" w:cs="Arial"/>
          <w:w w:val="105"/>
          <w:kern w:val="0"/>
          <w14:ligatures w14:val="none"/>
        </w:rPr>
        <w:t>different socio</w:t>
      </w:r>
      <w:r w:rsidR="00C84724">
        <w:rPr>
          <w:rFonts w:eastAsia="Arial" w:cs="Arial"/>
          <w:w w:val="105"/>
          <w:kern w:val="0"/>
          <w14:ligatures w14:val="none"/>
        </w:rPr>
        <w:t>-</w:t>
      </w:r>
      <w:r>
        <w:rPr>
          <w:rFonts w:eastAsia="Arial" w:cs="Arial"/>
          <w:w w:val="105"/>
          <w:kern w:val="0"/>
          <w14:ligatures w14:val="none"/>
        </w:rPr>
        <w:t xml:space="preserve">economic </w:t>
      </w:r>
      <w:r w:rsidRPr="00BD38F3">
        <w:rPr>
          <w:rFonts w:eastAsia="Arial" w:cs="Arial"/>
          <w:w w:val="105"/>
          <w:kern w:val="0"/>
          <w14:ligatures w14:val="none"/>
        </w:rPr>
        <w:t>backgrounds</w:t>
      </w:r>
      <w:r w:rsidRPr="005C2C69">
        <w:rPr>
          <w:rFonts w:eastAsia="Arial" w:cs="Arial"/>
          <w:w w:val="105"/>
          <w:kern w:val="0"/>
          <w14:ligatures w14:val="none"/>
        </w:rPr>
        <w:t>, with a particular focus on the role of subject choice at university.</w:t>
      </w:r>
      <w:r>
        <w:rPr>
          <w:rFonts w:eastAsia="Arial" w:cs="Arial"/>
          <w:w w:val="105"/>
          <w:kern w:val="0"/>
          <w14:ligatures w14:val="none"/>
        </w:rPr>
        <w:t xml:space="preserve"> </w:t>
      </w:r>
      <w:r w:rsidR="00AA4ED7">
        <w:rPr>
          <w:rFonts w:eastAsia="Arial" w:cs="Arial"/>
          <w:w w:val="105"/>
          <w:kern w:val="0"/>
          <w14:ligatures w14:val="none"/>
        </w:rPr>
        <w:t xml:space="preserve">Our </w:t>
      </w:r>
      <w:r w:rsidR="00AA4ED7" w:rsidRPr="00BE77EB">
        <w:rPr>
          <w:w w:val="105"/>
        </w:rPr>
        <w:t>sample comprise</w:t>
      </w:r>
      <w:r>
        <w:rPr>
          <w:w w:val="105"/>
        </w:rPr>
        <w:t>d</w:t>
      </w:r>
      <w:r w:rsidR="009F5141">
        <w:rPr>
          <w:w w:val="105"/>
        </w:rPr>
        <w:t xml:space="preserve"> of</w:t>
      </w:r>
      <w:r w:rsidR="00AA4ED7" w:rsidRPr="00BE77EB">
        <w:rPr>
          <w:w w:val="105"/>
        </w:rPr>
        <w:t xml:space="preserve"> 9</w:t>
      </w:r>
      <w:r w:rsidR="00BF48E1">
        <w:rPr>
          <w:w w:val="105"/>
        </w:rPr>
        <w:t>,</w:t>
      </w:r>
      <w:r w:rsidR="00AA4ED7" w:rsidRPr="00BE77EB">
        <w:rPr>
          <w:w w:val="105"/>
        </w:rPr>
        <w:t>810 observations for 4</w:t>
      </w:r>
      <w:r w:rsidR="00BF48E1">
        <w:rPr>
          <w:w w:val="105"/>
        </w:rPr>
        <w:t>,</w:t>
      </w:r>
      <w:r w:rsidR="00AA4ED7" w:rsidRPr="00BE77EB">
        <w:rPr>
          <w:w w:val="105"/>
        </w:rPr>
        <w:t>910 individuals</w:t>
      </w:r>
      <w:r w:rsidR="00AA4ED7">
        <w:rPr>
          <w:w w:val="105"/>
        </w:rPr>
        <w:t xml:space="preserve"> over</w:t>
      </w:r>
      <w:r w:rsidR="00AA4ED7" w:rsidRPr="00BE77EB">
        <w:rPr>
          <w:w w:val="105"/>
        </w:rPr>
        <w:t xml:space="preserve"> </w:t>
      </w:r>
      <w:r w:rsidR="00AA4ED7">
        <w:rPr>
          <w:w w:val="105"/>
        </w:rPr>
        <w:t>three HILDA waves (</w:t>
      </w:r>
      <w:r>
        <w:rPr>
          <w:w w:val="105"/>
        </w:rPr>
        <w:t xml:space="preserve">waves </w:t>
      </w:r>
      <w:r w:rsidR="00AA4ED7" w:rsidRPr="00BE77EB">
        <w:rPr>
          <w:w w:val="105"/>
        </w:rPr>
        <w:t>12, 16, and 20</w:t>
      </w:r>
      <w:r w:rsidR="00AA4ED7">
        <w:rPr>
          <w:w w:val="105"/>
        </w:rPr>
        <w:t xml:space="preserve">). </w:t>
      </w:r>
      <w:r w:rsidR="00DC28A2">
        <w:rPr>
          <w:w w:val="105"/>
        </w:rPr>
        <w:t xml:space="preserve">HILDA also </w:t>
      </w:r>
      <w:r w:rsidR="00DC28A2" w:rsidRPr="00D358C6">
        <w:rPr>
          <w:rFonts w:eastAsia="Arial" w:cs="Arial"/>
          <w:w w:val="105"/>
          <w:kern w:val="0"/>
          <w14:ligatures w14:val="none"/>
        </w:rPr>
        <w:t xml:space="preserve">provides information on 15 detailed fields of </w:t>
      </w:r>
      <w:r w:rsidR="00AA4ED7">
        <w:rPr>
          <w:rFonts w:eastAsia="Arial" w:cs="Arial"/>
          <w:w w:val="105"/>
          <w:kern w:val="0"/>
          <w14:ligatures w14:val="none"/>
        </w:rPr>
        <w:t>study</w:t>
      </w:r>
      <w:r w:rsidR="00DC28A2">
        <w:rPr>
          <w:rFonts w:eastAsia="Arial" w:cs="Arial"/>
          <w:w w:val="105"/>
          <w:kern w:val="0"/>
          <w14:ligatures w14:val="none"/>
        </w:rPr>
        <w:t xml:space="preserve">, which were </w:t>
      </w:r>
      <w:r w:rsidR="00AA4ED7">
        <w:rPr>
          <w:rFonts w:eastAsia="Arial" w:cs="Arial"/>
          <w:w w:val="105"/>
          <w:kern w:val="0"/>
          <w14:ligatures w14:val="none"/>
        </w:rPr>
        <w:t>divided into</w:t>
      </w:r>
      <w:r w:rsidR="00AA4ED7" w:rsidRPr="00AF0E47">
        <w:rPr>
          <w:rFonts w:eastAsia="Arial" w:cs="Arial"/>
          <w:w w:val="105"/>
          <w:kern w:val="0"/>
          <w14:ligatures w14:val="none"/>
        </w:rPr>
        <w:t xml:space="preserve"> high-, middle-, and low-paying</w:t>
      </w:r>
      <w:r>
        <w:rPr>
          <w:rFonts w:eastAsia="Arial" w:cs="Arial"/>
          <w:w w:val="105"/>
          <w:kern w:val="0"/>
          <w14:ligatures w14:val="none"/>
        </w:rPr>
        <w:t xml:space="preserve"> </w:t>
      </w:r>
      <w:r w:rsidR="00DC28A2">
        <w:rPr>
          <w:w w:val="105"/>
        </w:rPr>
        <w:t>categories, with</w:t>
      </w:r>
      <w:r>
        <w:rPr>
          <w:w w:val="105"/>
        </w:rPr>
        <w:t xml:space="preserve"> </w:t>
      </w:r>
      <w:r w:rsidR="00AA4ED7" w:rsidRPr="00AF0E47">
        <w:rPr>
          <w:rFonts w:eastAsia="Arial" w:cs="Arial"/>
          <w:w w:val="105"/>
          <w:kern w:val="0"/>
          <w14:ligatures w14:val="none"/>
        </w:rPr>
        <w:t xml:space="preserve">each </w:t>
      </w:r>
      <w:r w:rsidR="00DC28A2">
        <w:rPr>
          <w:rFonts w:eastAsia="Arial" w:cs="Arial"/>
          <w:w w:val="105"/>
          <w:kern w:val="0"/>
          <w14:ligatures w14:val="none"/>
        </w:rPr>
        <w:t xml:space="preserve">category </w:t>
      </w:r>
      <w:r w:rsidR="00AA4ED7" w:rsidRPr="00AF0E47">
        <w:rPr>
          <w:rFonts w:eastAsia="Arial" w:cs="Arial"/>
          <w:w w:val="105"/>
          <w:kern w:val="0"/>
          <w14:ligatures w14:val="none"/>
        </w:rPr>
        <w:t>containing five fields</w:t>
      </w:r>
      <w:r w:rsidR="002D5BEE">
        <w:t>.</w:t>
      </w:r>
    </w:p>
    <w:p w14:paraId="605B5C69" w14:textId="77777777" w:rsidR="002D5BEE" w:rsidRDefault="002D5BEE" w:rsidP="002D5BEE">
      <w:pPr>
        <w:spacing w:before="240" w:after="60"/>
        <w:rPr>
          <w:b/>
          <w:bCs/>
          <w:color w:val="6B3B57" w:themeColor="accent2"/>
          <w:sz w:val="24"/>
          <w:szCs w:val="28"/>
        </w:rPr>
      </w:pPr>
      <w:r w:rsidRPr="0039644F">
        <w:rPr>
          <w:b/>
          <w:bCs/>
          <w:color w:val="6B3B57" w:themeColor="accent2"/>
          <w:sz w:val="24"/>
          <w:szCs w:val="28"/>
        </w:rPr>
        <w:t>What we found</w:t>
      </w:r>
    </w:p>
    <w:p w14:paraId="14876999" w14:textId="7B7B7BEE" w:rsidR="008D0B58" w:rsidRPr="00BF48E1" w:rsidRDefault="008D0B58" w:rsidP="00BF48E1">
      <w:pPr>
        <w:pStyle w:val="ListParagraph"/>
        <w:numPr>
          <w:ilvl w:val="0"/>
          <w:numId w:val="38"/>
        </w:numPr>
        <w:spacing w:line="276" w:lineRule="auto"/>
        <w:ind w:left="426"/>
        <w:rPr>
          <w:rFonts w:eastAsia="Arial" w:cs="Arial"/>
          <w:w w:val="105"/>
          <w:kern w:val="0"/>
          <w14:ligatures w14:val="none"/>
        </w:rPr>
      </w:pPr>
      <w:r w:rsidRPr="00BF48E1">
        <w:rPr>
          <w:rFonts w:eastAsia="Arial" w:cs="Arial"/>
          <w:w w:val="105"/>
          <w:kern w:val="0"/>
          <w14:ligatures w14:val="none"/>
        </w:rPr>
        <w:t xml:space="preserve">The labour market outcomes of graduates varied according to their field of study. </w:t>
      </w:r>
      <w:r w:rsidR="002F6A7C">
        <w:rPr>
          <w:rFonts w:eastAsia="Arial" w:cs="Arial"/>
          <w:w w:val="105"/>
          <w:kern w:val="0"/>
          <w14:ligatures w14:val="none"/>
        </w:rPr>
        <w:t>S</w:t>
      </w:r>
      <w:r w:rsidRPr="00BF48E1">
        <w:rPr>
          <w:rFonts w:eastAsia="Arial" w:cs="Arial"/>
          <w:w w:val="105"/>
          <w:kern w:val="0"/>
          <w14:ligatures w14:val="none"/>
        </w:rPr>
        <w:t>ome fields offer more robust employment opportunities, higher earnings, and greater job satisfaction than others.</w:t>
      </w:r>
    </w:p>
    <w:p w14:paraId="29EADA24" w14:textId="25956AEB" w:rsidR="008D0B58" w:rsidRPr="00BF48E1" w:rsidRDefault="008D0B58" w:rsidP="00BF48E1">
      <w:pPr>
        <w:pStyle w:val="ListParagraph"/>
        <w:numPr>
          <w:ilvl w:val="0"/>
          <w:numId w:val="38"/>
        </w:numPr>
        <w:spacing w:line="276" w:lineRule="auto"/>
        <w:ind w:left="426"/>
        <w:rPr>
          <w:rFonts w:eastAsia="Arial" w:cs="Arial"/>
          <w:w w:val="105"/>
          <w:kern w:val="0"/>
          <w14:ligatures w14:val="none"/>
        </w:rPr>
      </w:pPr>
      <w:r w:rsidRPr="00BF48E1">
        <w:rPr>
          <w:rFonts w:eastAsia="Arial" w:cs="Arial"/>
          <w:w w:val="105"/>
          <w:kern w:val="0"/>
          <w14:ligatures w14:val="none"/>
        </w:rPr>
        <w:t>We found that</w:t>
      </w:r>
      <w:r w:rsidR="002F6A7C">
        <w:rPr>
          <w:rFonts w:eastAsia="Arial" w:cs="Arial"/>
          <w:w w:val="105"/>
          <w:kern w:val="0"/>
          <w14:ligatures w14:val="none"/>
        </w:rPr>
        <w:t xml:space="preserve"> </w:t>
      </w:r>
      <w:r w:rsidRPr="00BF48E1">
        <w:rPr>
          <w:rFonts w:eastAsia="Arial" w:cs="Arial"/>
          <w:w w:val="105"/>
          <w:kern w:val="0"/>
          <w14:ligatures w14:val="none"/>
        </w:rPr>
        <w:t xml:space="preserve">coming from a non-English-speaking background (NESB) was the only significant </w:t>
      </w:r>
      <w:r w:rsidR="002F6A7C">
        <w:rPr>
          <w:rFonts w:eastAsia="Arial" w:cs="Arial"/>
          <w:w w:val="105"/>
          <w:kern w:val="0"/>
          <w14:ligatures w14:val="none"/>
        </w:rPr>
        <w:t>socio</w:t>
      </w:r>
      <w:r w:rsidR="0097512D">
        <w:rPr>
          <w:rFonts w:eastAsia="Arial" w:cs="Arial"/>
          <w:w w:val="105"/>
          <w:kern w:val="0"/>
          <w14:ligatures w14:val="none"/>
        </w:rPr>
        <w:t>-</w:t>
      </w:r>
      <w:r w:rsidR="002F6A7C">
        <w:rPr>
          <w:rFonts w:eastAsia="Arial" w:cs="Arial"/>
          <w:w w:val="105"/>
          <w:kern w:val="0"/>
          <w14:ligatures w14:val="none"/>
        </w:rPr>
        <w:t xml:space="preserve">economic </w:t>
      </w:r>
      <w:r w:rsidRPr="00BF48E1">
        <w:rPr>
          <w:rFonts w:eastAsia="Arial" w:cs="Arial"/>
          <w:w w:val="105"/>
          <w:kern w:val="0"/>
          <w14:ligatures w14:val="none"/>
        </w:rPr>
        <w:t>predictor of field-of-study choice. NESB students were more likely to choose high-paying fields and less likely to choose low-paying fields, suggesting that they are not disadvantaged in education. In contrast, the other four measures of socio</w:t>
      </w:r>
      <w:r w:rsidR="0097512D">
        <w:rPr>
          <w:rFonts w:eastAsia="Arial" w:cs="Arial"/>
          <w:w w:val="105"/>
          <w:kern w:val="0"/>
          <w14:ligatures w14:val="none"/>
        </w:rPr>
        <w:t>-</w:t>
      </w:r>
      <w:r w:rsidRPr="00BF48E1">
        <w:rPr>
          <w:rFonts w:eastAsia="Arial" w:cs="Arial"/>
          <w:w w:val="105"/>
          <w:kern w:val="0"/>
          <w14:ligatures w14:val="none"/>
        </w:rPr>
        <w:t>economic backgrounds</w:t>
      </w:r>
      <w:r w:rsidRPr="002F6A7C">
        <w:rPr>
          <w:w w:val="105"/>
        </w:rPr>
        <w:t xml:space="preserve"> </w:t>
      </w:r>
      <w:r w:rsidRPr="00BF48E1">
        <w:rPr>
          <w:rFonts w:eastAsia="Arial" w:cs="Arial"/>
          <w:w w:val="105"/>
          <w:kern w:val="0"/>
          <w14:ligatures w14:val="none"/>
        </w:rPr>
        <w:t>(namely</w:t>
      </w:r>
      <w:r w:rsidR="00BF48E1">
        <w:rPr>
          <w:rFonts w:eastAsia="Arial" w:cs="Arial"/>
          <w:w w:val="105"/>
          <w:kern w:val="0"/>
          <w14:ligatures w14:val="none"/>
        </w:rPr>
        <w:t>,</w:t>
      </w:r>
      <w:r w:rsidRPr="00BF48E1">
        <w:rPr>
          <w:rFonts w:eastAsia="Arial" w:cs="Arial"/>
          <w:w w:val="105"/>
          <w:kern w:val="0"/>
          <w14:ligatures w14:val="none"/>
        </w:rPr>
        <w:t xml:space="preserve"> Indigenous origin, low </w:t>
      </w:r>
      <w:r w:rsidR="009F5141">
        <w:rPr>
          <w:rFonts w:eastAsia="Arial" w:cs="Arial"/>
          <w:w w:val="105"/>
          <w:kern w:val="0"/>
          <w14:ligatures w14:val="none"/>
        </w:rPr>
        <w:t>socio</w:t>
      </w:r>
      <w:r w:rsidR="0097512D">
        <w:rPr>
          <w:rFonts w:eastAsia="Arial" w:cs="Arial"/>
          <w:w w:val="105"/>
          <w:kern w:val="0"/>
          <w14:ligatures w14:val="none"/>
        </w:rPr>
        <w:t>-</w:t>
      </w:r>
      <w:r w:rsidR="009F5141">
        <w:rPr>
          <w:rFonts w:eastAsia="Arial" w:cs="Arial"/>
          <w:w w:val="105"/>
          <w:kern w:val="0"/>
          <w14:ligatures w14:val="none"/>
        </w:rPr>
        <w:t>economic status (</w:t>
      </w:r>
      <w:r w:rsidRPr="00BF48E1">
        <w:rPr>
          <w:rFonts w:eastAsia="Arial" w:cs="Arial"/>
          <w:w w:val="105"/>
          <w:kern w:val="0"/>
          <w14:ligatures w14:val="none"/>
        </w:rPr>
        <w:t>SES</w:t>
      </w:r>
      <w:r w:rsidR="009F5141">
        <w:rPr>
          <w:rFonts w:eastAsia="Arial" w:cs="Arial"/>
          <w:w w:val="105"/>
          <w:kern w:val="0"/>
          <w14:ligatures w14:val="none"/>
        </w:rPr>
        <w:t>)</w:t>
      </w:r>
      <w:r w:rsidRPr="00BF48E1">
        <w:rPr>
          <w:rFonts w:eastAsia="Arial" w:cs="Arial"/>
          <w:w w:val="105"/>
          <w:kern w:val="0"/>
          <w14:ligatures w14:val="none"/>
        </w:rPr>
        <w:t xml:space="preserve"> in childhood, father’s unemployment experience during childhood, and living in a single-parent family at age 14</w:t>
      </w:r>
      <w:r w:rsidR="00BF48E1">
        <w:rPr>
          <w:rFonts w:eastAsia="Arial" w:cs="Arial"/>
          <w:w w:val="105"/>
          <w:kern w:val="0"/>
          <w14:ligatures w14:val="none"/>
        </w:rPr>
        <w:t>)</w:t>
      </w:r>
      <w:r w:rsidRPr="00BF48E1">
        <w:rPr>
          <w:rFonts w:eastAsia="Arial" w:cs="Arial"/>
          <w:w w:val="105"/>
          <w:kern w:val="0"/>
          <w14:ligatures w14:val="none"/>
        </w:rPr>
        <w:t xml:space="preserve"> had negligible effects on the likelihood of choosing a high- or low-paying field of study.  </w:t>
      </w:r>
    </w:p>
    <w:p w14:paraId="60B596FD" w14:textId="398F8988" w:rsidR="008D0B58" w:rsidRPr="00BF48E1" w:rsidRDefault="008D0B58" w:rsidP="00BF48E1">
      <w:pPr>
        <w:pStyle w:val="ListParagraph"/>
        <w:numPr>
          <w:ilvl w:val="0"/>
          <w:numId w:val="38"/>
        </w:numPr>
        <w:spacing w:line="276" w:lineRule="auto"/>
        <w:ind w:left="426"/>
        <w:rPr>
          <w:rFonts w:eastAsia="Arial" w:cs="Arial"/>
          <w:w w:val="105"/>
          <w:kern w:val="0"/>
          <w14:ligatures w14:val="none"/>
        </w:rPr>
      </w:pPr>
      <w:r w:rsidRPr="00BF48E1">
        <w:rPr>
          <w:rFonts w:eastAsia="Arial" w:cs="Arial"/>
          <w:w w:val="105"/>
          <w:kern w:val="0"/>
          <w14:ligatures w14:val="none"/>
        </w:rPr>
        <w:t>Of the five socio</w:t>
      </w:r>
      <w:r w:rsidR="0097512D">
        <w:rPr>
          <w:rFonts w:eastAsia="Arial" w:cs="Arial"/>
          <w:w w:val="105"/>
          <w:kern w:val="0"/>
          <w14:ligatures w14:val="none"/>
        </w:rPr>
        <w:t>-</w:t>
      </w:r>
      <w:r w:rsidRPr="00BF48E1">
        <w:rPr>
          <w:rFonts w:eastAsia="Arial" w:cs="Arial"/>
          <w:w w:val="105"/>
          <w:kern w:val="0"/>
          <w14:ligatures w14:val="none"/>
        </w:rPr>
        <w:t xml:space="preserve">economic backgrounds analysed, the </w:t>
      </w:r>
      <w:r w:rsidR="002F6A7C">
        <w:rPr>
          <w:rFonts w:eastAsia="Arial" w:cs="Arial"/>
          <w:w w:val="105"/>
          <w:kern w:val="0"/>
          <w14:ligatures w14:val="none"/>
        </w:rPr>
        <w:t xml:space="preserve">labour market </w:t>
      </w:r>
      <w:r w:rsidRPr="00BF48E1">
        <w:rPr>
          <w:rFonts w:eastAsia="Arial" w:cs="Arial"/>
          <w:w w:val="105"/>
          <w:kern w:val="0"/>
          <w14:ligatures w14:val="none"/>
        </w:rPr>
        <w:t xml:space="preserve">challenges faced by NESB workers were the most pronounced. In comparison with their </w:t>
      </w:r>
      <w:r w:rsidR="00BF48E1">
        <w:rPr>
          <w:rFonts w:eastAsia="Arial" w:cs="Arial"/>
          <w:w w:val="105"/>
          <w:kern w:val="0"/>
          <w14:ligatures w14:val="none"/>
        </w:rPr>
        <w:t>English-speaking background (</w:t>
      </w:r>
      <w:r w:rsidRPr="00BF48E1">
        <w:rPr>
          <w:rFonts w:eastAsia="Arial" w:cs="Arial"/>
          <w:w w:val="105"/>
          <w:kern w:val="0"/>
          <w14:ligatures w14:val="none"/>
        </w:rPr>
        <w:t>ESB</w:t>
      </w:r>
      <w:r w:rsidR="00BF48E1">
        <w:rPr>
          <w:rFonts w:eastAsia="Arial" w:cs="Arial"/>
          <w:w w:val="105"/>
          <w:kern w:val="0"/>
          <w14:ligatures w14:val="none"/>
        </w:rPr>
        <w:t>)</w:t>
      </w:r>
      <w:r w:rsidRPr="00BF48E1">
        <w:rPr>
          <w:rFonts w:eastAsia="Arial" w:cs="Arial"/>
          <w:w w:val="105"/>
          <w:kern w:val="0"/>
          <w14:ligatures w14:val="none"/>
        </w:rPr>
        <w:t xml:space="preserve"> counterparts, NESB workers were less likely to be in managerial or professional occupations and had significantly lower weekly earnings. </w:t>
      </w:r>
      <w:r w:rsidR="002F6A7C" w:rsidRPr="00BF48E1">
        <w:rPr>
          <w:rFonts w:eastAsia="Arial" w:cs="Arial"/>
          <w:w w:val="105"/>
          <w:kern w:val="0"/>
          <w14:ligatures w14:val="none"/>
        </w:rPr>
        <w:t>F</w:t>
      </w:r>
      <w:r w:rsidRPr="00BF48E1">
        <w:rPr>
          <w:rFonts w:eastAsia="Arial" w:cs="Arial"/>
          <w:w w:val="105"/>
          <w:kern w:val="0"/>
          <w14:ligatures w14:val="none"/>
        </w:rPr>
        <w:t>or NESB graduates</w:t>
      </w:r>
      <w:r w:rsidR="002F6A7C" w:rsidRPr="00BF48E1">
        <w:rPr>
          <w:rFonts w:eastAsia="Arial" w:cs="Arial"/>
          <w:w w:val="105"/>
          <w:kern w:val="0"/>
          <w14:ligatures w14:val="none"/>
        </w:rPr>
        <w:t>, t</w:t>
      </w:r>
      <w:r w:rsidRPr="00BF48E1">
        <w:rPr>
          <w:rFonts w:eastAsia="Arial" w:cs="Arial"/>
          <w:w w:val="105"/>
          <w:kern w:val="0"/>
          <w14:ligatures w14:val="none"/>
        </w:rPr>
        <w:t>heir choice of high-paying fields helped to narrow the earnings gap and improve their employment prospects</w:t>
      </w:r>
      <w:r w:rsidR="002F6A7C">
        <w:rPr>
          <w:rFonts w:eastAsia="Arial" w:cs="Arial"/>
          <w:w w:val="105"/>
          <w:kern w:val="0"/>
          <w14:ligatures w14:val="none"/>
        </w:rPr>
        <w:t xml:space="preserve"> but</w:t>
      </w:r>
      <w:r w:rsidRPr="00BF48E1">
        <w:rPr>
          <w:rFonts w:eastAsia="Arial" w:cs="Arial"/>
          <w:w w:val="105"/>
          <w:kern w:val="0"/>
          <w14:ligatures w14:val="none"/>
        </w:rPr>
        <w:t xml:space="preserve"> did not fully close the earnings gap between NESB and ESB graduates. For other disadvantaged groups, the influence of field of study appeared limited, possibly because their field-of-study choices did not differ substantially from those of their non-disadvantaged counterparts.</w:t>
      </w:r>
    </w:p>
    <w:p w14:paraId="2D86FDB9" w14:textId="77777777" w:rsidR="002D5BEE" w:rsidRPr="0039644F" w:rsidRDefault="002D5BEE" w:rsidP="002D5BEE">
      <w:pPr>
        <w:spacing w:before="240" w:after="60"/>
        <w:rPr>
          <w:b/>
          <w:bCs/>
          <w:color w:val="6B3B57" w:themeColor="accent2"/>
          <w:sz w:val="24"/>
          <w:szCs w:val="28"/>
        </w:rPr>
      </w:pPr>
      <w:r w:rsidRPr="0039644F">
        <w:rPr>
          <w:b/>
          <w:bCs/>
          <w:color w:val="6B3B57" w:themeColor="accent2"/>
          <w:sz w:val="24"/>
          <w:szCs w:val="28"/>
        </w:rPr>
        <w:t>What we recommend</w:t>
      </w:r>
    </w:p>
    <w:p w14:paraId="34F0DFD7" w14:textId="77777777" w:rsidR="002F6A7C" w:rsidRDefault="002F6A7C" w:rsidP="00BF48E1">
      <w:pPr>
        <w:pStyle w:val="ListParagraph"/>
        <w:numPr>
          <w:ilvl w:val="0"/>
          <w:numId w:val="39"/>
        </w:numPr>
        <w:spacing w:line="276" w:lineRule="auto"/>
        <w:ind w:left="426"/>
        <w:rPr>
          <w:rFonts w:eastAsia="Arial" w:cs="Arial"/>
          <w:w w:val="105"/>
          <w:kern w:val="0"/>
          <w14:ligatures w14:val="none"/>
        </w:rPr>
      </w:pPr>
      <w:r w:rsidRPr="00BF48E1">
        <w:rPr>
          <w:rFonts w:eastAsia="Arial" w:cs="Arial"/>
          <w:w w:val="105"/>
          <w:kern w:val="0"/>
          <w14:ligatures w14:val="none"/>
        </w:rPr>
        <w:t xml:space="preserve">More and clear career guidance and access to information should be provided for students from disadvantaged backgrounds. </w:t>
      </w:r>
    </w:p>
    <w:p w14:paraId="13949D87" w14:textId="77777777" w:rsidR="002F6A7C" w:rsidRDefault="002F6A7C" w:rsidP="00BF48E1">
      <w:pPr>
        <w:pStyle w:val="ListParagraph"/>
        <w:numPr>
          <w:ilvl w:val="0"/>
          <w:numId w:val="39"/>
        </w:numPr>
        <w:spacing w:line="276" w:lineRule="auto"/>
        <w:ind w:left="426"/>
        <w:rPr>
          <w:rFonts w:eastAsia="Arial" w:cs="Arial"/>
          <w:w w:val="105"/>
          <w:kern w:val="0"/>
          <w14:ligatures w14:val="none"/>
        </w:rPr>
      </w:pPr>
      <w:r w:rsidRPr="00BF48E1">
        <w:rPr>
          <w:rFonts w:eastAsia="Arial" w:cs="Arial"/>
          <w:w w:val="105"/>
          <w:kern w:val="0"/>
          <w14:ligatures w14:val="none"/>
        </w:rPr>
        <w:t xml:space="preserve">Targeted support is needed to increase the representation of disadvantaged students in high-return disciplines at university. </w:t>
      </w:r>
    </w:p>
    <w:p w14:paraId="48676898" w14:textId="77777777" w:rsidR="002F6A7C" w:rsidRDefault="002F6A7C" w:rsidP="00BF48E1">
      <w:pPr>
        <w:pStyle w:val="ListParagraph"/>
        <w:numPr>
          <w:ilvl w:val="0"/>
          <w:numId w:val="39"/>
        </w:numPr>
        <w:spacing w:line="276" w:lineRule="auto"/>
        <w:ind w:left="426"/>
        <w:rPr>
          <w:rFonts w:eastAsia="Arial" w:cs="Arial"/>
          <w:w w:val="105"/>
          <w:kern w:val="0"/>
          <w14:ligatures w14:val="none"/>
        </w:rPr>
      </w:pPr>
      <w:r w:rsidRPr="00BF48E1">
        <w:rPr>
          <w:rFonts w:eastAsia="Arial" w:cs="Arial"/>
          <w:w w:val="105"/>
          <w:kern w:val="0"/>
          <w14:ligatures w14:val="none"/>
        </w:rPr>
        <w:t>Policymakers should develop targeted strategies to address the persistent and multifaceted challenges faced by NESB Australians in the labour market.</w:t>
      </w:r>
    </w:p>
    <w:p w14:paraId="412FE9CF" w14:textId="667F4DD9" w:rsidR="002D5BEE" w:rsidRPr="00BF48E1" w:rsidRDefault="002F6A7C" w:rsidP="00BF48E1">
      <w:pPr>
        <w:pStyle w:val="ListParagraph"/>
        <w:numPr>
          <w:ilvl w:val="0"/>
          <w:numId w:val="39"/>
        </w:numPr>
        <w:spacing w:line="276" w:lineRule="auto"/>
        <w:ind w:left="426"/>
        <w:rPr>
          <w:rFonts w:eastAsia="Arial" w:cs="Arial"/>
          <w:w w:val="105"/>
          <w:kern w:val="0"/>
          <w14:ligatures w14:val="none"/>
        </w:rPr>
      </w:pPr>
      <w:r w:rsidRPr="00BF48E1">
        <w:rPr>
          <w:rFonts w:eastAsia="Arial" w:cs="Arial"/>
          <w:w w:val="105"/>
          <w:kern w:val="0"/>
          <w14:ligatures w14:val="none"/>
        </w:rPr>
        <w:t>Governments should introduce initiatives to remove structural barriers that limit the career progression of workers from disadvantaged backgrounds, particularly NESB individuals and those who experienced low SES in childhood</w:t>
      </w:r>
      <w:r>
        <w:rPr>
          <w:rFonts w:eastAsia="Arial" w:cs="Arial"/>
          <w:w w:val="105"/>
          <w:kern w:val="0"/>
          <w14:ligatures w14:val="none"/>
        </w:rPr>
        <w:t>.</w:t>
      </w:r>
      <w:r w:rsidR="002D5BEE">
        <w:br w:type="page"/>
      </w:r>
    </w:p>
    <w:p w14:paraId="67B12BC8" w14:textId="5C72F50D" w:rsidR="00354FDF" w:rsidRPr="0016620E" w:rsidRDefault="0073342F" w:rsidP="004D121F">
      <w:pPr>
        <w:pStyle w:val="Heading1"/>
        <w:numPr>
          <w:ilvl w:val="0"/>
          <w:numId w:val="0"/>
        </w:numPr>
      </w:pPr>
      <w:bookmarkStart w:id="4" w:name="_Toc222998756"/>
      <w:r w:rsidRPr="0016620E">
        <w:lastRenderedPageBreak/>
        <w:t>Acknowledgements</w:t>
      </w:r>
      <w:bookmarkEnd w:id="4"/>
      <w:r w:rsidR="00FB6831" w:rsidRPr="0016620E">
        <w:t xml:space="preserve"> </w:t>
      </w:r>
    </w:p>
    <w:p w14:paraId="12E983B5" w14:textId="6129AFBC" w:rsidR="00354FDF" w:rsidRPr="009D53D7" w:rsidRDefault="00354FDF" w:rsidP="00BF48E1">
      <w:r w:rsidRPr="009D53D7">
        <w:t xml:space="preserve">The authors of this report are Dr Rong Zhu from the College of Business, </w:t>
      </w:r>
      <w:r w:rsidR="0072561C">
        <w:t>Creative Arts, Law and Social Sciences</w:t>
      </w:r>
      <w:r w:rsidRPr="009D53D7">
        <w:t xml:space="preserve"> at Flinders University and Professor Xiaodong Gong from the Canberra School of Politics, Economics and Society at the University of Canberra.</w:t>
      </w:r>
    </w:p>
    <w:p w14:paraId="236E6762" w14:textId="54AD2E3D" w:rsidR="00354FDF" w:rsidRPr="009D53D7" w:rsidRDefault="00354FDF" w:rsidP="00BF48E1">
      <w:r w:rsidRPr="009D53D7">
        <w:t>The authors would like to acknowledge the 2024 Small Grants Research Program of the Australian Centre for Student Equity and Success (ACSES) that made this research possible.</w:t>
      </w:r>
      <w:r w:rsidR="00FB7BD9">
        <w:t xml:space="preserve"> We also thank an anonymous reviewer and seminar participants at ACSES for very helpful comments. </w:t>
      </w:r>
    </w:p>
    <w:p w14:paraId="1B4D5324" w14:textId="0026C5CE" w:rsidR="008C7722" w:rsidRPr="0016620E" w:rsidRDefault="00354FDF" w:rsidP="00BF48E1">
      <w:r w:rsidRPr="009D53D7">
        <w:t>This report uses unit record data from the Household, Income and Labour Dynamics in Australia (HILDA) Survey. The HILDA Project was initiated and is funded by the Australian Government Department of Social Services and is managed by the Melbourne Institute of Applied Economic and Social Research (</w:t>
      </w:r>
      <w:r w:rsidR="005A66D9">
        <w:t xml:space="preserve">the </w:t>
      </w:r>
      <w:r w:rsidRPr="009D53D7">
        <w:t xml:space="preserve">Melbourne Institute). The findings and views expressed in this report are those of the authors and should not be attributed to </w:t>
      </w:r>
      <w:r w:rsidR="006F36F4" w:rsidRPr="009D53D7">
        <w:t xml:space="preserve">ACSES, </w:t>
      </w:r>
      <w:r w:rsidR="000D7A63">
        <w:t xml:space="preserve">the </w:t>
      </w:r>
      <w:r w:rsidRPr="009D53D7">
        <w:t>D</w:t>
      </w:r>
      <w:r w:rsidR="000D7A63">
        <w:t>epartment of Social Services,</w:t>
      </w:r>
      <w:r w:rsidRPr="009D53D7">
        <w:t xml:space="preserve"> the Melbourne Institute</w:t>
      </w:r>
      <w:r w:rsidR="006F36F4" w:rsidRPr="009D53D7">
        <w:t>, or the authors’ institutions</w:t>
      </w:r>
      <w:r w:rsidRPr="009D53D7">
        <w:t>.</w:t>
      </w:r>
      <w:r w:rsidR="008C7722" w:rsidRPr="0016620E">
        <w:br w:type="page"/>
      </w:r>
    </w:p>
    <w:p w14:paraId="007B5A15" w14:textId="35F4C26B" w:rsidR="008C7722" w:rsidRPr="0016620E" w:rsidRDefault="008C7722" w:rsidP="00254D72">
      <w:pPr>
        <w:pStyle w:val="Heading1"/>
        <w:numPr>
          <w:ilvl w:val="0"/>
          <w:numId w:val="0"/>
        </w:numPr>
        <w:spacing w:after="0"/>
      </w:pPr>
      <w:bookmarkStart w:id="5" w:name="_Toc170822381"/>
      <w:bookmarkStart w:id="6" w:name="_Toc222998757"/>
      <w:r w:rsidRPr="0016620E">
        <w:lastRenderedPageBreak/>
        <w:t xml:space="preserve">Table of </w:t>
      </w:r>
      <w:r w:rsidR="00E0748C">
        <w:t>c</w:t>
      </w:r>
      <w:r w:rsidRPr="0016620E">
        <w:t>ontents</w:t>
      </w:r>
      <w:bookmarkEnd w:id="5"/>
      <w:bookmarkEnd w:id="6"/>
    </w:p>
    <w:sdt>
      <w:sdtPr>
        <w:rPr>
          <w:rFonts w:eastAsiaTheme="minorHAnsi" w:cs="Arial"/>
          <w:b w:val="0"/>
          <w:kern w:val="2"/>
          <w:sz w:val="22"/>
          <w:szCs w:val="22"/>
        </w:rPr>
        <w:id w:val="-389729565"/>
        <w:docPartObj>
          <w:docPartGallery w:val="Table of Contents"/>
          <w:docPartUnique/>
        </w:docPartObj>
      </w:sdtPr>
      <w:sdtEndPr>
        <w:rPr>
          <w:noProof/>
        </w:rPr>
      </w:sdtEndPr>
      <w:sdtContent>
        <w:p w14:paraId="173B8E7B" w14:textId="77777777" w:rsidR="008C7722" w:rsidRPr="00A34FDB" w:rsidRDefault="008C7722" w:rsidP="00271D48">
          <w:pPr>
            <w:pStyle w:val="TOCHeading"/>
            <w:rPr>
              <w:rFonts w:cs="Arial"/>
            </w:rPr>
          </w:pPr>
        </w:p>
        <w:p w14:paraId="3ADFF3ED" w14:textId="735A91E3" w:rsidR="00E1181E" w:rsidRDefault="00E1181E">
          <w:pPr>
            <w:pStyle w:val="TOC1"/>
            <w:tabs>
              <w:tab w:val="right" w:leader="dot" w:pos="9016"/>
            </w:tabs>
            <w:rPr>
              <w:rFonts w:asciiTheme="minorHAnsi" w:eastAsiaTheme="minorEastAsia" w:hAnsiTheme="minorHAnsi"/>
              <w:noProof/>
              <w:sz w:val="24"/>
              <w:szCs w:val="24"/>
              <w:lang w:eastAsia="en-AU"/>
            </w:rPr>
          </w:pPr>
          <w:r>
            <w:rPr>
              <w:rFonts w:cs="Arial"/>
            </w:rPr>
            <w:fldChar w:fldCharType="begin"/>
          </w:r>
          <w:r>
            <w:rPr>
              <w:rFonts w:cs="Arial"/>
            </w:rPr>
            <w:instrText xml:space="preserve"> TOC \o "1-3" \h \z \u </w:instrText>
          </w:r>
          <w:r>
            <w:rPr>
              <w:rFonts w:cs="Arial"/>
            </w:rPr>
            <w:fldChar w:fldCharType="separate"/>
          </w:r>
          <w:hyperlink w:anchor="_Toc222998755" w:history="1">
            <w:r w:rsidRPr="00D2382B">
              <w:rPr>
                <w:rStyle w:val="Hyperlink"/>
                <w:noProof/>
              </w:rPr>
              <w:t>Acknowledgement of Country</w:t>
            </w:r>
            <w:r>
              <w:rPr>
                <w:noProof/>
                <w:webHidden/>
              </w:rPr>
              <w:tab/>
            </w:r>
            <w:r>
              <w:rPr>
                <w:noProof/>
                <w:webHidden/>
              </w:rPr>
              <w:fldChar w:fldCharType="begin"/>
            </w:r>
            <w:r>
              <w:rPr>
                <w:noProof/>
                <w:webHidden/>
              </w:rPr>
              <w:instrText xml:space="preserve"> PAGEREF _Toc222998755 \h </w:instrText>
            </w:r>
            <w:r>
              <w:rPr>
                <w:noProof/>
                <w:webHidden/>
              </w:rPr>
            </w:r>
            <w:r>
              <w:rPr>
                <w:noProof/>
                <w:webHidden/>
              </w:rPr>
              <w:fldChar w:fldCharType="separate"/>
            </w:r>
            <w:r>
              <w:rPr>
                <w:noProof/>
                <w:webHidden/>
              </w:rPr>
              <w:t>ii</w:t>
            </w:r>
            <w:r>
              <w:rPr>
                <w:noProof/>
                <w:webHidden/>
              </w:rPr>
              <w:fldChar w:fldCharType="end"/>
            </w:r>
          </w:hyperlink>
        </w:p>
        <w:p w14:paraId="3C9DA277" w14:textId="149CB7A1" w:rsidR="00E1181E" w:rsidRDefault="00E1181E">
          <w:pPr>
            <w:pStyle w:val="TOC1"/>
            <w:tabs>
              <w:tab w:val="right" w:leader="dot" w:pos="9016"/>
            </w:tabs>
            <w:rPr>
              <w:rFonts w:asciiTheme="minorHAnsi" w:eastAsiaTheme="minorEastAsia" w:hAnsiTheme="minorHAnsi"/>
              <w:noProof/>
              <w:sz w:val="24"/>
              <w:szCs w:val="24"/>
              <w:lang w:eastAsia="en-AU"/>
            </w:rPr>
          </w:pPr>
          <w:hyperlink w:anchor="_Toc222998756" w:history="1">
            <w:r w:rsidRPr="00D2382B">
              <w:rPr>
                <w:rStyle w:val="Hyperlink"/>
                <w:noProof/>
              </w:rPr>
              <w:t>Acknowledgements</w:t>
            </w:r>
            <w:r>
              <w:rPr>
                <w:noProof/>
                <w:webHidden/>
              </w:rPr>
              <w:tab/>
            </w:r>
            <w:r>
              <w:rPr>
                <w:noProof/>
                <w:webHidden/>
              </w:rPr>
              <w:fldChar w:fldCharType="begin"/>
            </w:r>
            <w:r>
              <w:rPr>
                <w:noProof/>
                <w:webHidden/>
              </w:rPr>
              <w:instrText xml:space="preserve"> PAGEREF _Toc222998756 \h </w:instrText>
            </w:r>
            <w:r>
              <w:rPr>
                <w:noProof/>
                <w:webHidden/>
              </w:rPr>
            </w:r>
            <w:r>
              <w:rPr>
                <w:noProof/>
                <w:webHidden/>
              </w:rPr>
              <w:fldChar w:fldCharType="separate"/>
            </w:r>
            <w:r>
              <w:rPr>
                <w:noProof/>
                <w:webHidden/>
              </w:rPr>
              <w:t>iv</w:t>
            </w:r>
            <w:r>
              <w:rPr>
                <w:noProof/>
                <w:webHidden/>
              </w:rPr>
              <w:fldChar w:fldCharType="end"/>
            </w:r>
          </w:hyperlink>
        </w:p>
        <w:p w14:paraId="066E8122" w14:textId="5AF1210E" w:rsidR="00E1181E" w:rsidRDefault="00E1181E">
          <w:pPr>
            <w:pStyle w:val="TOC1"/>
            <w:tabs>
              <w:tab w:val="right" w:leader="dot" w:pos="9016"/>
            </w:tabs>
            <w:rPr>
              <w:rFonts w:asciiTheme="minorHAnsi" w:eastAsiaTheme="minorEastAsia" w:hAnsiTheme="minorHAnsi"/>
              <w:noProof/>
              <w:sz w:val="24"/>
              <w:szCs w:val="24"/>
              <w:lang w:eastAsia="en-AU"/>
            </w:rPr>
          </w:pPr>
          <w:hyperlink w:anchor="_Toc222998757" w:history="1">
            <w:r w:rsidRPr="00D2382B">
              <w:rPr>
                <w:rStyle w:val="Hyperlink"/>
                <w:noProof/>
              </w:rPr>
              <w:t>Table of contents</w:t>
            </w:r>
            <w:r>
              <w:rPr>
                <w:noProof/>
                <w:webHidden/>
              </w:rPr>
              <w:tab/>
            </w:r>
            <w:r>
              <w:rPr>
                <w:noProof/>
                <w:webHidden/>
              </w:rPr>
              <w:fldChar w:fldCharType="begin"/>
            </w:r>
            <w:r>
              <w:rPr>
                <w:noProof/>
                <w:webHidden/>
              </w:rPr>
              <w:instrText xml:space="preserve"> PAGEREF _Toc222998757 \h </w:instrText>
            </w:r>
            <w:r>
              <w:rPr>
                <w:noProof/>
                <w:webHidden/>
              </w:rPr>
            </w:r>
            <w:r>
              <w:rPr>
                <w:noProof/>
                <w:webHidden/>
              </w:rPr>
              <w:fldChar w:fldCharType="separate"/>
            </w:r>
            <w:r>
              <w:rPr>
                <w:noProof/>
                <w:webHidden/>
              </w:rPr>
              <w:t>v</w:t>
            </w:r>
            <w:r>
              <w:rPr>
                <w:noProof/>
                <w:webHidden/>
              </w:rPr>
              <w:fldChar w:fldCharType="end"/>
            </w:r>
          </w:hyperlink>
        </w:p>
        <w:p w14:paraId="585C96EB" w14:textId="357ECEA6" w:rsidR="00E1181E" w:rsidRDefault="00E1181E">
          <w:pPr>
            <w:pStyle w:val="TOC2"/>
            <w:tabs>
              <w:tab w:val="right" w:leader="dot" w:pos="9016"/>
            </w:tabs>
            <w:rPr>
              <w:rFonts w:asciiTheme="minorHAnsi" w:eastAsiaTheme="minorEastAsia" w:hAnsiTheme="minorHAnsi"/>
              <w:noProof/>
              <w:sz w:val="24"/>
              <w:szCs w:val="24"/>
              <w:lang w:eastAsia="en-AU"/>
            </w:rPr>
          </w:pPr>
          <w:hyperlink w:anchor="_Toc222998758" w:history="1">
            <w:r w:rsidRPr="00D2382B">
              <w:rPr>
                <w:rStyle w:val="Hyperlink"/>
                <w:noProof/>
              </w:rPr>
              <w:t>List of tables</w:t>
            </w:r>
            <w:r>
              <w:rPr>
                <w:noProof/>
                <w:webHidden/>
              </w:rPr>
              <w:tab/>
            </w:r>
            <w:r>
              <w:rPr>
                <w:noProof/>
                <w:webHidden/>
              </w:rPr>
              <w:fldChar w:fldCharType="begin"/>
            </w:r>
            <w:r>
              <w:rPr>
                <w:noProof/>
                <w:webHidden/>
              </w:rPr>
              <w:instrText xml:space="preserve"> PAGEREF _Toc222998758 \h </w:instrText>
            </w:r>
            <w:r>
              <w:rPr>
                <w:noProof/>
                <w:webHidden/>
              </w:rPr>
            </w:r>
            <w:r>
              <w:rPr>
                <w:noProof/>
                <w:webHidden/>
              </w:rPr>
              <w:fldChar w:fldCharType="separate"/>
            </w:r>
            <w:r>
              <w:rPr>
                <w:noProof/>
                <w:webHidden/>
              </w:rPr>
              <w:t>vi</w:t>
            </w:r>
            <w:r>
              <w:rPr>
                <w:noProof/>
                <w:webHidden/>
              </w:rPr>
              <w:fldChar w:fldCharType="end"/>
            </w:r>
          </w:hyperlink>
        </w:p>
        <w:p w14:paraId="73169D98" w14:textId="5DF25C30" w:rsidR="00E1181E" w:rsidRDefault="00E1181E">
          <w:pPr>
            <w:pStyle w:val="TOC2"/>
            <w:tabs>
              <w:tab w:val="right" w:leader="dot" w:pos="9016"/>
            </w:tabs>
            <w:rPr>
              <w:rFonts w:asciiTheme="minorHAnsi" w:eastAsiaTheme="minorEastAsia" w:hAnsiTheme="minorHAnsi"/>
              <w:noProof/>
              <w:sz w:val="24"/>
              <w:szCs w:val="24"/>
              <w:lang w:eastAsia="en-AU"/>
            </w:rPr>
          </w:pPr>
          <w:hyperlink w:anchor="_Toc222998759" w:history="1">
            <w:r w:rsidRPr="00D2382B">
              <w:rPr>
                <w:rStyle w:val="Hyperlink"/>
                <w:noProof/>
              </w:rPr>
              <w:t>List of figures</w:t>
            </w:r>
            <w:r>
              <w:rPr>
                <w:noProof/>
                <w:webHidden/>
              </w:rPr>
              <w:tab/>
            </w:r>
            <w:r>
              <w:rPr>
                <w:noProof/>
                <w:webHidden/>
              </w:rPr>
              <w:fldChar w:fldCharType="begin"/>
            </w:r>
            <w:r>
              <w:rPr>
                <w:noProof/>
                <w:webHidden/>
              </w:rPr>
              <w:instrText xml:space="preserve"> PAGEREF _Toc222998759 \h </w:instrText>
            </w:r>
            <w:r>
              <w:rPr>
                <w:noProof/>
                <w:webHidden/>
              </w:rPr>
            </w:r>
            <w:r>
              <w:rPr>
                <w:noProof/>
                <w:webHidden/>
              </w:rPr>
              <w:fldChar w:fldCharType="separate"/>
            </w:r>
            <w:r>
              <w:rPr>
                <w:noProof/>
                <w:webHidden/>
              </w:rPr>
              <w:t>vi</w:t>
            </w:r>
            <w:r>
              <w:rPr>
                <w:noProof/>
                <w:webHidden/>
              </w:rPr>
              <w:fldChar w:fldCharType="end"/>
            </w:r>
          </w:hyperlink>
        </w:p>
        <w:p w14:paraId="45A8C375" w14:textId="40BBEA84" w:rsidR="00E1181E" w:rsidRDefault="00E1181E">
          <w:pPr>
            <w:pStyle w:val="TOC1"/>
            <w:tabs>
              <w:tab w:val="right" w:leader="dot" w:pos="9016"/>
            </w:tabs>
            <w:rPr>
              <w:rFonts w:asciiTheme="minorHAnsi" w:eastAsiaTheme="minorEastAsia" w:hAnsiTheme="minorHAnsi"/>
              <w:noProof/>
              <w:sz w:val="24"/>
              <w:szCs w:val="24"/>
              <w:lang w:eastAsia="en-AU"/>
            </w:rPr>
          </w:pPr>
          <w:hyperlink w:anchor="_Toc222998760" w:history="1">
            <w:r w:rsidRPr="00D2382B">
              <w:rPr>
                <w:rStyle w:val="Hyperlink"/>
                <w:noProof/>
              </w:rPr>
              <w:t>Abbreviations</w:t>
            </w:r>
            <w:r>
              <w:rPr>
                <w:noProof/>
                <w:webHidden/>
              </w:rPr>
              <w:tab/>
            </w:r>
            <w:r>
              <w:rPr>
                <w:noProof/>
                <w:webHidden/>
              </w:rPr>
              <w:fldChar w:fldCharType="begin"/>
            </w:r>
            <w:r>
              <w:rPr>
                <w:noProof/>
                <w:webHidden/>
              </w:rPr>
              <w:instrText xml:space="preserve"> PAGEREF _Toc222998760 \h </w:instrText>
            </w:r>
            <w:r>
              <w:rPr>
                <w:noProof/>
                <w:webHidden/>
              </w:rPr>
            </w:r>
            <w:r>
              <w:rPr>
                <w:noProof/>
                <w:webHidden/>
              </w:rPr>
              <w:fldChar w:fldCharType="separate"/>
            </w:r>
            <w:r>
              <w:rPr>
                <w:noProof/>
                <w:webHidden/>
              </w:rPr>
              <w:t>vii</w:t>
            </w:r>
            <w:r>
              <w:rPr>
                <w:noProof/>
                <w:webHidden/>
              </w:rPr>
              <w:fldChar w:fldCharType="end"/>
            </w:r>
          </w:hyperlink>
        </w:p>
        <w:p w14:paraId="765F476D" w14:textId="737D7150" w:rsidR="00E1181E" w:rsidRDefault="00E1181E">
          <w:pPr>
            <w:pStyle w:val="TOC1"/>
            <w:tabs>
              <w:tab w:val="left" w:pos="440"/>
              <w:tab w:val="right" w:leader="dot" w:pos="9016"/>
            </w:tabs>
            <w:rPr>
              <w:rFonts w:asciiTheme="minorHAnsi" w:eastAsiaTheme="minorEastAsia" w:hAnsiTheme="minorHAnsi"/>
              <w:noProof/>
              <w:sz w:val="24"/>
              <w:szCs w:val="24"/>
              <w:lang w:eastAsia="en-AU"/>
            </w:rPr>
          </w:pPr>
          <w:hyperlink w:anchor="_Toc222998761" w:history="1">
            <w:r w:rsidRPr="00D2382B">
              <w:rPr>
                <w:rStyle w:val="Hyperlink"/>
                <w:noProof/>
              </w:rPr>
              <w:t>1.</w:t>
            </w:r>
            <w:r>
              <w:rPr>
                <w:rFonts w:asciiTheme="minorHAnsi" w:eastAsiaTheme="minorEastAsia" w:hAnsiTheme="minorHAnsi"/>
                <w:noProof/>
                <w:sz w:val="24"/>
                <w:szCs w:val="24"/>
                <w:lang w:eastAsia="en-AU"/>
              </w:rPr>
              <w:tab/>
            </w:r>
            <w:r w:rsidRPr="00D2382B">
              <w:rPr>
                <w:rStyle w:val="Hyperlink"/>
                <w:noProof/>
              </w:rPr>
              <w:t>Executive summary</w:t>
            </w:r>
            <w:r>
              <w:rPr>
                <w:noProof/>
                <w:webHidden/>
              </w:rPr>
              <w:tab/>
            </w:r>
            <w:r>
              <w:rPr>
                <w:noProof/>
                <w:webHidden/>
              </w:rPr>
              <w:fldChar w:fldCharType="begin"/>
            </w:r>
            <w:r>
              <w:rPr>
                <w:noProof/>
                <w:webHidden/>
              </w:rPr>
              <w:instrText xml:space="preserve"> PAGEREF _Toc222998761 \h </w:instrText>
            </w:r>
            <w:r>
              <w:rPr>
                <w:noProof/>
                <w:webHidden/>
              </w:rPr>
            </w:r>
            <w:r>
              <w:rPr>
                <w:noProof/>
                <w:webHidden/>
              </w:rPr>
              <w:fldChar w:fldCharType="separate"/>
            </w:r>
            <w:r>
              <w:rPr>
                <w:noProof/>
                <w:webHidden/>
              </w:rPr>
              <w:t>1</w:t>
            </w:r>
            <w:r>
              <w:rPr>
                <w:noProof/>
                <w:webHidden/>
              </w:rPr>
              <w:fldChar w:fldCharType="end"/>
            </w:r>
          </w:hyperlink>
        </w:p>
        <w:p w14:paraId="40441E54" w14:textId="3E3F8B82" w:rsidR="00E1181E" w:rsidRDefault="00E1181E">
          <w:pPr>
            <w:pStyle w:val="TOC1"/>
            <w:tabs>
              <w:tab w:val="left" w:pos="440"/>
              <w:tab w:val="right" w:leader="dot" w:pos="9016"/>
            </w:tabs>
            <w:rPr>
              <w:rFonts w:asciiTheme="minorHAnsi" w:eastAsiaTheme="minorEastAsia" w:hAnsiTheme="minorHAnsi"/>
              <w:noProof/>
              <w:sz w:val="24"/>
              <w:szCs w:val="24"/>
              <w:lang w:eastAsia="en-AU"/>
            </w:rPr>
          </w:pPr>
          <w:hyperlink w:anchor="_Toc222998762" w:history="1">
            <w:r w:rsidRPr="00D2382B">
              <w:rPr>
                <w:rStyle w:val="Hyperlink"/>
                <w:noProof/>
              </w:rPr>
              <w:t>2.</w:t>
            </w:r>
            <w:r>
              <w:rPr>
                <w:rFonts w:asciiTheme="minorHAnsi" w:eastAsiaTheme="minorEastAsia" w:hAnsiTheme="minorHAnsi"/>
                <w:noProof/>
                <w:sz w:val="24"/>
                <w:szCs w:val="24"/>
                <w:lang w:eastAsia="en-AU"/>
              </w:rPr>
              <w:tab/>
            </w:r>
            <w:r w:rsidRPr="00D2382B">
              <w:rPr>
                <w:rStyle w:val="Hyperlink"/>
                <w:noProof/>
              </w:rPr>
              <w:t>Recommendations</w:t>
            </w:r>
            <w:r>
              <w:rPr>
                <w:noProof/>
                <w:webHidden/>
              </w:rPr>
              <w:tab/>
            </w:r>
            <w:r>
              <w:rPr>
                <w:noProof/>
                <w:webHidden/>
              </w:rPr>
              <w:fldChar w:fldCharType="begin"/>
            </w:r>
            <w:r>
              <w:rPr>
                <w:noProof/>
                <w:webHidden/>
              </w:rPr>
              <w:instrText xml:space="preserve"> PAGEREF _Toc222998762 \h </w:instrText>
            </w:r>
            <w:r>
              <w:rPr>
                <w:noProof/>
                <w:webHidden/>
              </w:rPr>
            </w:r>
            <w:r>
              <w:rPr>
                <w:noProof/>
                <w:webHidden/>
              </w:rPr>
              <w:fldChar w:fldCharType="separate"/>
            </w:r>
            <w:r>
              <w:rPr>
                <w:noProof/>
                <w:webHidden/>
              </w:rPr>
              <w:t>4</w:t>
            </w:r>
            <w:r>
              <w:rPr>
                <w:noProof/>
                <w:webHidden/>
              </w:rPr>
              <w:fldChar w:fldCharType="end"/>
            </w:r>
          </w:hyperlink>
        </w:p>
        <w:p w14:paraId="104C4E91" w14:textId="3EB35B95" w:rsidR="00E1181E" w:rsidRDefault="00E1181E">
          <w:pPr>
            <w:pStyle w:val="TOC1"/>
            <w:tabs>
              <w:tab w:val="left" w:pos="440"/>
              <w:tab w:val="right" w:leader="dot" w:pos="9016"/>
            </w:tabs>
            <w:rPr>
              <w:rFonts w:asciiTheme="minorHAnsi" w:eastAsiaTheme="minorEastAsia" w:hAnsiTheme="minorHAnsi"/>
              <w:noProof/>
              <w:sz w:val="24"/>
              <w:szCs w:val="24"/>
              <w:lang w:eastAsia="en-AU"/>
            </w:rPr>
          </w:pPr>
          <w:hyperlink w:anchor="_Toc222998763" w:history="1">
            <w:r w:rsidRPr="00D2382B">
              <w:rPr>
                <w:rStyle w:val="Hyperlink"/>
                <w:noProof/>
              </w:rPr>
              <w:t>3.</w:t>
            </w:r>
            <w:r>
              <w:rPr>
                <w:rFonts w:asciiTheme="minorHAnsi" w:eastAsiaTheme="minorEastAsia" w:hAnsiTheme="minorHAnsi"/>
                <w:noProof/>
                <w:sz w:val="24"/>
                <w:szCs w:val="24"/>
                <w:lang w:eastAsia="en-AU"/>
              </w:rPr>
              <w:tab/>
            </w:r>
            <w:r w:rsidRPr="00D2382B">
              <w:rPr>
                <w:rStyle w:val="Hyperlink"/>
                <w:noProof/>
              </w:rPr>
              <w:t>Introduction</w:t>
            </w:r>
            <w:r>
              <w:rPr>
                <w:noProof/>
                <w:webHidden/>
              </w:rPr>
              <w:tab/>
            </w:r>
            <w:r>
              <w:rPr>
                <w:noProof/>
                <w:webHidden/>
              </w:rPr>
              <w:fldChar w:fldCharType="begin"/>
            </w:r>
            <w:r>
              <w:rPr>
                <w:noProof/>
                <w:webHidden/>
              </w:rPr>
              <w:instrText xml:space="preserve"> PAGEREF _Toc222998763 \h </w:instrText>
            </w:r>
            <w:r>
              <w:rPr>
                <w:noProof/>
                <w:webHidden/>
              </w:rPr>
            </w:r>
            <w:r>
              <w:rPr>
                <w:noProof/>
                <w:webHidden/>
              </w:rPr>
              <w:fldChar w:fldCharType="separate"/>
            </w:r>
            <w:r>
              <w:rPr>
                <w:noProof/>
                <w:webHidden/>
              </w:rPr>
              <w:t>5</w:t>
            </w:r>
            <w:r>
              <w:rPr>
                <w:noProof/>
                <w:webHidden/>
              </w:rPr>
              <w:fldChar w:fldCharType="end"/>
            </w:r>
          </w:hyperlink>
        </w:p>
        <w:p w14:paraId="5A6EC02E" w14:textId="3BC24F95" w:rsidR="00E1181E" w:rsidRDefault="00E1181E">
          <w:pPr>
            <w:pStyle w:val="TOC1"/>
            <w:tabs>
              <w:tab w:val="left" w:pos="440"/>
              <w:tab w:val="right" w:leader="dot" w:pos="9016"/>
            </w:tabs>
            <w:rPr>
              <w:rFonts w:asciiTheme="minorHAnsi" w:eastAsiaTheme="minorEastAsia" w:hAnsiTheme="minorHAnsi"/>
              <w:noProof/>
              <w:sz w:val="24"/>
              <w:szCs w:val="24"/>
              <w:lang w:eastAsia="en-AU"/>
            </w:rPr>
          </w:pPr>
          <w:hyperlink w:anchor="_Toc222998764" w:history="1">
            <w:r w:rsidRPr="00D2382B">
              <w:rPr>
                <w:rStyle w:val="Hyperlink"/>
                <w:noProof/>
              </w:rPr>
              <w:t>4.</w:t>
            </w:r>
            <w:r>
              <w:rPr>
                <w:rFonts w:asciiTheme="minorHAnsi" w:eastAsiaTheme="minorEastAsia" w:hAnsiTheme="minorHAnsi"/>
                <w:noProof/>
                <w:sz w:val="24"/>
                <w:szCs w:val="24"/>
                <w:lang w:eastAsia="en-AU"/>
              </w:rPr>
              <w:tab/>
            </w:r>
            <w:r w:rsidRPr="00D2382B">
              <w:rPr>
                <w:rStyle w:val="Hyperlink"/>
                <w:noProof/>
              </w:rPr>
              <w:t>Background</w:t>
            </w:r>
            <w:r>
              <w:rPr>
                <w:noProof/>
                <w:webHidden/>
              </w:rPr>
              <w:tab/>
            </w:r>
            <w:r>
              <w:rPr>
                <w:noProof/>
                <w:webHidden/>
              </w:rPr>
              <w:fldChar w:fldCharType="begin"/>
            </w:r>
            <w:r>
              <w:rPr>
                <w:noProof/>
                <w:webHidden/>
              </w:rPr>
              <w:instrText xml:space="preserve"> PAGEREF _Toc222998764 \h </w:instrText>
            </w:r>
            <w:r>
              <w:rPr>
                <w:noProof/>
                <w:webHidden/>
              </w:rPr>
            </w:r>
            <w:r>
              <w:rPr>
                <w:noProof/>
                <w:webHidden/>
              </w:rPr>
              <w:fldChar w:fldCharType="separate"/>
            </w:r>
            <w:r>
              <w:rPr>
                <w:noProof/>
                <w:webHidden/>
              </w:rPr>
              <w:t>7</w:t>
            </w:r>
            <w:r>
              <w:rPr>
                <w:noProof/>
                <w:webHidden/>
              </w:rPr>
              <w:fldChar w:fldCharType="end"/>
            </w:r>
          </w:hyperlink>
        </w:p>
        <w:p w14:paraId="65CF84B1" w14:textId="7FF7D95C" w:rsidR="00E1181E" w:rsidRDefault="00E1181E">
          <w:pPr>
            <w:pStyle w:val="TOC1"/>
            <w:tabs>
              <w:tab w:val="left" w:pos="440"/>
              <w:tab w:val="right" w:leader="dot" w:pos="9016"/>
            </w:tabs>
            <w:rPr>
              <w:rFonts w:asciiTheme="minorHAnsi" w:eastAsiaTheme="minorEastAsia" w:hAnsiTheme="minorHAnsi"/>
              <w:noProof/>
              <w:sz w:val="24"/>
              <w:szCs w:val="24"/>
              <w:lang w:eastAsia="en-AU"/>
            </w:rPr>
          </w:pPr>
          <w:hyperlink w:anchor="_Toc222998765" w:history="1">
            <w:r w:rsidRPr="00D2382B">
              <w:rPr>
                <w:rStyle w:val="Hyperlink"/>
                <w:noProof/>
              </w:rPr>
              <w:t>5.</w:t>
            </w:r>
            <w:r>
              <w:rPr>
                <w:rFonts w:asciiTheme="minorHAnsi" w:eastAsiaTheme="minorEastAsia" w:hAnsiTheme="minorHAnsi"/>
                <w:noProof/>
                <w:sz w:val="24"/>
                <w:szCs w:val="24"/>
                <w:lang w:eastAsia="en-AU"/>
              </w:rPr>
              <w:tab/>
            </w:r>
            <w:r w:rsidRPr="00D2382B">
              <w:rPr>
                <w:rStyle w:val="Hyperlink"/>
                <w:noProof/>
              </w:rPr>
              <w:t>Methods</w:t>
            </w:r>
            <w:r>
              <w:rPr>
                <w:noProof/>
                <w:webHidden/>
              </w:rPr>
              <w:tab/>
            </w:r>
            <w:r>
              <w:rPr>
                <w:noProof/>
                <w:webHidden/>
              </w:rPr>
              <w:fldChar w:fldCharType="begin"/>
            </w:r>
            <w:r>
              <w:rPr>
                <w:noProof/>
                <w:webHidden/>
              </w:rPr>
              <w:instrText xml:space="preserve"> PAGEREF _Toc222998765 \h </w:instrText>
            </w:r>
            <w:r>
              <w:rPr>
                <w:noProof/>
                <w:webHidden/>
              </w:rPr>
            </w:r>
            <w:r>
              <w:rPr>
                <w:noProof/>
                <w:webHidden/>
              </w:rPr>
              <w:fldChar w:fldCharType="separate"/>
            </w:r>
            <w:r>
              <w:rPr>
                <w:noProof/>
                <w:webHidden/>
              </w:rPr>
              <w:t>10</w:t>
            </w:r>
            <w:r>
              <w:rPr>
                <w:noProof/>
                <w:webHidden/>
              </w:rPr>
              <w:fldChar w:fldCharType="end"/>
            </w:r>
          </w:hyperlink>
        </w:p>
        <w:p w14:paraId="65226E4A" w14:textId="4AD7629C" w:rsidR="00E1181E" w:rsidRDefault="00E1181E">
          <w:pPr>
            <w:pStyle w:val="TOC2"/>
            <w:tabs>
              <w:tab w:val="left" w:pos="960"/>
              <w:tab w:val="right" w:leader="dot" w:pos="9016"/>
            </w:tabs>
            <w:rPr>
              <w:rFonts w:asciiTheme="minorHAnsi" w:eastAsiaTheme="minorEastAsia" w:hAnsiTheme="minorHAnsi"/>
              <w:noProof/>
              <w:sz w:val="24"/>
              <w:szCs w:val="24"/>
              <w:lang w:eastAsia="en-AU"/>
            </w:rPr>
          </w:pPr>
          <w:hyperlink w:anchor="_Toc222998766" w:history="1">
            <w:r w:rsidRPr="00D2382B">
              <w:rPr>
                <w:rStyle w:val="Hyperlink"/>
                <w:noProof/>
              </w:rPr>
              <w:t>5.1</w:t>
            </w:r>
            <w:r>
              <w:rPr>
                <w:rFonts w:asciiTheme="minorHAnsi" w:eastAsiaTheme="minorEastAsia" w:hAnsiTheme="minorHAnsi"/>
                <w:noProof/>
                <w:sz w:val="24"/>
                <w:szCs w:val="24"/>
                <w:lang w:eastAsia="en-AU"/>
              </w:rPr>
              <w:tab/>
            </w:r>
            <w:r w:rsidRPr="00D2382B">
              <w:rPr>
                <w:rStyle w:val="Hyperlink"/>
                <w:noProof/>
              </w:rPr>
              <w:t>Analytical sample</w:t>
            </w:r>
            <w:r>
              <w:rPr>
                <w:noProof/>
                <w:webHidden/>
              </w:rPr>
              <w:tab/>
            </w:r>
            <w:r>
              <w:rPr>
                <w:noProof/>
                <w:webHidden/>
              </w:rPr>
              <w:fldChar w:fldCharType="begin"/>
            </w:r>
            <w:r>
              <w:rPr>
                <w:noProof/>
                <w:webHidden/>
              </w:rPr>
              <w:instrText xml:space="preserve"> PAGEREF _Toc222998766 \h </w:instrText>
            </w:r>
            <w:r>
              <w:rPr>
                <w:noProof/>
                <w:webHidden/>
              </w:rPr>
            </w:r>
            <w:r>
              <w:rPr>
                <w:noProof/>
                <w:webHidden/>
              </w:rPr>
              <w:fldChar w:fldCharType="separate"/>
            </w:r>
            <w:r>
              <w:rPr>
                <w:noProof/>
                <w:webHidden/>
              </w:rPr>
              <w:t>10</w:t>
            </w:r>
            <w:r>
              <w:rPr>
                <w:noProof/>
                <w:webHidden/>
              </w:rPr>
              <w:fldChar w:fldCharType="end"/>
            </w:r>
          </w:hyperlink>
        </w:p>
        <w:p w14:paraId="74EDED9D" w14:textId="3F32B68B" w:rsidR="00E1181E" w:rsidRDefault="00E1181E">
          <w:pPr>
            <w:pStyle w:val="TOC2"/>
            <w:tabs>
              <w:tab w:val="left" w:pos="960"/>
              <w:tab w:val="right" w:leader="dot" w:pos="9016"/>
            </w:tabs>
            <w:rPr>
              <w:rFonts w:asciiTheme="minorHAnsi" w:eastAsiaTheme="minorEastAsia" w:hAnsiTheme="minorHAnsi"/>
              <w:noProof/>
              <w:sz w:val="24"/>
              <w:szCs w:val="24"/>
              <w:lang w:eastAsia="en-AU"/>
            </w:rPr>
          </w:pPr>
          <w:hyperlink w:anchor="_Toc222998767" w:history="1">
            <w:r w:rsidRPr="00D2382B">
              <w:rPr>
                <w:rStyle w:val="Hyperlink"/>
                <w:noProof/>
              </w:rPr>
              <w:t>5.2</w:t>
            </w:r>
            <w:r>
              <w:rPr>
                <w:rFonts w:asciiTheme="minorHAnsi" w:eastAsiaTheme="minorEastAsia" w:hAnsiTheme="minorHAnsi"/>
                <w:noProof/>
                <w:sz w:val="24"/>
                <w:szCs w:val="24"/>
                <w:lang w:eastAsia="en-AU"/>
              </w:rPr>
              <w:tab/>
            </w:r>
            <w:r w:rsidRPr="00D2382B">
              <w:rPr>
                <w:rStyle w:val="Hyperlink"/>
                <w:noProof/>
              </w:rPr>
              <w:t>Empirical methods</w:t>
            </w:r>
            <w:r>
              <w:rPr>
                <w:noProof/>
                <w:webHidden/>
              </w:rPr>
              <w:tab/>
            </w:r>
            <w:r>
              <w:rPr>
                <w:noProof/>
                <w:webHidden/>
              </w:rPr>
              <w:fldChar w:fldCharType="begin"/>
            </w:r>
            <w:r>
              <w:rPr>
                <w:noProof/>
                <w:webHidden/>
              </w:rPr>
              <w:instrText xml:space="preserve"> PAGEREF _Toc222998767 \h </w:instrText>
            </w:r>
            <w:r>
              <w:rPr>
                <w:noProof/>
                <w:webHidden/>
              </w:rPr>
            </w:r>
            <w:r>
              <w:rPr>
                <w:noProof/>
                <w:webHidden/>
              </w:rPr>
              <w:fldChar w:fldCharType="separate"/>
            </w:r>
            <w:r>
              <w:rPr>
                <w:noProof/>
                <w:webHidden/>
              </w:rPr>
              <w:t>13</w:t>
            </w:r>
            <w:r>
              <w:rPr>
                <w:noProof/>
                <w:webHidden/>
              </w:rPr>
              <w:fldChar w:fldCharType="end"/>
            </w:r>
          </w:hyperlink>
        </w:p>
        <w:p w14:paraId="66C18CFB" w14:textId="4E41FD75" w:rsidR="00E1181E" w:rsidRDefault="00E1181E">
          <w:pPr>
            <w:pStyle w:val="TOC1"/>
            <w:tabs>
              <w:tab w:val="left" w:pos="440"/>
              <w:tab w:val="right" w:leader="dot" w:pos="9016"/>
            </w:tabs>
            <w:rPr>
              <w:rFonts w:asciiTheme="minorHAnsi" w:eastAsiaTheme="minorEastAsia" w:hAnsiTheme="minorHAnsi"/>
              <w:noProof/>
              <w:sz w:val="24"/>
              <w:szCs w:val="24"/>
              <w:lang w:eastAsia="en-AU"/>
            </w:rPr>
          </w:pPr>
          <w:hyperlink w:anchor="_Toc222998768" w:history="1">
            <w:r w:rsidRPr="00D2382B">
              <w:rPr>
                <w:rStyle w:val="Hyperlink"/>
                <w:noProof/>
              </w:rPr>
              <w:t>6.</w:t>
            </w:r>
            <w:r>
              <w:rPr>
                <w:rFonts w:asciiTheme="minorHAnsi" w:eastAsiaTheme="minorEastAsia" w:hAnsiTheme="minorHAnsi"/>
                <w:noProof/>
                <w:sz w:val="24"/>
                <w:szCs w:val="24"/>
                <w:lang w:eastAsia="en-AU"/>
              </w:rPr>
              <w:tab/>
            </w:r>
            <w:r w:rsidRPr="00D2382B">
              <w:rPr>
                <w:rStyle w:val="Hyperlink"/>
                <w:noProof/>
              </w:rPr>
              <w:t>Findings</w:t>
            </w:r>
            <w:r>
              <w:rPr>
                <w:noProof/>
                <w:webHidden/>
              </w:rPr>
              <w:tab/>
            </w:r>
            <w:r>
              <w:rPr>
                <w:noProof/>
                <w:webHidden/>
              </w:rPr>
              <w:fldChar w:fldCharType="begin"/>
            </w:r>
            <w:r>
              <w:rPr>
                <w:noProof/>
                <w:webHidden/>
              </w:rPr>
              <w:instrText xml:space="preserve"> PAGEREF _Toc222998768 \h </w:instrText>
            </w:r>
            <w:r>
              <w:rPr>
                <w:noProof/>
                <w:webHidden/>
              </w:rPr>
            </w:r>
            <w:r>
              <w:rPr>
                <w:noProof/>
                <w:webHidden/>
              </w:rPr>
              <w:fldChar w:fldCharType="separate"/>
            </w:r>
            <w:r>
              <w:rPr>
                <w:noProof/>
                <w:webHidden/>
              </w:rPr>
              <w:t>15</w:t>
            </w:r>
            <w:r>
              <w:rPr>
                <w:noProof/>
                <w:webHidden/>
              </w:rPr>
              <w:fldChar w:fldCharType="end"/>
            </w:r>
          </w:hyperlink>
        </w:p>
        <w:p w14:paraId="2A4A5738" w14:textId="66A1059C" w:rsidR="00E1181E" w:rsidRDefault="00E1181E">
          <w:pPr>
            <w:pStyle w:val="TOC2"/>
            <w:tabs>
              <w:tab w:val="left" w:pos="960"/>
              <w:tab w:val="right" w:leader="dot" w:pos="9016"/>
            </w:tabs>
            <w:rPr>
              <w:rFonts w:asciiTheme="minorHAnsi" w:eastAsiaTheme="minorEastAsia" w:hAnsiTheme="minorHAnsi"/>
              <w:noProof/>
              <w:sz w:val="24"/>
              <w:szCs w:val="24"/>
              <w:lang w:eastAsia="en-AU"/>
            </w:rPr>
          </w:pPr>
          <w:hyperlink w:anchor="_Toc222998769" w:history="1">
            <w:r w:rsidRPr="00D2382B">
              <w:rPr>
                <w:rStyle w:val="Hyperlink"/>
                <w:noProof/>
              </w:rPr>
              <w:t>6.1</w:t>
            </w:r>
            <w:r>
              <w:rPr>
                <w:rFonts w:asciiTheme="minorHAnsi" w:eastAsiaTheme="minorEastAsia" w:hAnsiTheme="minorHAnsi"/>
                <w:noProof/>
                <w:sz w:val="24"/>
                <w:szCs w:val="24"/>
                <w:lang w:eastAsia="en-AU"/>
              </w:rPr>
              <w:tab/>
            </w:r>
            <w:r w:rsidRPr="00D2382B">
              <w:rPr>
                <w:rStyle w:val="Hyperlink"/>
                <w:noProof/>
              </w:rPr>
              <w:t>Patterns in fields of study and labour market outcomes</w:t>
            </w:r>
            <w:r>
              <w:rPr>
                <w:noProof/>
                <w:webHidden/>
              </w:rPr>
              <w:tab/>
            </w:r>
            <w:r>
              <w:rPr>
                <w:noProof/>
                <w:webHidden/>
              </w:rPr>
              <w:fldChar w:fldCharType="begin"/>
            </w:r>
            <w:r>
              <w:rPr>
                <w:noProof/>
                <w:webHidden/>
              </w:rPr>
              <w:instrText xml:space="preserve"> PAGEREF _Toc222998769 \h </w:instrText>
            </w:r>
            <w:r>
              <w:rPr>
                <w:noProof/>
                <w:webHidden/>
              </w:rPr>
            </w:r>
            <w:r>
              <w:rPr>
                <w:noProof/>
                <w:webHidden/>
              </w:rPr>
              <w:fldChar w:fldCharType="separate"/>
            </w:r>
            <w:r>
              <w:rPr>
                <w:noProof/>
                <w:webHidden/>
              </w:rPr>
              <w:t>15</w:t>
            </w:r>
            <w:r>
              <w:rPr>
                <w:noProof/>
                <w:webHidden/>
              </w:rPr>
              <w:fldChar w:fldCharType="end"/>
            </w:r>
          </w:hyperlink>
        </w:p>
        <w:p w14:paraId="0100D79D" w14:textId="0B19EEB3" w:rsidR="00E1181E" w:rsidRDefault="00E1181E">
          <w:pPr>
            <w:pStyle w:val="TOC3"/>
            <w:tabs>
              <w:tab w:val="left" w:pos="1200"/>
              <w:tab w:val="right" w:leader="dot" w:pos="9016"/>
            </w:tabs>
            <w:rPr>
              <w:rFonts w:asciiTheme="minorHAnsi" w:eastAsiaTheme="minorEastAsia" w:hAnsiTheme="minorHAnsi"/>
              <w:noProof/>
              <w:sz w:val="24"/>
              <w:szCs w:val="24"/>
              <w:lang w:eastAsia="en-AU"/>
            </w:rPr>
          </w:pPr>
          <w:hyperlink w:anchor="_Toc222998770" w:history="1">
            <w:r w:rsidRPr="00D2382B">
              <w:rPr>
                <w:rStyle w:val="Hyperlink"/>
                <w:noProof/>
              </w:rPr>
              <w:t>6.1.1</w:t>
            </w:r>
            <w:r>
              <w:rPr>
                <w:rFonts w:asciiTheme="minorHAnsi" w:eastAsiaTheme="minorEastAsia" w:hAnsiTheme="minorHAnsi"/>
                <w:noProof/>
                <w:sz w:val="24"/>
                <w:szCs w:val="24"/>
                <w:lang w:eastAsia="en-AU"/>
              </w:rPr>
              <w:tab/>
            </w:r>
            <w:r w:rsidRPr="00D2382B">
              <w:rPr>
                <w:rStyle w:val="Hyperlink"/>
                <w:noProof/>
              </w:rPr>
              <w:t>Labour market outcomes by field of study</w:t>
            </w:r>
            <w:r>
              <w:rPr>
                <w:noProof/>
                <w:webHidden/>
              </w:rPr>
              <w:tab/>
            </w:r>
            <w:r>
              <w:rPr>
                <w:noProof/>
                <w:webHidden/>
              </w:rPr>
              <w:fldChar w:fldCharType="begin"/>
            </w:r>
            <w:r>
              <w:rPr>
                <w:noProof/>
                <w:webHidden/>
              </w:rPr>
              <w:instrText xml:space="preserve"> PAGEREF _Toc222998770 \h </w:instrText>
            </w:r>
            <w:r>
              <w:rPr>
                <w:noProof/>
                <w:webHidden/>
              </w:rPr>
            </w:r>
            <w:r>
              <w:rPr>
                <w:noProof/>
                <w:webHidden/>
              </w:rPr>
              <w:fldChar w:fldCharType="separate"/>
            </w:r>
            <w:r>
              <w:rPr>
                <w:noProof/>
                <w:webHidden/>
              </w:rPr>
              <w:t>15</w:t>
            </w:r>
            <w:r>
              <w:rPr>
                <w:noProof/>
                <w:webHidden/>
              </w:rPr>
              <w:fldChar w:fldCharType="end"/>
            </w:r>
          </w:hyperlink>
        </w:p>
        <w:p w14:paraId="185C5477" w14:textId="4703F4EB" w:rsidR="00E1181E" w:rsidRDefault="00E1181E">
          <w:pPr>
            <w:pStyle w:val="TOC3"/>
            <w:tabs>
              <w:tab w:val="left" w:pos="1200"/>
              <w:tab w:val="right" w:leader="dot" w:pos="9016"/>
            </w:tabs>
            <w:rPr>
              <w:rFonts w:asciiTheme="minorHAnsi" w:eastAsiaTheme="minorEastAsia" w:hAnsiTheme="minorHAnsi"/>
              <w:noProof/>
              <w:sz w:val="24"/>
              <w:szCs w:val="24"/>
              <w:lang w:eastAsia="en-AU"/>
            </w:rPr>
          </w:pPr>
          <w:hyperlink w:anchor="_Toc222998771" w:history="1">
            <w:r w:rsidRPr="00D2382B">
              <w:rPr>
                <w:rStyle w:val="Hyperlink"/>
                <w:noProof/>
                <w:w w:val="105"/>
              </w:rPr>
              <w:t>6.1.2</w:t>
            </w:r>
            <w:r>
              <w:rPr>
                <w:rFonts w:asciiTheme="minorHAnsi" w:eastAsiaTheme="minorEastAsia" w:hAnsiTheme="minorHAnsi"/>
                <w:noProof/>
                <w:sz w:val="24"/>
                <w:szCs w:val="24"/>
                <w:lang w:eastAsia="en-AU"/>
              </w:rPr>
              <w:tab/>
            </w:r>
            <w:r w:rsidRPr="00D2382B">
              <w:rPr>
                <w:rStyle w:val="Hyperlink"/>
                <w:noProof/>
                <w:w w:val="105"/>
              </w:rPr>
              <w:t>Fields of study and socio-economic backgrounds</w:t>
            </w:r>
            <w:r>
              <w:rPr>
                <w:noProof/>
                <w:webHidden/>
              </w:rPr>
              <w:tab/>
            </w:r>
            <w:r>
              <w:rPr>
                <w:noProof/>
                <w:webHidden/>
              </w:rPr>
              <w:fldChar w:fldCharType="begin"/>
            </w:r>
            <w:r>
              <w:rPr>
                <w:noProof/>
                <w:webHidden/>
              </w:rPr>
              <w:instrText xml:space="preserve"> PAGEREF _Toc222998771 \h </w:instrText>
            </w:r>
            <w:r>
              <w:rPr>
                <w:noProof/>
                <w:webHidden/>
              </w:rPr>
            </w:r>
            <w:r>
              <w:rPr>
                <w:noProof/>
                <w:webHidden/>
              </w:rPr>
              <w:fldChar w:fldCharType="separate"/>
            </w:r>
            <w:r>
              <w:rPr>
                <w:noProof/>
                <w:webHidden/>
              </w:rPr>
              <w:t>18</w:t>
            </w:r>
            <w:r>
              <w:rPr>
                <w:noProof/>
                <w:webHidden/>
              </w:rPr>
              <w:fldChar w:fldCharType="end"/>
            </w:r>
          </w:hyperlink>
        </w:p>
        <w:p w14:paraId="29211613" w14:textId="598E906C" w:rsidR="00E1181E" w:rsidRDefault="00E1181E">
          <w:pPr>
            <w:pStyle w:val="TOC2"/>
            <w:tabs>
              <w:tab w:val="left" w:pos="960"/>
              <w:tab w:val="right" w:leader="dot" w:pos="9016"/>
            </w:tabs>
            <w:rPr>
              <w:rFonts w:asciiTheme="minorHAnsi" w:eastAsiaTheme="minorEastAsia" w:hAnsiTheme="minorHAnsi"/>
              <w:noProof/>
              <w:sz w:val="24"/>
              <w:szCs w:val="24"/>
              <w:lang w:eastAsia="en-AU"/>
            </w:rPr>
          </w:pPr>
          <w:hyperlink w:anchor="_Toc222998773" w:history="1">
            <w:r w:rsidRPr="00D2382B">
              <w:rPr>
                <w:rStyle w:val="Hyperlink"/>
                <w:noProof/>
              </w:rPr>
              <w:t>6.2</w:t>
            </w:r>
            <w:r>
              <w:rPr>
                <w:rFonts w:asciiTheme="minorHAnsi" w:eastAsiaTheme="minorEastAsia" w:hAnsiTheme="minorHAnsi"/>
                <w:noProof/>
                <w:sz w:val="24"/>
                <w:szCs w:val="24"/>
                <w:lang w:eastAsia="en-AU"/>
              </w:rPr>
              <w:tab/>
            </w:r>
            <w:r w:rsidRPr="00D2382B">
              <w:rPr>
                <w:rStyle w:val="Hyperlink"/>
                <w:noProof/>
              </w:rPr>
              <w:t>Socio-economic</w:t>
            </w:r>
            <w:r w:rsidRPr="00D2382B">
              <w:rPr>
                <w:rStyle w:val="Hyperlink"/>
                <w:rFonts w:eastAsia="Arial"/>
                <w:noProof/>
                <w:w w:val="105"/>
                <w:kern w:val="0"/>
                <w14:ligatures w14:val="none"/>
              </w:rPr>
              <w:t xml:space="preserve"> backgrounds </w:t>
            </w:r>
            <w:r w:rsidRPr="00D2382B">
              <w:rPr>
                <w:rStyle w:val="Hyperlink"/>
                <w:noProof/>
              </w:rPr>
              <w:t>and the choice of fields of study</w:t>
            </w:r>
            <w:r>
              <w:rPr>
                <w:noProof/>
                <w:webHidden/>
              </w:rPr>
              <w:tab/>
            </w:r>
            <w:r>
              <w:rPr>
                <w:noProof/>
                <w:webHidden/>
              </w:rPr>
              <w:fldChar w:fldCharType="begin"/>
            </w:r>
            <w:r>
              <w:rPr>
                <w:noProof/>
                <w:webHidden/>
              </w:rPr>
              <w:instrText xml:space="preserve"> PAGEREF _Toc222998773 \h </w:instrText>
            </w:r>
            <w:r>
              <w:rPr>
                <w:noProof/>
                <w:webHidden/>
              </w:rPr>
            </w:r>
            <w:r>
              <w:rPr>
                <w:noProof/>
                <w:webHidden/>
              </w:rPr>
              <w:fldChar w:fldCharType="separate"/>
            </w:r>
            <w:r>
              <w:rPr>
                <w:noProof/>
                <w:webHidden/>
              </w:rPr>
              <w:t>23</w:t>
            </w:r>
            <w:r>
              <w:rPr>
                <w:noProof/>
                <w:webHidden/>
              </w:rPr>
              <w:fldChar w:fldCharType="end"/>
            </w:r>
          </w:hyperlink>
        </w:p>
        <w:p w14:paraId="7558A8C2" w14:textId="481C5DF3" w:rsidR="00E1181E" w:rsidRDefault="00E1181E">
          <w:pPr>
            <w:pStyle w:val="TOC2"/>
            <w:tabs>
              <w:tab w:val="left" w:pos="960"/>
              <w:tab w:val="right" w:leader="dot" w:pos="9016"/>
            </w:tabs>
            <w:rPr>
              <w:rFonts w:asciiTheme="minorHAnsi" w:eastAsiaTheme="minorEastAsia" w:hAnsiTheme="minorHAnsi"/>
              <w:noProof/>
              <w:sz w:val="24"/>
              <w:szCs w:val="24"/>
              <w:lang w:eastAsia="en-AU"/>
            </w:rPr>
          </w:pPr>
          <w:hyperlink w:anchor="_Toc222998774" w:history="1">
            <w:r w:rsidRPr="00D2382B">
              <w:rPr>
                <w:rStyle w:val="Hyperlink"/>
                <w:noProof/>
              </w:rPr>
              <w:t>6.3</w:t>
            </w:r>
            <w:r>
              <w:rPr>
                <w:rFonts w:asciiTheme="minorHAnsi" w:eastAsiaTheme="minorEastAsia" w:hAnsiTheme="minorHAnsi"/>
                <w:noProof/>
                <w:sz w:val="24"/>
                <w:szCs w:val="24"/>
                <w:lang w:eastAsia="en-AU"/>
              </w:rPr>
              <w:tab/>
            </w:r>
            <w:r w:rsidRPr="00D2382B">
              <w:rPr>
                <w:rStyle w:val="Hyperlink"/>
                <w:rFonts w:eastAsia="Arial"/>
                <w:noProof/>
                <w:w w:val="105"/>
                <w:kern w:val="0"/>
                <w14:ligatures w14:val="none"/>
              </w:rPr>
              <w:t>Socio-economic backgrounds</w:t>
            </w:r>
            <w:r w:rsidRPr="00D2382B">
              <w:rPr>
                <w:rStyle w:val="Hyperlink"/>
                <w:noProof/>
              </w:rPr>
              <w:t>, fields of study, and labour market outcomes</w:t>
            </w:r>
            <w:r>
              <w:rPr>
                <w:noProof/>
                <w:webHidden/>
              </w:rPr>
              <w:tab/>
            </w:r>
            <w:r>
              <w:rPr>
                <w:noProof/>
                <w:webHidden/>
              </w:rPr>
              <w:fldChar w:fldCharType="begin"/>
            </w:r>
            <w:r>
              <w:rPr>
                <w:noProof/>
                <w:webHidden/>
              </w:rPr>
              <w:instrText xml:space="preserve"> PAGEREF _Toc222998774 \h </w:instrText>
            </w:r>
            <w:r>
              <w:rPr>
                <w:noProof/>
                <w:webHidden/>
              </w:rPr>
            </w:r>
            <w:r>
              <w:rPr>
                <w:noProof/>
                <w:webHidden/>
              </w:rPr>
              <w:fldChar w:fldCharType="separate"/>
            </w:r>
            <w:r>
              <w:rPr>
                <w:noProof/>
                <w:webHidden/>
              </w:rPr>
              <w:t>25</w:t>
            </w:r>
            <w:r>
              <w:rPr>
                <w:noProof/>
                <w:webHidden/>
              </w:rPr>
              <w:fldChar w:fldCharType="end"/>
            </w:r>
          </w:hyperlink>
        </w:p>
        <w:p w14:paraId="654F1877" w14:textId="3E5345B1" w:rsidR="00E1181E" w:rsidRDefault="00E1181E">
          <w:pPr>
            <w:pStyle w:val="TOC1"/>
            <w:tabs>
              <w:tab w:val="left" w:pos="440"/>
              <w:tab w:val="right" w:leader="dot" w:pos="9016"/>
            </w:tabs>
            <w:rPr>
              <w:rFonts w:asciiTheme="minorHAnsi" w:eastAsiaTheme="minorEastAsia" w:hAnsiTheme="minorHAnsi"/>
              <w:noProof/>
              <w:sz w:val="24"/>
              <w:szCs w:val="24"/>
              <w:lang w:eastAsia="en-AU"/>
            </w:rPr>
          </w:pPr>
          <w:hyperlink w:anchor="_Toc222998775" w:history="1">
            <w:r w:rsidRPr="00D2382B">
              <w:rPr>
                <w:rStyle w:val="Hyperlink"/>
                <w:noProof/>
              </w:rPr>
              <w:t>7.</w:t>
            </w:r>
            <w:r>
              <w:rPr>
                <w:rFonts w:asciiTheme="minorHAnsi" w:eastAsiaTheme="minorEastAsia" w:hAnsiTheme="minorHAnsi"/>
                <w:noProof/>
                <w:sz w:val="24"/>
                <w:szCs w:val="24"/>
                <w:lang w:eastAsia="en-AU"/>
              </w:rPr>
              <w:tab/>
            </w:r>
            <w:r w:rsidRPr="00D2382B">
              <w:rPr>
                <w:rStyle w:val="Hyperlink"/>
                <w:noProof/>
              </w:rPr>
              <w:t>Discussion</w:t>
            </w:r>
            <w:r>
              <w:rPr>
                <w:noProof/>
                <w:webHidden/>
              </w:rPr>
              <w:tab/>
            </w:r>
            <w:r>
              <w:rPr>
                <w:noProof/>
                <w:webHidden/>
              </w:rPr>
              <w:fldChar w:fldCharType="begin"/>
            </w:r>
            <w:r>
              <w:rPr>
                <w:noProof/>
                <w:webHidden/>
              </w:rPr>
              <w:instrText xml:space="preserve"> PAGEREF _Toc222998775 \h </w:instrText>
            </w:r>
            <w:r>
              <w:rPr>
                <w:noProof/>
                <w:webHidden/>
              </w:rPr>
            </w:r>
            <w:r>
              <w:rPr>
                <w:noProof/>
                <w:webHidden/>
              </w:rPr>
              <w:fldChar w:fldCharType="separate"/>
            </w:r>
            <w:r>
              <w:rPr>
                <w:noProof/>
                <w:webHidden/>
              </w:rPr>
              <w:t>32</w:t>
            </w:r>
            <w:r>
              <w:rPr>
                <w:noProof/>
                <w:webHidden/>
              </w:rPr>
              <w:fldChar w:fldCharType="end"/>
            </w:r>
          </w:hyperlink>
        </w:p>
        <w:p w14:paraId="266A8ABD" w14:textId="33996A46" w:rsidR="00E1181E" w:rsidRDefault="00E1181E">
          <w:pPr>
            <w:pStyle w:val="TOC2"/>
            <w:tabs>
              <w:tab w:val="left" w:pos="960"/>
              <w:tab w:val="right" w:leader="dot" w:pos="9016"/>
            </w:tabs>
            <w:rPr>
              <w:rFonts w:asciiTheme="minorHAnsi" w:eastAsiaTheme="minorEastAsia" w:hAnsiTheme="minorHAnsi"/>
              <w:noProof/>
              <w:sz w:val="24"/>
              <w:szCs w:val="24"/>
              <w:lang w:eastAsia="en-AU"/>
            </w:rPr>
          </w:pPr>
          <w:hyperlink w:anchor="_Toc222998776" w:history="1">
            <w:r w:rsidRPr="00D2382B">
              <w:rPr>
                <w:rStyle w:val="Hyperlink"/>
                <w:noProof/>
                <w:w w:val="105"/>
              </w:rPr>
              <w:t>7.1</w:t>
            </w:r>
            <w:r>
              <w:rPr>
                <w:rFonts w:asciiTheme="minorHAnsi" w:eastAsiaTheme="minorEastAsia" w:hAnsiTheme="minorHAnsi"/>
                <w:noProof/>
                <w:sz w:val="24"/>
                <w:szCs w:val="24"/>
                <w:lang w:eastAsia="en-AU"/>
              </w:rPr>
              <w:tab/>
            </w:r>
            <w:r w:rsidRPr="00D2382B">
              <w:rPr>
                <w:rStyle w:val="Hyperlink"/>
                <w:noProof/>
                <w:w w:val="105"/>
              </w:rPr>
              <w:t>Patterns in graduates’ fields of study and subsequent labour market performance</w:t>
            </w:r>
            <w:r>
              <w:rPr>
                <w:noProof/>
                <w:webHidden/>
              </w:rPr>
              <w:tab/>
            </w:r>
            <w:r>
              <w:rPr>
                <w:noProof/>
                <w:webHidden/>
              </w:rPr>
              <w:fldChar w:fldCharType="begin"/>
            </w:r>
            <w:r>
              <w:rPr>
                <w:noProof/>
                <w:webHidden/>
              </w:rPr>
              <w:instrText xml:space="preserve"> PAGEREF _Toc222998776 \h </w:instrText>
            </w:r>
            <w:r>
              <w:rPr>
                <w:noProof/>
                <w:webHidden/>
              </w:rPr>
            </w:r>
            <w:r>
              <w:rPr>
                <w:noProof/>
                <w:webHidden/>
              </w:rPr>
              <w:fldChar w:fldCharType="separate"/>
            </w:r>
            <w:r>
              <w:rPr>
                <w:noProof/>
                <w:webHidden/>
              </w:rPr>
              <w:t>32</w:t>
            </w:r>
            <w:r>
              <w:rPr>
                <w:noProof/>
                <w:webHidden/>
              </w:rPr>
              <w:fldChar w:fldCharType="end"/>
            </w:r>
          </w:hyperlink>
        </w:p>
        <w:p w14:paraId="605931A6" w14:textId="4423F568" w:rsidR="00E1181E" w:rsidRDefault="00E1181E">
          <w:pPr>
            <w:pStyle w:val="TOC2"/>
            <w:tabs>
              <w:tab w:val="left" w:pos="960"/>
              <w:tab w:val="right" w:leader="dot" w:pos="9016"/>
            </w:tabs>
            <w:rPr>
              <w:rFonts w:asciiTheme="minorHAnsi" w:eastAsiaTheme="minorEastAsia" w:hAnsiTheme="minorHAnsi"/>
              <w:noProof/>
              <w:sz w:val="24"/>
              <w:szCs w:val="24"/>
              <w:lang w:eastAsia="en-AU"/>
            </w:rPr>
          </w:pPr>
          <w:hyperlink w:anchor="_Toc222998777" w:history="1">
            <w:r w:rsidRPr="00D2382B">
              <w:rPr>
                <w:rStyle w:val="Hyperlink"/>
                <w:noProof/>
                <w:w w:val="105"/>
              </w:rPr>
              <w:t>7.2</w:t>
            </w:r>
            <w:r>
              <w:rPr>
                <w:rFonts w:asciiTheme="minorHAnsi" w:eastAsiaTheme="minorEastAsia" w:hAnsiTheme="minorHAnsi"/>
                <w:noProof/>
                <w:sz w:val="24"/>
                <w:szCs w:val="24"/>
                <w:lang w:eastAsia="en-AU"/>
              </w:rPr>
              <w:tab/>
            </w:r>
            <w:r w:rsidRPr="00D2382B">
              <w:rPr>
                <w:rStyle w:val="Hyperlink"/>
                <w:noProof/>
                <w:w w:val="105"/>
              </w:rPr>
              <w:t>Influence of socio-economic backgrounds on the choice of fields of study in tertiary education</w:t>
            </w:r>
            <w:r>
              <w:rPr>
                <w:noProof/>
                <w:webHidden/>
              </w:rPr>
              <w:tab/>
            </w:r>
            <w:r>
              <w:rPr>
                <w:noProof/>
                <w:webHidden/>
              </w:rPr>
              <w:fldChar w:fldCharType="begin"/>
            </w:r>
            <w:r>
              <w:rPr>
                <w:noProof/>
                <w:webHidden/>
              </w:rPr>
              <w:instrText xml:space="preserve"> PAGEREF _Toc222998777 \h </w:instrText>
            </w:r>
            <w:r>
              <w:rPr>
                <w:noProof/>
                <w:webHidden/>
              </w:rPr>
            </w:r>
            <w:r>
              <w:rPr>
                <w:noProof/>
                <w:webHidden/>
              </w:rPr>
              <w:fldChar w:fldCharType="separate"/>
            </w:r>
            <w:r>
              <w:rPr>
                <w:noProof/>
                <w:webHidden/>
              </w:rPr>
              <w:t>33</w:t>
            </w:r>
            <w:r>
              <w:rPr>
                <w:noProof/>
                <w:webHidden/>
              </w:rPr>
              <w:fldChar w:fldCharType="end"/>
            </w:r>
          </w:hyperlink>
        </w:p>
        <w:p w14:paraId="58D2A7F6" w14:textId="02070CD8" w:rsidR="00E1181E" w:rsidRDefault="00E1181E">
          <w:pPr>
            <w:pStyle w:val="TOC2"/>
            <w:tabs>
              <w:tab w:val="left" w:pos="960"/>
              <w:tab w:val="right" w:leader="dot" w:pos="9016"/>
            </w:tabs>
            <w:rPr>
              <w:rFonts w:asciiTheme="minorHAnsi" w:eastAsiaTheme="minorEastAsia" w:hAnsiTheme="minorHAnsi"/>
              <w:noProof/>
              <w:sz w:val="24"/>
              <w:szCs w:val="24"/>
              <w:lang w:eastAsia="en-AU"/>
            </w:rPr>
          </w:pPr>
          <w:hyperlink w:anchor="_Toc222998778" w:history="1">
            <w:r w:rsidRPr="00D2382B">
              <w:rPr>
                <w:rStyle w:val="Hyperlink"/>
                <w:noProof/>
                <w:w w:val="105"/>
              </w:rPr>
              <w:t>7.3</w:t>
            </w:r>
            <w:r>
              <w:rPr>
                <w:rFonts w:asciiTheme="minorHAnsi" w:eastAsiaTheme="minorEastAsia" w:hAnsiTheme="minorHAnsi"/>
                <w:noProof/>
                <w:sz w:val="24"/>
                <w:szCs w:val="24"/>
                <w:lang w:eastAsia="en-AU"/>
              </w:rPr>
              <w:tab/>
            </w:r>
            <w:r w:rsidRPr="00D2382B">
              <w:rPr>
                <w:rStyle w:val="Hyperlink"/>
                <w:noProof/>
                <w:w w:val="105"/>
              </w:rPr>
              <w:t>Socio-economic backgrounds, choice of university fields of study, and post-university labour market outcomes</w:t>
            </w:r>
            <w:r>
              <w:rPr>
                <w:noProof/>
                <w:webHidden/>
              </w:rPr>
              <w:tab/>
            </w:r>
            <w:r>
              <w:rPr>
                <w:noProof/>
                <w:webHidden/>
              </w:rPr>
              <w:fldChar w:fldCharType="begin"/>
            </w:r>
            <w:r>
              <w:rPr>
                <w:noProof/>
                <w:webHidden/>
              </w:rPr>
              <w:instrText xml:space="preserve"> PAGEREF _Toc222998778 \h </w:instrText>
            </w:r>
            <w:r>
              <w:rPr>
                <w:noProof/>
                <w:webHidden/>
              </w:rPr>
            </w:r>
            <w:r>
              <w:rPr>
                <w:noProof/>
                <w:webHidden/>
              </w:rPr>
              <w:fldChar w:fldCharType="separate"/>
            </w:r>
            <w:r>
              <w:rPr>
                <w:noProof/>
                <w:webHidden/>
              </w:rPr>
              <w:t>34</w:t>
            </w:r>
            <w:r>
              <w:rPr>
                <w:noProof/>
                <w:webHidden/>
              </w:rPr>
              <w:fldChar w:fldCharType="end"/>
            </w:r>
          </w:hyperlink>
        </w:p>
        <w:p w14:paraId="24826F78" w14:textId="6CF5F201" w:rsidR="00E1181E" w:rsidRDefault="00E1181E">
          <w:pPr>
            <w:pStyle w:val="TOC1"/>
            <w:tabs>
              <w:tab w:val="left" w:pos="440"/>
              <w:tab w:val="right" w:leader="dot" w:pos="9016"/>
            </w:tabs>
            <w:rPr>
              <w:rFonts w:asciiTheme="minorHAnsi" w:eastAsiaTheme="minorEastAsia" w:hAnsiTheme="minorHAnsi"/>
              <w:noProof/>
              <w:sz w:val="24"/>
              <w:szCs w:val="24"/>
              <w:lang w:eastAsia="en-AU"/>
            </w:rPr>
          </w:pPr>
          <w:hyperlink w:anchor="_Toc222998779" w:history="1">
            <w:r w:rsidRPr="00D2382B">
              <w:rPr>
                <w:rStyle w:val="Hyperlink"/>
                <w:noProof/>
              </w:rPr>
              <w:t>8.</w:t>
            </w:r>
            <w:r>
              <w:rPr>
                <w:rFonts w:asciiTheme="minorHAnsi" w:eastAsiaTheme="minorEastAsia" w:hAnsiTheme="minorHAnsi"/>
                <w:noProof/>
                <w:sz w:val="24"/>
                <w:szCs w:val="24"/>
                <w:lang w:eastAsia="en-AU"/>
              </w:rPr>
              <w:tab/>
            </w:r>
            <w:r w:rsidRPr="00D2382B">
              <w:rPr>
                <w:rStyle w:val="Hyperlink"/>
                <w:noProof/>
              </w:rPr>
              <w:t>Conclusion</w:t>
            </w:r>
            <w:r>
              <w:rPr>
                <w:noProof/>
                <w:webHidden/>
              </w:rPr>
              <w:tab/>
            </w:r>
            <w:r>
              <w:rPr>
                <w:noProof/>
                <w:webHidden/>
              </w:rPr>
              <w:fldChar w:fldCharType="begin"/>
            </w:r>
            <w:r>
              <w:rPr>
                <w:noProof/>
                <w:webHidden/>
              </w:rPr>
              <w:instrText xml:space="preserve"> PAGEREF _Toc222998779 \h </w:instrText>
            </w:r>
            <w:r>
              <w:rPr>
                <w:noProof/>
                <w:webHidden/>
              </w:rPr>
            </w:r>
            <w:r>
              <w:rPr>
                <w:noProof/>
                <w:webHidden/>
              </w:rPr>
              <w:fldChar w:fldCharType="separate"/>
            </w:r>
            <w:r>
              <w:rPr>
                <w:noProof/>
                <w:webHidden/>
              </w:rPr>
              <w:t>36</w:t>
            </w:r>
            <w:r>
              <w:rPr>
                <w:noProof/>
                <w:webHidden/>
              </w:rPr>
              <w:fldChar w:fldCharType="end"/>
            </w:r>
          </w:hyperlink>
        </w:p>
        <w:p w14:paraId="3AFB2609" w14:textId="10722683" w:rsidR="00E1181E" w:rsidRDefault="00E1181E">
          <w:pPr>
            <w:pStyle w:val="TOC2"/>
            <w:tabs>
              <w:tab w:val="left" w:pos="960"/>
              <w:tab w:val="right" w:leader="dot" w:pos="9016"/>
            </w:tabs>
            <w:rPr>
              <w:rFonts w:asciiTheme="minorHAnsi" w:eastAsiaTheme="minorEastAsia" w:hAnsiTheme="minorHAnsi"/>
              <w:noProof/>
              <w:sz w:val="24"/>
              <w:szCs w:val="24"/>
              <w:lang w:eastAsia="en-AU"/>
            </w:rPr>
          </w:pPr>
          <w:hyperlink w:anchor="_Toc222998780" w:history="1">
            <w:r w:rsidRPr="00D2382B">
              <w:rPr>
                <w:rStyle w:val="Hyperlink"/>
                <w:noProof/>
                <w:w w:val="105"/>
              </w:rPr>
              <w:t>8.1</w:t>
            </w:r>
            <w:r>
              <w:rPr>
                <w:rFonts w:asciiTheme="minorHAnsi" w:eastAsiaTheme="minorEastAsia" w:hAnsiTheme="minorHAnsi"/>
                <w:noProof/>
                <w:sz w:val="24"/>
                <w:szCs w:val="24"/>
                <w:lang w:eastAsia="en-AU"/>
              </w:rPr>
              <w:tab/>
            </w:r>
            <w:r w:rsidRPr="00D2382B">
              <w:rPr>
                <w:rStyle w:val="Hyperlink"/>
                <w:noProof/>
                <w:w w:val="105"/>
              </w:rPr>
              <w:t>Recommendations</w:t>
            </w:r>
            <w:r>
              <w:rPr>
                <w:noProof/>
                <w:webHidden/>
              </w:rPr>
              <w:tab/>
            </w:r>
            <w:r>
              <w:rPr>
                <w:noProof/>
                <w:webHidden/>
              </w:rPr>
              <w:fldChar w:fldCharType="begin"/>
            </w:r>
            <w:r>
              <w:rPr>
                <w:noProof/>
                <w:webHidden/>
              </w:rPr>
              <w:instrText xml:space="preserve"> PAGEREF _Toc222998780 \h </w:instrText>
            </w:r>
            <w:r>
              <w:rPr>
                <w:noProof/>
                <w:webHidden/>
              </w:rPr>
            </w:r>
            <w:r>
              <w:rPr>
                <w:noProof/>
                <w:webHidden/>
              </w:rPr>
              <w:fldChar w:fldCharType="separate"/>
            </w:r>
            <w:r>
              <w:rPr>
                <w:noProof/>
                <w:webHidden/>
              </w:rPr>
              <w:t>37</w:t>
            </w:r>
            <w:r>
              <w:rPr>
                <w:noProof/>
                <w:webHidden/>
              </w:rPr>
              <w:fldChar w:fldCharType="end"/>
            </w:r>
          </w:hyperlink>
        </w:p>
        <w:p w14:paraId="4FEF0022" w14:textId="4F41D082" w:rsidR="00E1181E" w:rsidRDefault="00E1181E">
          <w:pPr>
            <w:pStyle w:val="TOC2"/>
            <w:tabs>
              <w:tab w:val="left" w:pos="960"/>
              <w:tab w:val="right" w:leader="dot" w:pos="9016"/>
            </w:tabs>
            <w:rPr>
              <w:rFonts w:asciiTheme="minorHAnsi" w:eastAsiaTheme="minorEastAsia" w:hAnsiTheme="minorHAnsi"/>
              <w:noProof/>
              <w:sz w:val="24"/>
              <w:szCs w:val="24"/>
              <w:lang w:eastAsia="en-AU"/>
            </w:rPr>
          </w:pPr>
          <w:hyperlink w:anchor="_Toc222998781" w:history="1">
            <w:r w:rsidRPr="00D2382B">
              <w:rPr>
                <w:rStyle w:val="Hyperlink"/>
                <w:noProof/>
                <w:w w:val="105"/>
              </w:rPr>
              <w:t>8.2</w:t>
            </w:r>
            <w:r>
              <w:rPr>
                <w:rFonts w:asciiTheme="minorHAnsi" w:eastAsiaTheme="minorEastAsia" w:hAnsiTheme="minorHAnsi"/>
                <w:noProof/>
                <w:sz w:val="24"/>
                <w:szCs w:val="24"/>
                <w:lang w:eastAsia="en-AU"/>
              </w:rPr>
              <w:tab/>
            </w:r>
            <w:r w:rsidRPr="00D2382B">
              <w:rPr>
                <w:rStyle w:val="Hyperlink"/>
                <w:noProof/>
                <w:w w:val="105"/>
              </w:rPr>
              <w:t>Limitations and future research</w:t>
            </w:r>
            <w:r>
              <w:rPr>
                <w:noProof/>
                <w:webHidden/>
              </w:rPr>
              <w:tab/>
            </w:r>
            <w:r>
              <w:rPr>
                <w:noProof/>
                <w:webHidden/>
              </w:rPr>
              <w:fldChar w:fldCharType="begin"/>
            </w:r>
            <w:r>
              <w:rPr>
                <w:noProof/>
                <w:webHidden/>
              </w:rPr>
              <w:instrText xml:space="preserve"> PAGEREF _Toc222998781 \h </w:instrText>
            </w:r>
            <w:r>
              <w:rPr>
                <w:noProof/>
                <w:webHidden/>
              </w:rPr>
            </w:r>
            <w:r>
              <w:rPr>
                <w:noProof/>
                <w:webHidden/>
              </w:rPr>
              <w:fldChar w:fldCharType="separate"/>
            </w:r>
            <w:r>
              <w:rPr>
                <w:noProof/>
                <w:webHidden/>
              </w:rPr>
              <w:t>37</w:t>
            </w:r>
            <w:r>
              <w:rPr>
                <w:noProof/>
                <w:webHidden/>
              </w:rPr>
              <w:fldChar w:fldCharType="end"/>
            </w:r>
          </w:hyperlink>
        </w:p>
        <w:p w14:paraId="1EE50287" w14:textId="42863BE9" w:rsidR="00E1181E" w:rsidRDefault="00E1181E">
          <w:pPr>
            <w:pStyle w:val="TOC1"/>
            <w:tabs>
              <w:tab w:val="left" w:pos="440"/>
              <w:tab w:val="right" w:leader="dot" w:pos="9016"/>
            </w:tabs>
            <w:rPr>
              <w:rFonts w:asciiTheme="minorHAnsi" w:eastAsiaTheme="minorEastAsia" w:hAnsiTheme="minorHAnsi"/>
              <w:noProof/>
              <w:sz w:val="24"/>
              <w:szCs w:val="24"/>
              <w:lang w:eastAsia="en-AU"/>
            </w:rPr>
          </w:pPr>
          <w:hyperlink w:anchor="_Toc222998782" w:history="1">
            <w:r w:rsidRPr="00D2382B">
              <w:rPr>
                <w:rStyle w:val="Hyperlink"/>
                <w:noProof/>
              </w:rPr>
              <w:t>9.</w:t>
            </w:r>
            <w:r>
              <w:rPr>
                <w:rFonts w:asciiTheme="minorHAnsi" w:eastAsiaTheme="minorEastAsia" w:hAnsiTheme="minorHAnsi"/>
                <w:noProof/>
                <w:sz w:val="24"/>
                <w:szCs w:val="24"/>
                <w:lang w:eastAsia="en-AU"/>
              </w:rPr>
              <w:tab/>
            </w:r>
            <w:r w:rsidRPr="00D2382B">
              <w:rPr>
                <w:rStyle w:val="Hyperlink"/>
                <w:noProof/>
              </w:rPr>
              <w:t>References</w:t>
            </w:r>
            <w:r>
              <w:rPr>
                <w:noProof/>
                <w:webHidden/>
              </w:rPr>
              <w:tab/>
            </w:r>
            <w:r>
              <w:rPr>
                <w:noProof/>
                <w:webHidden/>
              </w:rPr>
              <w:fldChar w:fldCharType="begin"/>
            </w:r>
            <w:r>
              <w:rPr>
                <w:noProof/>
                <w:webHidden/>
              </w:rPr>
              <w:instrText xml:space="preserve"> PAGEREF _Toc222998782 \h </w:instrText>
            </w:r>
            <w:r>
              <w:rPr>
                <w:noProof/>
                <w:webHidden/>
              </w:rPr>
            </w:r>
            <w:r>
              <w:rPr>
                <w:noProof/>
                <w:webHidden/>
              </w:rPr>
              <w:fldChar w:fldCharType="separate"/>
            </w:r>
            <w:r>
              <w:rPr>
                <w:noProof/>
                <w:webHidden/>
              </w:rPr>
              <w:t>39</w:t>
            </w:r>
            <w:r>
              <w:rPr>
                <w:noProof/>
                <w:webHidden/>
              </w:rPr>
              <w:fldChar w:fldCharType="end"/>
            </w:r>
          </w:hyperlink>
        </w:p>
        <w:p w14:paraId="529EB747" w14:textId="6B965873" w:rsidR="00E1181E" w:rsidRDefault="00E1181E">
          <w:pPr>
            <w:pStyle w:val="TOC1"/>
            <w:tabs>
              <w:tab w:val="left" w:pos="720"/>
              <w:tab w:val="right" w:leader="dot" w:pos="9016"/>
            </w:tabs>
            <w:rPr>
              <w:rFonts w:asciiTheme="minorHAnsi" w:eastAsiaTheme="minorEastAsia" w:hAnsiTheme="minorHAnsi"/>
              <w:noProof/>
              <w:sz w:val="24"/>
              <w:szCs w:val="24"/>
              <w:lang w:eastAsia="en-AU"/>
            </w:rPr>
          </w:pPr>
          <w:hyperlink w:anchor="_Toc222998783" w:history="1">
            <w:r w:rsidRPr="00D2382B">
              <w:rPr>
                <w:rStyle w:val="Hyperlink"/>
                <w:noProof/>
              </w:rPr>
              <w:t>10.</w:t>
            </w:r>
            <w:r>
              <w:rPr>
                <w:rFonts w:asciiTheme="minorHAnsi" w:eastAsiaTheme="minorEastAsia" w:hAnsiTheme="minorHAnsi"/>
                <w:noProof/>
                <w:sz w:val="24"/>
                <w:szCs w:val="24"/>
                <w:lang w:eastAsia="en-AU"/>
              </w:rPr>
              <w:tab/>
            </w:r>
            <w:r w:rsidRPr="00D2382B">
              <w:rPr>
                <w:rStyle w:val="Hyperlink"/>
                <w:noProof/>
              </w:rPr>
              <w:t>Appendix</w:t>
            </w:r>
            <w:r>
              <w:rPr>
                <w:noProof/>
                <w:webHidden/>
              </w:rPr>
              <w:tab/>
            </w:r>
            <w:r>
              <w:rPr>
                <w:noProof/>
                <w:webHidden/>
              </w:rPr>
              <w:fldChar w:fldCharType="begin"/>
            </w:r>
            <w:r>
              <w:rPr>
                <w:noProof/>
                <w:webHidden/>
              </w:rPr>
              <w:instrText xml:space="preserve"> PAGEREF _Toc222998783 \h </w:instrText>
            </w:r>
            <w:r>
              <w:rPr>
                <w:noProof/>
                <w:webHidden/>
              </w:rPr>
            </w:r>
            <w:r>
              <w:rPr>
                <w:noProof/>
                <w:webHidden/>
              </w:rPr>
              <w:fldChar w:fldCharType="separate"/>
            </w:r>
            <w:r>
              <w:rPr>
                <w:noProof/>
                <w:webHidden/>
              </w:rPr>
              <w:t>43</w:t>
            </w:r>
            <w:r>
              <w:rPr>
                <w:noProof/>
                <w:webHidden/>
              </w:rPr>
              <w:fldChar w:fldCharType="end"/>
            </w:r>
          </w:hyperlink>
        </w:p>
        <w:p w14:paraId="3E1635F8" w14:textId="2DEA0E83" w:rsidR="00985F7E" w:rsidRPr="00810673" w:rsidRDefault="00E1181E" w:rsidP="008C7722">
          <w:pPr>
            <w:rPr>
              <w:rFonts w:cs="Arial"/>
              <w:noProof/>
            </w:rPr>
          </w:pPr>
          <w:r>
            <w:rPr>
              <w:rFonts w:cs="Arial"/>
            </w:rPr>
            <w:fldChar w:fldCharType="end"/>
          </w:r>
        </w:p>
      </w:sdtContent>
    </w:sdt>
    <w:p w14:paraId="21B1C42F" w14:textId="77777777" w:rsidR="00BC40C7" w:rsidRPr="0016620E" w:rsidRDefault="00BC40C7">
      <w:pPr>
        <w:spacing w:line="259" w:lineRule="auto"/>
        <w:rPr>
          <w:rFonts w:eastAsiaTheme="majorEastAsia" w:cs="Arial"/>
          <w:noProof/>
          <w:color w:val="6B3B57"/>
          <w:sz w:val="40"/>
          <w:szCs w:val="40"/>
          <w:lang w:eastAsia="en-AU"/>
        </w:rPr>
      </w:pPr>
      <w:r w:rsidRPr="0016620E">
        <w:rPr>
          <w:rFonts w:cs="Arial"/>
          <w:noProof/>
        </w:rPr>
        <w:br w:type="page"/>
      </w:r>
    </w:p>
    <w:p w14:paraId="1A02039E" w14:textId="53175FB0" w:rsidR="009D6D47" w:rsidRPr="0016620E" w:rsidRDefault="009D6D47" w:rsidP="004D121F">
      <w:pPr>
        <w:pStyle w:val="Heading2"/>
        <w:numPr>
          <w:ilvl w:val="0"/>
          <w:numId w:val="0"/>
        </w:numPr>
        <w:rPr>
          <w:noProof/>
        </w:rPr>
      </w:pPr>
      <w:bookmarkStart w:id="7" w:name="_Toc222998758"/>
      <w:r w:rsidRPr="0016620E">
        <w:rPr>
          <w:noProof/>
        </w:rPr>
        <w:lastRenderedPageBreak/>
        <w:t xml:space="preserve">List of </w:t>
      </w:r>
      <w:r w:rsidR="00E0748C">
        <w:rPr>
          <w:noProof/>
        </w:rPr>
        <w:t>t</w:t>
      </w:r>
      <w:r w:rsidRPr="0016620E">
        <w:rPr>
          <w:noProof/>
        </w:rPr>
        <w:t>ables</w:t>
      </w:r>
      <w:bookmarkEnd w:id="7"/>
    </w:p>
    <w:p w14:paraId="102B4B8B" w14:textId="07123A4D" w:rsidR="00E1181E" w:rsidRDefault="000F3111" w:rsidP="00E1181E">
      <w:pPr>
        <w:pStyle w:val="TableofFigures"/>
        <w:tabs>
          <w:tab w:val="right" w:leader="dot" w:pos="9016"/>
        </w:tabs>
        <w:rPr>
          <w:rFonts w:asciiTheme="minorHAnsi" w:eastAsiaTheme="minorEastAsia" w:hAnsiTheme="minorHAnsi"/>
          <w:noProof/>
          <w:sz w:val="24"/>
          <w:szCs w:val="24"/>
          <w:lang w:eastAsia="en-AU"/>
        </w:rPr>
      </w:pPr>
      <w:r w:rsidRPr="003C119C">
        <w:rPr>
          <w:rFonts w:cs="Arial"/>
          <w:noProof/>
        </w:rPr>
        <w:fldChar w:fldCharType="begin"/>
      </w:r>
      <w:r w:rsidRPr="003C119C">
        <w:rPr>
          <w:rFonts w:cs="Arial"/>
          <w:noProof/>
        </w:rPr>
        <w:instrText xml:space="preserve"> TOC \h \z \c "Table" </w:instrText>
      </w:r>
      <w:r w:rsidRPr="003C119C">
        <w:rPr>
          <w:rFonts w:cs="Arial"/>
          <w:noProof/>
        </w:rPr>
        <w:fldChar w:fldCharType="separate"/>
      </w:r>
      <w:hyperlink w:anchor="_Toc222998784" w:history="1">
        <w:r w:rsidR="00E1181E" w:rsidRPr="002D388E">
          <w:rPr>
            <w:rStyle w:val="Hyperlink"/>
            <w:noProof/>
          </w:rPr>
          <w:t>Table 1</w:t>
        </w:r>
        <w:r w:rsidR="00E1181E" w:rsidRPr="002D388E">
          <w:rPr>
            <w:rStyle w:val="Hyperlink"/>
            <w:rFonts w:cs="Arial"/>
            <w:noProof/>
          </w:rPr>
          <w:t>: Breakdown of the analytical sample by socio-economic background</w:t>
        </w:r>
        <w:r w:rsidR="00E1181E">
          <w:rPr>
            <w:noProof/>
            <w:webHidden/>
          </w:rPr>
          <w:tab/>
        </w:r>
        <w:r w:rsidR="00E1181E">
          <w:rPr>
            <w:noProof/>
            <w:webHidden/>
          </w:rPr>
          <w:fldChar w:fldCharType="begin"/>
        </w:r>
        <w:r w:rsidR="00E1181E">
          <w:rPr>
            <w:noProof/>
            <w:webHidden/>
          </w:rPr>
          <w:instrText xml:space="preserve"> PAGEREF _Toc222998784 \h </w:instrText>
        </w:r>
        <w:r w:rsidR="00E1181E">
          <w:rPr>
            <w:noProof/>
            <w:webHidden/>
          </w:rPr>
        </w:r>
        <w:r w:rsidR="00E1181E">
          <w:rPr>
            <w:noProof/>
            <w:webHidden/>
          </w:rPr>
          <w:fldChar w:fldCharType="separate"/>
        </w:r>
        <w:r w:rsidR="00E1181E">
          <w:rPr>
            <w:noProof/>
            <w:webHidden/>
          </w:rPr>
          <w:t>12</w:t>
        </w:r>
        <w:r w:rsidR="00E1181E">
          <w:rPr>
            <w:noProof/>
            <w:webHidden/>
          </w:rPr>
          <w:fldChar w:fldCharType="end"/>
        </w:r>
      </w:hyperlink>
    </w:p>
    <w:p w14:paraId="67FDC2EC" w14:textId="526C93D9" w:rsidR="00E1181E" w:rsidRDefault="00E1181E" w:rsidP="00E1181E">
      <w:pPr>
        <w:pStyle w:val="TableofFigures"/>
        <w:tabs>
          <w:tab w:val="right" w:leader="dot" w:pos="9016"/>
        </w:tabs>
        <w:rPr>
          <w:rFonts w:asciiTheme="minorHAnsi" w:eastAsiaTheme="minorEastAsia" w:hAnsiTheme="minorHAnsi"/>
          <w:noProof/>
          <w:sz w:val="24"/>
          <w:szCs w:val="24"/>
          <w:lang w:eastAsia="en-AU"/>
        </w:rPr>
      </w:pPr>
      <w:hyperlink w:anchor="_Toc222998785" w:history="1">
        <w:r w:rsidRPr="002D388E">
          <w:rPr>
            <w:rStyle w:val="Hyperlink"/>
            <w:noProof/>
          </w:rPr>
          <w:t xml:space="preserve">Table 2: </w:t>
        </w:r>
        <w:r w:rsidRPr="002D388E">
          <w:rPr>
            <w:rStyle w:val="Hyperlink"/>
            <w:rFonts w:cs="Arial"/>
            <w:noProof/>
          </w:rPr>
          <w:t>Descriptive statistics of individuals in the analytical sample</w:t>
        </w:r>
        <w:r>
          <w:rPr>
            <w:noProof/>
            <w:webHidden/>
          </w:rPr>
          <w:tab/>
        </w:r>
        <w:r>
          <w:rPr>
            <w:noProof/>
            <w:webHidden/>
          </w:rPr>
          <w:fldChar w:fldCharType="begin"/>
        </w:r>
        <w:r>
          <w:rPr>
            <w:noProof/>
            <w:webHidden/>
          </w:rPr>
          <w:instrText xml:space="preserve"> PAGEREF _Toc222998785 \h </w:instrText>
        </w:r>
        <w:r>
          <w:rPr>
            <w:noProof/>
            <w:webHidden/>
          </w:rPr>
        </w:r>
        <w:r>
          <w:rPr>
            <w:noProof/>
            <w:webHidden/>
          </w:rPr>
          <w:fldChar w:fldCharType="separate"/>
        </w:r>
        <w:r>
          <w:rPr>
            <w:noProof/>
            <w:webHidden/>
          </w:rPr>
          <w:t>12</w:t>
        </w:r>
        <w:r>
          <w:rPr>
            <w:noProof/>
            <w:webHidden/>
          </w:rPr>
          <w:fldChar w:fldCharType="end"/>
        </w:r>
      </w:hyperlink>
    </w:p>
    <w:p w14:paraId="0D2BD71E" w14:textId="43F1A26E" w:rsidR="00E1181E" w:rsidRDefault="00E1181E" w:rsidP="00E1181E">
      <w:pPr>
        <w:pStyle w:val="TableofFigures"/>
        <w:tabs>
          <w:tab w:val="right" w:leader="dot" w:pos="9016"/>
        </w:tabs>
        <w:rPr>
          <w:rFonts w:asciiTheme="minorHAnsi" w:eastAsiaTheme="minorEastAsia" w:hAnsiTheme="minorHAnsi"/>
          <w:noProof/>
          <w:sz w:val="24"/>
          <w:szCs w:val="24"/>
          <w:lang w:eastAsia="en-AU"/>
        </w:rPr>
      </w:pPr>
      <w:hyperlink w:anchor="_Toc222998786" w:history="1">
        <w:r w:rsidRPr="002D388E">
          <w:rPr>
            <w:rStyle w:val="Hyperlink"/>
            <w:rFonts w:cs="Arial"/>
            <w:noProof/>
          </w:rPr>
          <w:t>Table 3</w:t>
        </w:r>
        <w:r w:rsidRPr="002D388E">
          <w:rPr>
            <w:rStyle w:val="Hyperlink"/>
            <w:rFonts w:cs="Arial"/>
            <w:noProof/>
            <w:lang w:eastAsia="en-AU"/>
          </w:rPr>
          <w:t>: Probability of choosing a high-paying field of study</w:t>
        </w:r>
        <w:r>
          <w:rPr>
            <w:noProof/>
            <w:webHidden/>
          </w:rPr>
          <w:tab/>
        </w:r>
        <w:r>
          <w:rPr>
            <w:noProof/>
            <w:webHidden/>
          </w:rPr>
          <w:fldChar w:fldCharType="begin"/>
        </w:r>
        <w:r>
          <w:rPr>
            <w:noProof/>
            <w:webHidden/>
          </w:rPr>
          <w:instrText xml:space="preserve"> PAGEREF _Toc222998786 \h </w:instrText>
        </w:r>
        <w:r>
          <w:rPr>
            <w:noProof/>
            <w:webHidden/>
          </w:rPr>
        </w:r>
        <w:r>
          <w:rPr>
            <w:noProof/>
            <w:webHidden/>
          </w:rPr>
          <w:fldChar w:fldCharType="separate"/>
        </w:r>
        <w:r>
          <w:rPr>
            <w:noProof/>
            <w:webHidden/>
          </w:rPr>
          <w:t>23</w:t>
        </w:r>
        <w:r>
          <w:rPr>
            <w:noProof/>
            <w:webHidden/>
          </w:rPr>
          <w:fldChar w:fldCharType="end"/>
        </w:r>
      </w:hyperlink>
    </w:p>
    <w:p w14:paraId="65E84548" w14:textId="6D13C280" w:rsidR="00E1181E" w:rsidRDefault="00E1181E" w:rsidP="00E1181E">
      <w:pPr>
        <w:pStyle w:val="TableofFigures"/>
        <w:tabs>
          <w:tab w:val="right" w:leader="dot" w:pos="9016"/>
        </w:tabs>
        <w:rPr>
          <w:rFonts w:asciiTheme="minorHAnsi" w:eastAsiaTheme="minorEastAsia" w:hAnsiTheme="minorHAnsi"/>
          <w:noProof/>
          <w:sz w:val="24"/>
          <w:szCs w:val="24"/>
          <w:lang w:eastAsia="en-AU"/>
        </w:rPr>
      </w:pPr>
      <w:hyperlink w:anchor="_Toc222998787" w:history="1">
        <w:r w:rsidRPr="002D388E">
          <w:rPr>
            <w:rStyle w:val="Hyperlink"/>
            <w:rFonts w:cs="Arial"/>
            <w:noProof/>
          </w:rPr>
          <w:t>Table 4</w:t>
        </w:r>
        <w:r w:rsidRPr="002D388E">
          <w:rPr>
            <w:rStyle w:val="Hyperlink"/>
            <w:rFonts w:cs="Arial"/>
            <w:noProof/>
            <w:lang w:eastAsia="en-AU"/>
          </w:rPr>
          <w:t>: Probability of choosing a low-paying field of study</w:t>
        </w:r>
        <w:r>
          <w:rPr>
            <w:noProof/>
            <w:webHidden/>
          </w:rPr>
          <w:tab/>
        </w:r>
        <w:r>
          <w:rPr>
            <w:noProof/>
            <w:webHidden/>
          </w:rPr>
          <w:fldChar w:fldCharType="begin"/>
        </w:r>
        <w:r>
          <w:rPr>
            <w:noProof/>
            <w:webHidden/>
          </w:rPr>
          <w:instrText xml:space="preserve"> PAGEREF _Toc222998787 \h </w:instrText>
        </w:r>
        <w:r>
          <w:rPr>
            <w:noProof/>
            <w:webHidden/>
          </w:rPr>
        </w:r>
        <w:r>
          <w:rPr>
            <w:noProof/>
            <w:webHidden/>
          </w:rPr>
          <w:fldChar w:fldCharType="separate"/>
        </w:r>
        <w:r>
          <w:rPr>
            <w:noProof/>
            <w:webHidden/>
          </w:rPr>
          <w:t>24</w:t>
        </w:r>
        <w:r>
          <w:rPr>
            <w:noProof/>
            <w:webHidden/>
          </w:rPr>
          <w:fldChar w:fldCharType="end"/>
        </w:r>
      </w:hyperlink>
    </w:p>
    <w:p w14:paraId="1AB6BB84" w14:textId="349ADC73" w:rsidR="00E1181E" w:rsidRDefault="00E1181E" w:rsidP="00E1181E">
      <w:pPr>
        <w:pStyle w:val="TableofFigures"/>
        <w:tabs>
          <w:tab w:val="right" w:leader="dot" w:pos="9016"/>
        </w:tabs>
        <w:rPr>
          <w:rFonts w:asciiTheme="minorHAnsi" w:eastAsiaTheme="minorEastAsia" w:hAnsiTheme="minorHAnsi"/>
          <w:noProof/>
          <w:sz w:val="24"/>
          <w:szCs w:val="24"/>
          <w:lang w:eastAsia="en-AU"/>
        </w:rPr>
      </w:pPr>
      <w:hyperlink w:anchor="_Toc222998788" w:history="1">
        <w:r w:rsidRPr="002D388E">
          <w:rPr>
            <w:rStyle w:val="Hyperlink"/>
            <w:rFonts w:cs="Arial"/>
            <w:noProof/>
          </w:rPr>
          <w:t>Table 5</w:t>
        </w:r>
        <w:r w:rsidRPr="002D388E">
          <w:rPr>
            <w:rStyle w:val="Hyperlink"/>
            <w:rFonts w:cs="Arial"/>
            <w:noProof/>
            <w:lang w:eastAsia="en-AU"/>
          </w:rPr>
          <w:t>: Ordered probit model estimates for the choice of fields of study</w:t>
        </w:r>
        <w:r>
          <w:rPr>
            <w:noProof/>
            <w:webHidden/>
          </w:rPr>
          <w:tab/>
        </w:r>
        <w:r>
          <w:rPr>
            <w:noProof/>
            <w:webHidden/>
          </w:rPr>
          <w:fldChar w:fldCharType="begin"/>
        </w:r>
        <w:r>
          <w:rPr>
            <w:noProof/>
            <w:webHidden/>
          </w:rPr>
          <w:instrText xml:space="preserve"> PAGEREF _Toc222998788 \h </w:instrText>
        </w:r>
        <w:r>
          <w:rPr>
            <w:noProof/>
            <w:webHidden/>
          </w:rPr>
        </w:r>
        <w:r>
          <w:rPr>
            <w:noProof/>
            <w:webHidden/>
          </w:rPr>
          <w:fldChar w:fldCharType="separate"/>
        </w:r>
        <w:r>
          <w:rPr>
            <w:noProof/>
            <w:webHidden/>
          </w:rPr>
          <w:t>25</w:t>
        </w:r>
        <w:r>
          <w:rPr>
            <w:noProof/>
            <w:webHidden/>
          </w:rPr>
          <w:fldChar w:fldCharType="end"/>
        </w:r>
      </w:hyperlink>
    </w:p>
    <w:p w14:paraId="6F44810E" w14:textId="31A60269" w:rsidR="00E1181E" w:rsidRDefault="00E1181E" w:rsidP="00E1181E">
      <w:pPr>
        <w:pStyle w:val="TableofFigures"/>
        <w:tabs>
          <w:tab w:val="right" w:leader="dot" w:pos="9016"/>
        </w:tabs>
        <w:rPr>
          <w:rFonts w:asciiTheme="minorHAnsi" w:eastAsiaTheme="minorEastAsia" w:hAnsiTheme="minorHAnsi"/>
          <w:noProof/>
          <w:sz w:val="24"/>
          <w:szCs w:val="24"/>
          <w:lang w:eastAsia="en-AU"/>
        </w:rPr>
      </w:pPr>
      <w:hyperlink w:anchor="_Toc222998789" w:history="1">
        <w:r w:rsidRPr="002D388E">
          <w:rPr>
            <w:rStyle w:val="Hyperlink"/>
            <w:rFonts w:cs="Arial"/>
            <w:noProof/>
          </w:rPr>
          <w:t>Table 6</w:t>
        </w:r>
        <w:r w:rsidRPr="002D388E">
          <w:rPr>
            <w:rStyle w:val="Hyperlink"/>
            <w:rFonts w:cs="Arial"/>
            <w:noProof/>
            <w:lang w:eastAsia="en-AU"/>
          </w:rPr>
          <w:t>: Probability of full-time employment</w:t>
        </w:r>
        <w:r>
          <w:rPr>
            <w:noProof/>
            <w:webHidden/>
          </w:rPr>
          <w:tab/>
        </w:r>
        <w:r>
          <w:rPr>
            <w:noProof/>
            <w:webHidden/>
          </w:rPr>
          <w:fldChar w:fldCharType="begin"/>
        </w:r>
        <w:r>
          <w:rPr>
            <w:noProof/>
            <w:webHidden/>
          </w:rPr>
          <w:instrText xml:space="preserve"> PAGEREF _Toc222998789 \h </w:instrText>
        </w:r>
        <w:r>
          <w:rPr>
            <w:noProof/>
            <w:webHidden/>
          </w:rPr>
        </w:r>
        <w:r>
          <w:rPr>
            <w:noProof/>
            <w:webHidden/>
          </w:rPr>
          <w:fldChar w:fldCharType="separate"/>
        </w:r>
        <w:r>
          <w:rPr>
            <w:noProof/>
            <w:webHidden/>
          </w:rPr>
          <w:t>26</w:t>
        </w:r>
        <w:r>
          <w:rPr>
            <w:noProof/>
            <w:webHidden/>
          </w:rPr>
          <w:fldChar w:fldCharType="end"/>
        </w:r>
      </w:hyperlink>
    </w:p>
    <w:p w14:paraId="3217E894" w14:textId="373759C0" w:rsidR="00E1181E" w:rsidRDefault="00E1181E" w:rsidP="00E1181E">
      <w:pPr>
        <w:pStyle w:val="TableofFigures"/>
        <w:tabs>
          <w:tab w:val="right" w:leader="dot" w:pos="9016"/>
        </w:tabs>
        <w:rPr>
          <w:rFonts w:asciiTheme="minorHAnsi" w:eastAsiaTheme="minorEastAsia" w:hAnsiTheme="minorHAnsi"/>
          <w:noProof/>
          <w:sz w:val="24"/>
          <w:szCs w:val="24"/>
          <w:lang w:eastAsia="en-AU"/>
        </w:rPr>
      </w:pPr>
      <w:hyperlink w:anchor="_Toc222998790" w:history="1">
        <w:r w:rsidRPr="002D388E">
          <w:rPr>
            <w:rStyle w:val="Hyperlink"/>
            <w:rFonts w:cs="Arial"/>
            <w:noProof/>
          </w:rPr>
          <w:t>Table 7: Probability of permanent or ongoing employment</w:t>
        </w:r>
        <w:r>
          <w:rPr>
            <w:noProof/>
            <w:webHidden/>
          </w:rPr>
          <w:tab/>
        </w:r>
        <w:r>
          <w:rPr>
            <w:noProof/>
            <w:webHidden/>
          </w:rPr>
          <w:fldChar w:fldCharType="begin"/>
        </w:r>
        <w:r>
          <w:rPr>
            <w:noProof/>
            <w:webHidden/>
          </w:rPr>
          <w:instrText xml:space="preserve"> PAGEREF _Toc222998790 \h </w:instrText>
        </w:r>
        <w:r>
          <w:rPr>
            <w:noProof/>
            <w:webHidden/>
          </w:rPr>
        </w:r>
        <w:r>
          <w:rPr>
            <w:noProof/>
            <w:webHidden/>
          </w:rPr>
          <w:fldChar w:fldCharType="separate"/>
        </w:r>
        <w:r>
          <w:rPr>
            <w:noProof/>
            <w:webHidden/>
          </w:rPr>
          <w:t>27</w:t>
        </w:r>
        <w:r>
          <w:rPr>
            <w:noProof/>
            <w:webHidden/>
          </w:rPr>
          <w:fldChar w:fldCharType="end"/>
        </w:r>
      </w:hyperlink>
    </w:p>
    <w:p w14:paraId="5A423E38" w14:textId="45C6ADDD" w:rsidR="00E1181E" w:rsidRDefault="00E1181E" w:rsidP="00E1181E">
      <w:pPr>
        <w:pStyle w:val="TableofFigures"/>
        <w:tabs>
          <w:tab w:val="right" w:leader="dot" w:pos="9016"/>
        </w:tabs>
        <w:rPr>
          <w:rFonts w:asciiTheme="minorHAnsi" w:eastAsiaTheme="minorEastAsia" w:hAnsiTheme="minorHAnsi"/>
          <w:noProof/>
          <w:sz w:val="24"/>
          <w:szCs w:val="24"/>
          <w:lang w:eastAsia="en-AU"/>
        </w:rPr>
      </w:pPr>
      <w:hyperlink w:anchor="_Toc222998791" w:history="1">
        <w:r w:rsidRPr="002D388E">
          <w:rPr>
            <w:rStyle w:val="Hyperlink"/>
            <w:rFonts w:cs="Arial"/>
            <w:noProof/>
          </w:rPr>
          <w:t>Table 8</w:t>
        </w:r>
        <w:r w:rsidRPr="002D388E">
          <w:rPr>
            <w:rStyle w:val="Hyperlink"/>
            <w:rFonts w:cs="Arial"/>
            <w:noProof/>
            <w:lang w:eastAsia="en-AU"/>
          </w:rPr>
          <w:t>: Probability of having a managerial or professional job</w:t>
        </w:r>
        <w:r>
          <w:rPr>
            <w:noProof/>
            <w:webHidden/>
          </w:rPr>
          <w:tab/>
        </w:r>
        <w:r>
          <w:rPr>
            <w:noProof/>
            <w:webHidden/>
          </w:rPr>
          <w:fldChar w:fldCharType="begin"/>
        </w:r>
        <w:r>
          <w:rPr>
            <w:noProof/>
            <w:webHidden/>
          </w:rPr>
          <w:instrText xml:space="preserve"> PAGEREF _Toc222998791 \h </w:instrText>
        </w:r>
        <w:r>
          <w:rPr>
            <w:noProof/>
            <w:webHidden/>
          </w:rPr>
        </w:r>
        <w:r>
          <w:rPr>
            <w:noProof/>
            <w:webHidden/>
          </w:rPr>
          <w:fldChar w:fldCharType="separate"/>
        </w:r>
        <w:r>
          <w:rPr>
            <w:noProof/>
            <w:webHidden/>
          </w:rPr>
          <w:t>28</w:t>
        </w:r>
        <w:r>
          <w:rPr>
            <w:noProof/>
            <w:webHidden/>
          </w:rPr>
          <w:fldChar w:fldCharType="end"/>
        </w:r>
      </w:hyperlink>
    </w:p>
    <w:p w14:paraId="3A59DCFC" w14:textId="5617F822" w:rsidR="00E1181E" w:rsidRDefault="00E1181E" w:rsidP="00E1181E">
      <w:pPr>
        <w:pStyle w:val="TableofFigures"/>
        <w:tabs>
          <w:tab w:val="right" w:leader="dot" w:pos="9016"/>
        </w:tabs>
        <w:rPr>
          <w:rFonts w:asciiTheme="minorHAnsi" w:eastAsiaTheme="minorEastAsia" w:hAnsiTheme="minorHAnsi"/>
          <w:noProof/>
          <w:sz w:val="24"/>
          <w:szCs w:val="24"/>
          <w:lang w:eastAsia="en-AU"/>
        </w:rPr>
      </w:pPr>
      <w:hyperlink w:anchor="_Toc222998792" w:history="1">
        <w:r w:rsidRPr="002D388E">
          <w:rPr>
            <w:rStyle w:val="Hyperlink"/>
            <w:rFonts w:cs="Arial"/>
            <w:noProof/>
          </w:rPr>
          <w:t>Table 9</w:t>
        </w:r>
        <w:r w:rsidRPr="002D388E">
          <w:rPr>
            <w:rStyle w:val="Hyperlink"/>
            <w:rFonts w:cs="Arial"/>
            <w:noProof/>
            <w:lang w:eastAsia="en-AU"/>
          </w:rPr>
          <w:t>: Log</w:t>
        </w:r>
        <w:r w:rsidRPr="002D388E">
          <w:rPr>
            <w:rStyle w:val="Hyperlink"/>
            <w:rFonts w:cs="Arial"/>
            <w:noProof/>
          </w:rPr>
          <w:t xml:space="preserve"> weekly earnings</w:t>
        </w:r>
        <w:r>
          <w:rPr>
            <w:noProof/>
            <w:webHidden/>
          </w:rPr>
          <w:tab/>
        </w:r>
        <w:r>
          <w:rPr>
            <w:noProof/>
            <w:webHidden/>
          </w:rPr>
          <w:fldChar w:fldCharType="begin"/>
        </w:r>
        <w:r>
          <w:rPr>
            <w:noProof/>
            <w:webHidden/>
          </w:rPr>
          <w:instrText xml:space="preserve"> PAGEREF _Toc222998792 \h </w:instrText>
        </w:r>
        <w:r>
          <w:rPr>
            <w:noProof/>
            <w:webHidden/>
          </w:rPr>
        </w:r>
        <w:r>
          <w:rPr>
            <w:noProof/>
            <w:webHidden/>
          </w:rPr>
          <w:fldChar w:fldCharType="separate"/>
        </w:r>
        <w:r>
          <w:rPr>
            <w:noProof/>
            <w:webHidden/>
          </w:rPr>
          <w:t>29</w:t>
        </w:r>
        <w:r>
          <w:rPr>
            <w:noProof/>
            <w:webHidden/>
          </w:rPr>
          <w:fldChar w:fldCharType="end"/>
        </w:r>
      </w:hyperlink>
    </w:p>
    <w:p w14:paraId="247F85F1" w14:textId="7037AB66" w:rsidR="00E1181E" w:rsidRDefault="00E1181E" w:rsidP="00E1181E">
      <w:pPr>
        <w:pStyle w:val="TableofFigures"/>
        <w:tabs>
          <w:tab w:val="right" w:leader="dot" w:pos="9016"/>
        </w:tabs>
        <w:rPr>
          <w:rFonts w:asciiTheme="minorHAnsi" w:eastAsiaTheme="minorEastAsia" w:hAnsiTheme="minorHAnsi"/>
          <w:noProof/>
          <w:sz w:val="24"/>
          <w:szCs w:val="24"/>
          <w:lang w:eastAsia="en-AU"/>
        </w:rPr>
      </w:pPr>
      <w:hyperlink w:anchor="_Toc222998793" w:history="1">
        <w:r w:rsidRPr="002D388E">
          <w:rPr>
            <w:rStyle w:val="Hyperlink"/>
            <w:noProof/>
          </w:rPr>
          <w:t xml:space="preserve">Table 10: </w:t>
        </w:r>
        <w:r w:rsidRPr="002D388E">
          <w:rPr>
            <w:rStyle w:val="Hyperlink"/>
            <w:rFonts w:cs="Arial"/>
            <w:noProof/>
            <w:lang w:eastAsia="en-AU"/>
          </w:rPr>
          <w:t>Job satisfaction</w:t>
        </w:r>
        <w:r>
          <w:rPr>
            <w:noProof/>
            <w:webHidden/>
          </w:rPr>
          <w:tab/>
        </w:r>
        <w:r>
          <w:rPr>
            <w:noProof/>
            <w:webHidden/>
          </w:rPr>
          <w:fldChar w:fldCharType="begin"/>
        </w:r>
        <w:r>
          <w:rPr>
            <w:noProof/>
            <w:webHidden/>
          </w:rPr>
          <w:instrText xml:space="preserve"> PAGEREF _Toc222998793 \h </w:instrText>
        </w:r>
        <w:r>
          <w:rPr>
            <w:noProof/>
            <w:webHidden/>
          </w:rPr>
        </w:r>
        <w:r>
          <w:rPr>
            <w:noProof/>
            <w:webHidden/>
          </w:rPr>
          <w:fldChar w:fldCharType="separate"/>
        </w:r>
        <w:r>
          <w:rPr>
            <w:noProof/>
            <w:webHidden/>
          </w:rPr>
          <w:t>30</w:t>
        </w:r>
        <w:r>
          <w:rPr>
            <w:noProof/>
            <w:webHidden/>
          </w:rPr>
          <w:fldChar w:fldCharType="end"/>
        </w:r>
      </w:hyperlink>
    </w:p>
    <w:p w14:paraId="379FD87D" w14:textId="77777777" w:rsidR="00E1181E" w:rsidRDefault="000F3111" w:rsidP="00E1181E">
      <w:pPr>
        <w:pStyle w:val="TableofFigures"/>
        <w:tabs>
          <w:tab w:val="right" w:leader="dot" w:pos="9016"/>
        </w:tabs>
        <w:spacing w:after="100"/>
        <w:rPr>
          <w:noProof/>
        </w:rPr>
      </w:pPr>
      <w:r w:rsidRPr="003C119C">
        <w:rPr>
          <w:rFonts w:cs="Arial"/>
          <w:noProof/>
        </w:rPr>
        <w:fldChar w:fldCharType="end"/>
      </w:r>
      <w:r w:rsidR="00A42DC8" w:rsidRPr="003C119C">
        <w:rPr>
          <w:rFonts w:cs="Arial"/>
          <w:noProof/>
        </w:rPr>
        <w:fldChar w:fldCharType="begin"/>
      </w:r>
      <w:r w:rsidR="00A42DC8" w:rsidRPr="003C119C">
        <w:rPr>
          <w:rFonts w:cs="Arial"/>
          <w:noProof/>
        </w:rPr>
        <w:instrText xml:space="preserve"> TOC \h \z \c "Table A" </w:instrText>
      </w:r>
      <w:r w:rsidR="00A42DC8" w:rsidRPr="003C119C">
        <w:rPr>
          <w:rFonts w:cs="Arial"/>
          <w:noProof/>
        </w:rPr>
        <w:fldChar w:fldCharType="separate"/>
      </w:r>
    </w:p>
    <w:p w14:paraId="0A410769" w14:textId="1E5983A6" w:rsidR="00E1181E" w:rsidRDefault="00E1181E" w:rsidP="00E1181E">
      <w:pPr>
        <w:pStyle w:val="TableofFigures"/>
        <w:tabs>
          <w:tab w:val="right" w:leader="dot" w:pos="9016"/>
        </w:tabs>
        <w:rPr>
          <w:rFonts w:asciiTheme="minorHAnsi" w:eastAsiaTheme="minorEastAsia" w:hAnsiTheme="minorHAnsi"/>
          <w:noProof/>
          <w:sz w:val="24"/>
          <w:szCs w:val="24"/>
          <w:lang w:eastAsia="en-AU"/>
        </w:rPr>
      </w:pPr>
      <w:hyperlink w:anchor="_Toc222998794" w:history="1">
        <w:r w:rsidRPr="004746BA">
          <w:rPr>
            <w:rStyle w:val="Hyperlink"/>
            <w:noProof/>
          </w:rPr>
          <w:t xml:space="preserve">Table A1: </w:t>
        </w:r>
        <w:r w:rsidRPr="004746BA">
          <w:rPr>
            <w:rStyle w:val="Hyperlink"/>
            <w:rFonts w:cs="Arial"/>
            <w:noProof/>
          </w:rPr>
          <w:t>Labour market outcomes by socio-economic background</w:t>
        </w:r>
        <w:r>
          <w:rPr>
            <w:noProof/>
            <w:webHidden/>
          </w:rPr>
          <w:tab/>
        </w:r>
        <w:r>
          <w:rPr>
            <w:noProof/>
            <w:webHidden/>
          </w:rPr>
          <w:fldChar w:fldCharType="begin"/>
        </w:r>
        <w:r>
          <w:rPr>
            <w:noProof/>
            <w:webHidden/>
          </w:rPr>
          <w:instrText xml:space="preserve"> PAGEREF _Toc222998794 \h </w:instrText>
        </w:r>
        <w:r>
          <w:rPr>
            <w:noProof/>
            <w:webHidden/>
          </w:rPr>
        </w:r>
        <w:r>
          <w:rPr>
            <w:noProof/>
            <w:webHidden/>
          </w:rPr>
          <w:fldChar w:fldCharType="separate"/>
        </w:r>
        <w:r>
          <w:rPr>
            <w:noProof/>
            <w:webHidden/>
          </w:rPr>
          <w:t>44</w:t>
        </w:r>
        <w:r>
          <w:rPr>
            <w:noProof/>
            <w:webHidden/>
          </w:rPr>
          <w:fldChar w:fldCharType="end"/>
        </w:r>
      </w:hyperlink>
    </w:p>
    <w:p w14:paraId="7BC5EC02" w14:textId="3473B761" w:rsidR="00E1181E" w:rsidRDefault="00E1181E" w:rsidP="00E1181E">
      <w:pPr>
        <w:pStyle w:val="TableofFigures"/>
        <w:tabs>
          <w:tab w:val="right" w:leader="dot" w:pos="9016"/>
        </w:tabs>
        <w:rPr>
          <w:rFonts w:asciiTheme="minorHAnsi" w:eastAsiaTheme="minorEastAsia" w:hAnsiTheme="minorHAnsi"/>
          <w:noProof/>
          <w:sz w:val="24"/>
          <w:szCs w:val="24"/>
          <w:lang w:eastAsia="en-AU"/>
        </w:rPr>
      </w:pPr>
      <w:hyperlink w:anchor="_Toc222998795" w:history="1">
        <w:r w:rsidRPr="004746BA">
          <w:rPr>
            <w:rStyle w:val="Hyperlink"/>
            <w:noProof/>
          </w:rPr>
          <w:t xml:space="preserve">Table A2: </w:t>
        </w:r>
        <w:r w:rsidRPr="004746BA">
          <w:rPr>
            <w:rStyle w:val="Hyperlink"/>
            <w:rFonts w:cs="Arial"/>
            <w:noProof/>
          </w:rPr>
          <w:t>Distribution of 15 detailed fields of study by socio-economic background</w:t>
        </w:r>
        <w:r>
          <w:rPr>
            <w:noProof/>
            <w:webHidden/>
          </w:rPr>
          <w:tab/>
        </w:r>
        <w:r>
          <w:rPr>
            <w:noProof/>
            <w:webHidden/>
          </w:rPr>
          <w:fldChar w:fldCharType="begin"/>
        </w:r>
        <w:r>
          <w:rPr>
            <w:noProof/>
            <w:webHidden/>
          </w:rPr>
          <w:instrText xml:space="preserve"> PAGEREF _Toc222998795 \h </w:instrText>
        </w:r>
        <w:r>
          <w:rPr>
            <w:noProof/>
            <w:webHidden/>
          </w:rPr>
        </w:r>
        <w:r>
          <w:rPr>
            <w:noProof/>
            <w:webHidden/>
          </w:rPr>
          <w:fldChar w:fldCharType="separate"/>
        </w:r>
        <w:r>
          <w:rPr>
            <w:noProof/>
            <w:webHidden/>
          </w:rPr>
          <w:t>45</w:t>
        </w:r>
        <w:r>
          <w:rPr>
            <w:noProof/>
            <w:webHidden/>
          </w:rPr>
          <w:fldChar w:fldCharType="end"/>
        </w:r>
      </w:hyperlink>
    </w:p>
    <w:p w14:paraId="44B604DE" w14:textId="196EB275" w:rsidR="00A42DC8" w:rsidRPr="0016620E" w:rsidRDefault="00A42DC8" w:rsidP="00E1181E">
      <w:pPr>
        <w:pStyle w:val="TableofFigures"/>
        <w:tabs>
          <w:tab w:val="right" w:leader="dot" w:pos="9016"/>
        </w:tabs>
        <w:spacing w:after="100"/>
        <w:rPr>
          <w:rFonts w:cs="Arial"/>
          <w:noProof/>
        </w:rPr>
      </w:pPr>
      <w:r w:rsidRPr="003C119C">
        <w:rPr>
          <w:rFonts w:cs="Arial"/>
          <w:noProof/>
        </w:rPr>
        <w:fldChar w:fldCharType="end"/>
      </w:r>
      <w:r w:rsidRPr="0016620E">
        <w:rPr>
          <w:rFonts w:cs="Arial"/>
          <w:noProof/>
        </w:rPr>
        <w:t xml:space="preserve"> </w:t>
      </w:r>
    </w:p>
    <w:p w14:paraId="5A518390" w14:textId="5D40B187" w:rsidR="009D6D47" w:rsidRPr="0016620E" w:rsidRDefault="009D6D47" w:rsidP="00A42DC8">
      <w:pPr>
        <w:pStyle w:val="Caption"/>
        <w:rPr>
          <w:rFonts w:cs="Arial"/>
          <w:noProof/>
        </w:rPr>
      </w:pPr>
    </w:p>
    <w:p w14:paraId="685492B1" w14:textId="3B499653" w:rsidR="009D6D47" w:rsidRPr="0016620E" w:rsidRDefault="009D6D47" w:rsidP="004D121F">
      <w:pPr>
        <w:pStyle w:val="Heading2"/>
        <w:numPr>
          <w:ilvl w:val="0"/>
          <w:numId w:val="0"/>
        </w:numPr>
        <w:rPr>
          <w:noProof/>
        </w:rPr>
      </w:pPr>
      <w:bookmarkStart w:id="8" w:name="_Toc222998759"/>
      <w:r w:rsidRPr="0016620E">
        <w:rPr>
          <w:noProof/>
        </w:rPr>
        <w:t xml:space="preserve">List of </w:t>
      </w:r>
      <w:r w:rsidR="00E0748C">
        <w:rPr>
          <w:noProof/>
        </w:rPr>
        <w:t>f</w:t>
      </w:r>
      <w:r w:rsidRPr="0016620E">
        <w:rPr>
          <w:noProof/>
        </w:rPr>
        <w:t>igures</w:t>
      </w:r>
      <w:bookmarkEnd w:id="8"/>
    </w:p>
    <w:p w14:paraId="2837AF2C" w14:textId="7E6592C9" w:rsidR="00E1181E" w:rsidRDefault="00D843FF">
      <w:pPr>
        <w:pStyle w:val="TableofFigures"/>
        <w:tabs>
          <w:tab w:val="right" w:leader="dot" w:pos="9016"/>
        </w:tabs>
        <w:rPr>
          <w:rFonts w:asciiTheme="minorHAnsi" w:eastAsiaTheme="minorEastAsia" w:hAnsiTheme="minorHAnsi"/>
          <w:noProof/>
          <w:sz w:val="24"/>
          <w:szCs w:val="24"/>
          <w:lang w:eastAsia="en-AU"/>
        </w:rPr>
      </w:pPr>
      <w:r w:rsidRPr="00EC2200">
        <w:rPr>
          <w:rFonts w:cs="Arial"/>
          <w:noProof/>
        </w:rPr>
        <w:fldChar w:fldCharType="begin"/>
      </w:r>
      <w:r w:rsidRPr="00EC2200">
        <w:rPr>
          <w:rFonts w:cs="Arial"/>
          <w:noProof/>
        </w:rPr>
        <w:instrText xml:space="preserve"> TOC \h \z \c "Figure" </w:instrText>
      </w:r>
      <w:r w:rsidRPr="00EC2200">
        <w:rPr>
          <w:rFonts w:cs="Arial"/>
          <w:noProof/>
        </w:rPr>
        <w:fldChar w:fldCharType="separate"/>
      </w:r>
      <w:hyperlink w:anchor="_Toc222998796" w:history="1">
        <w:r w:rsidR="00E1181E" w:rsidRPr="003A1FEE">
          <w:rPr>
            <w:rStyle w:val="Hyperlink"/>
            <w:noProof/>
          </w:rPr>
          <w:t xml:space="preserve">Figure 1: </w:t>
        </w:r>
        <w:r w:rsidR="00E1181E" w:rsidRPr="003A1FEE">
          <w:rPr>
            <w:rStyle w:val="Hyperlink"/>
            <w:rFonts w:eastAsia="Arial" w:cs="Arial"/>
            <w:noProof/>
            <w:w w:val="105"/>
            <w:kern w:val="0"/>
            <w14:ligatures w14:val="none"/>
          </w:rPr>
          <w:t>Proportion of full-time employment by field of study</w:t>
        </w:r>
        <w:r w:rsidR="00E1181E">
          <w:rPr>
            <w:noProof/>
            <w:webHidden/>
          </w:rPr>
          <w:tab/>
        </w:r>
        <w:r w:rsidR="00E1181E">
          <w:rPr>
            <w:noProof/>
            <w:webHidden/>
          </w:rPr>
          <w:fldChar w:fldCharType="begin"/>
        </w:r>
        <w:r w:rsidR="00E1181E">
          <w:rPr>
            <w:noProof/>
            <w:webHidden/>
          </w:rPr>
          <w:instrText xml:space="preserve"> PAGEREF _Toc222998796 \h </w:instrText>
        </w:r>
        <w:r w:rsidR="00E1181E">
          <w:rPr>
            <w:noProof/>
            <w:webHidden/>
          </w:rPr>
        </w:r>
        <w:r w:rsidR="00E1181E">
          <w:rPr>
            <w:noProof/>
            <w:webHidden/>
          </w:rPr>
          <w:fldChar w:fldCharType="separate"/>
        </w:r>
        <w:r w:rsidR="00E1181E">
          <w:rPr>
            <w:noProof/>
            <w:webHidden/>
          </w:rPr>
          <w:t>15</w:t>
        </w:r>
        <w:r w:rsidR="00E1181E">
          <w:rPr>
            <w:noProof/>
            <w:webHidden/>
          </w:rPr>
          <w:fldChar w:fldCharType="end"/>
        </w:r>
      </w:hyperlink>
    </w:p>
    <w:p w14:paraId="7B47E5A6" w14:textId="05F50349" w:rsidR="00E1181E" w:rsidRDefault="00E1181E">
      <w:pPr>
        <w:pStyle w:val="TableofFigures"/>
        <w:tabs>
          <w:tab w:val="right" w:leader="dot" w:pos="9016"/>
        </w:tabs>
        <w:rPr>
          <w:rFonts w:asciiTheme="minorHAnsi" w:eastAsiaTheme="minorEastAsia" w:hAnsiTheme="minorHAnsi"/>
          <w:noProof/>
          <w:sz w:val="24"/>
          <w:szCs w:val="24"/>
          <w:lang w:eastAsia="en-AU"/>
        </w:rPr>
      </w:pPr>
      <w:hyperlink w:anchor="_Toc222998797" w:history="1">
        <w:r w:rsidRPr="003A1FEE">
          <w:rPr>
            <w:rStyle w:val="Hyperlink"/>
            <w:noProof/>
          </w:rPr>
          <w:t xml:space="preserve">Figure 2: </w:t>
        </w:r>
        <w:r w:rsidRPr="003A1FEE">
          <w:rPr>
            <w:rStyle w:val="Hyperlink"/>
            <w:rFonts w:eastAsia="Arial" w:cs="Arial"/>
            <w:noProof/>
            <w:w w:val="105"/>
            <w:kern w:val="0"/>
            <w14:ligatures w14:val="none"/>
          </w:rPr>
          <w:t>Proportion of permanent or ongoing employment by field of study</w:t>
        </w:r>
        <w:r>
          <w:rPr>
            <w:noProof/>
            <w:webHidden/>
          </w:rPr>
          <w:tab/>
        </w:r>
        <w:r>
          <w:rPr>
            <w:noProof/>
            <w:webHidden/>
          </w:rPr>
          <w:fldChar w:fldCharType="begin"/>
        </w:r>
        <w:r>
          <w:rPr>
            <w:noProof/>
            <w:webHidden/>
          </w:rPr>
          <w:instrText xml:space="preserve"> PAGEREF _Toc222998797 \h </w:instrText>
        </w:r>
        <w:r>
          <w:rPr>
            <w:noProof/>
            <w:webHidden/>
          </w:rPr>
        </w:r>
        <w:r>
          <w:rPr>
            <w:noProof/>
            <w:webHidden/>
          </w:rPr>
          <w:fldChar w:fldCharType="separate"/>
        </w:r>
        <w:r>
          <w:rPr>
            <w:noProof/>
            <w:webHidden/>
          </w:rPr>
          <w:t>16</w:t>
        </w:r>
        <w:r>
          <w:rPr>
            <w:noProof/>
            <w:webHidden/>
          </w:rPr>
          <w:fldChar w:fldCharType="end"/>
        </w:r>
      </w:hyperlink>
    </w:p>
    <w:p w14:paraId="10421A21" w14:textId="44CDA093" w:rsidR="00E1181E" w:rsidRDefault="00E1181E">
      <w:pPr>
        <w:pStyle w:val="TableofFigures"/>
        <w:tabs>
          <w:tab w:val="right" w:leader="dot" w:pos="9016"/>
        </w:tabs>
        <w:rPr>
          <w:rFonts w:asciiTheme="minorHAnsi" w:eastAsiaTheme="minorEastAsia" w:hAnsiTheme="minorHAnsi"/>
          <w:noProof/>
          <w:sz w:val="24"/>
          <w:szCs w:val="24"/>
          <w:lang w:eastAsia="en-AU"/>
        </w:rPr>
      </w:pPr>
      <w:hyperlink w:anchor="_Toc222998798" w:history="1">
        <w:r w:rsidRPr="003A1FEE">
          <w:rPr>
            <w:rStyle w:val="Hyperlink"/>
            <w:noProof/>
          </w:rPr>
          <w:t>Figure 3</w:t>
        </w:r>
        <w:r w:rsidRPr="003A1FEE">
          <w:rPr>
            <w:rStyle w:val="Hyperlink"/>
            <w:rFonts w:eastAsia="Arial" w:cs="Arial"/>
            <w:noProof/>
            <w:w w:val="105"/>
            <w:kern w:val="0"/>
            <w14:ligatures w14:val="none"/>
          </w:rPr>
          <w:t>: Proportion of having a managerial or professional job by field of study</w:t>
        </w:r>
        <w:r>
          <w:rPr>
            <w:noProof/>
            <w:webHidden/>
          </w:rPr>
          <w:tab/>
        </w:r>
        <w:r>
          <w:rPr>
            <w:noProof/>
            <w:webHidden/>
          </w:rPr>
          <w:fldChar w:fldCharType="begin"/>
        </w:r>
        <w:r>
          <w:rPr>
            <w:noProof/>
            <w:webHidden/>
          </w:rPr>
          <w:instrText xml:space="preserve"> PAGEREF _Toc222998798 \h </w:instrText>
        </w:r>
        <w:r>
          <w:rPr>
            <w:noProof/>
            <w:webHidden/>
          </w:rPr>
        </w:r>
        <w:r>
          <w:rPr>
            <w:noProof/>
            <w:webHidden/>
          </w:rPr>
          <w:fldChar w:fldCharType="separate"/>
        </w:r>
        <w:r>
          <w:rPr>
            <w:noProof/>
            <w:webHidden/>
          </w:rPr>
          <w:t>17</w:t>
        </w:r>
        <w:r>
          <w:rPr>
            <w:noProof/>
            <w:webHidden/>
          </w:rPr>
          <w:fldChar w:fldCharType="end"/>
        </w:r>
      </w:hyperlink>
    </w:p>
    <w:p w14:paraId="52F10B2D" w14:textId="567E72EE" w:rsidR="00E1181E" w:rsidRDefault="00E1181E">
      <w:pPr>
        <w:pStyle w:val="TableofFigures"/>
        <w:tabs>
          <w:tab w:val="right" w:leader="dot" w:pos="9016"/>
        </w:tabs>
        <w:rPr>
          <w:rFonts w:asciiTheme="minorHAnsi" w:eastAsiaTheme="minorEastAsia" w:hAnsiTheme="minorHAnsi"/>
          <w:noProof/>
          <w:sz w:val="24"/>
          <w:szCs w:val="24"/>
          <w:lang w:eastAsia="en-AU"/>
        </w:rPr>
      </w:pPr>
      <w:hyperlink w:anchor="_Toc222998799" w:history="1">
        <w:r w:rsidRPr="003A1FEE">
          <w:rPr>
            <w:rStyle w:val="Hyperlink"/>
            <w:noProof/>
          </w:rPr>
          <w:t>Figure 4</w:t>
        </w:r>
        <w:r w:rsidRPr="003A1FEE">
          <w:rPr>
            <w:rStyle w:val="Hyperlink"/>
            <w:rFonts w:eastAsia="Arial" w:cs="Arial"/>
            <w:noProof/>
            <w:w w:val="105"/>
            <w:kern w:val="0"/>
            <w14:ligatures w14:val="none"/>
          </w:rPr>
          <w:t>: Weekly earnings by field of study</w:t>
        </w:r>
        <w:r>
          <w:rPr>
            <w:noProof/>
            <w:webHidden/>
          </w:rPr>
          <w:tab/>
        </w:r>
        <w:r>
          <w:rPr>
            <w:noProof/>
            <w:webHidden/>
          </w:rPr>
          <w:fldChar w:fldCharType="begin"/>
        </w:r>
        <w:r>
          <w:rPr>
            <w:noProof/>
            <w:webHidden/>
          </w:rPr>
          <w:instrText xml:space="preserve"> PAGEREF _Toc222998799 \h </w:instrText>
        </w:r>
        <w:r>
          <w:rPr>
            <w:noProof/>
            <w:webHidden/>
          </w:rPr>
        </w:r>
        <w:r>
          <w:rPr>
            <w:noProof/>
            <w:webHidden/>
          </w:rPr>
          <w:fldChar w:fldCharType="separate"/>
        </w:r>
        <w:r>
          <w:rPr>
            <w:noProof/>
            <w:webHidden/>
          </w:rPr>
          <w:t>17</w:t>
        </w:r>
        <w:r>
          <w:rPr>
            <w:noProof/>
            <w:webHidden/>
          </w:rPr>
          <w:fldChar w:fldCharType="end"/>
        </w:r>
      </w:hyperlink>
    </w:p>
    <w:p w14:paraId="0446971E" w14:textId="02DB5977" w:rsidR="00E1181E" w:rsidRDefault="00E1181E">
      <w:pPr>
        <w:pStyle w:val="TableofFigures"/>
        <w:tabs>
          <w:tab w:val="right" w:leader="dot" w:pos="9016"/>
        </w:tabs>
        <w:rPr>
          <w:rFonts w:asciiTheme="minorHAnsi" w:eastAsiaTheme="minorEastAsia" w:hAnsiTheme="minorHAnsi"/>
          <w:noProof/>
          <w:sz w:val="24"/>
          <w:szCs w:val="24"/>
          <w:lang w:eastAsia="en-AU"/>
        </w:rPr>
      </w:pPr>
      <w:hyperlink w:anchor="_Toc222998800" w:history="1">
        <w:r w:rsidRPr="003A1FEE">
          <w:rPr>
            <w:rStyle w:val="Hyperlink"/>
            <w:noProof/>
          </w:rPr>
          <w:t>Figure 5</w:t>
        </w:r>
        <w:r w:rsidRPr="003A1FEE">
          <w:rPr>
            <w:rStyle w:val="Hyperlink"/>
            <w:rFonts w:eastAsia="Arial" w:cs="Arial"/>
            <w:noProof/>
            <w:w w:val="105"/>
            <w:kern w:val="0"/>
            <w14:ligatures w14:val="none"/>
          </w:rPr>
          <w:t>: Job satisfaction by field of study</w:t>
        </w:r>
        <w:r>
          <w:rPr>
            <w:noProof/>
            <w:webHidden/>
          </w:rPr>
          <w:tab/>
        </w:r>
        <w:r>
          <w:rPr>
            <w:noProof/>
            <w:webHidden/>
          </w:rPr>
          <w:fldChar w:fldCharType="begin"/>
        </w:r>
        <w:r>
          <w:rPr>
            <w:noProof/>
            <w:webHidden/>
          </w:rPr>
          <w:instrText xml:space="preserve"> PAGEREF _Toc222998800 \h </w:instrText>
        </w:r>
        <w:r>
          <w:rPr>
            <w:noProof/>
            <w:webHidden/>
          </w:rPr>
        </w:r>
        <w:r>
          <w:rPr>
            <w:noProof/>
            <w:webHidden/>
          </w:rPr>
          <w:fldChar w:fldCharType="separate"/>
        </w:r>
        <w:r>
          <w:rPr>
            <w:noProof/>
            <w:webHidden/>
          </w:rPr>
          <w:t>18</w:t>
        </w:r>
        <w:r>
          <w:rPr>
            <w:noProof/>
            <w:webHidden/>
          </w:rPr>
          <w:fldChar w:fldCharType="end"/>
        </w:r>
      </w:hyperlink>
    </w:p>
    <w:p w14:paraId="231FFE3E" w14:textId="12CAA107" w:rsidR="00E1181E" w:rsidRDefault="00E1181E">
      <w:pPr>
        <w:pStyle w:val="TableofFigures"/>
        <w:tabs>
          <w:tab w:val="right" w:leader="dot" w:pos="9016"/>
        </w:tabs>
        <w:rPr>
          <w:rFonts w:asciiTheme="minorHAnsi" w:eastAsiaTheme="minorEastAsia" w:hAnsiTheme="minorHAnsi"/>
          <w:noProof/>
          <w:sz w:val="24"/>
          <w:szCs w:val="24"/>
          <w:lang w:eastAsia="en-AU"/>
        </w:rPr>
      </w:pPr>
      <w:hyperlink w:anchor="_Toc222998801" w:history="1">
        <w:r w:rsidRPr="003A1FEE">
          <w:rPr>
            <w:rStyle w:val="Hyperlink"/>
            <w:noProof/>
          </w:rPr>
          <w:t>Figure 6</w:t>
        </w:r>
        <w:r w:rsidRPr="003A1FEE">
          <w:rPr>
            <w:rStyle w:val="Hyperlink"/>
            <w:rFonts w:eastAsia="Arial" w:cs="Arial"/>
            <w:noProof/>
            <w:w w:val="105"/>
            <w:kern w:val="0"/>
            <w14:ligatures w14:val="none"/>
          </w:rPr>
          <w:t>: Distribution of fields of study in university</w:t>
        </w:r>
        <w:r>
          <w:rPr>
            <w:noProof/>
            <w:webHidden/>
          </w:rPr>
          <w:tab/>
        </w:r>
        <w:r>
          <w:rPr>
            <w:noProof/>
            <w:webHidden/>
          </w:rPr>
          <w:fldChar w:fldCharType="begin"/>
        </w:r>
        <w:r>
          <w:rPr>
            <w:noProof/>
            <w:webHidden/>
          </w:rPr>
          <w:instrText xml:space="preserve"> PAGEREF _Toc222998801 \h </w:instrText>
        </w:r>
        <w:r>
          <w:rPr>
            <w:noProof/>
            <w:webHidden/>
          </w:rPr>
        </w:r>
        <w:r>
          <w:rPr>
            <w:noProof/>
            <w:webHidden/>
          </w:rPr>
          <w:fldChar w:fldCharType="separate"/>
        </w:r>
        <w:r>
          <w:rPr>
            <w:noProof/>
            <w:webHidden/>
          </w:rPr>
          <w:t>19</w:t>
        </w:r>
        <w:r>
          <w:rPr>
            <w:noProof/>
            <w:webHidden/>
          </w:rPr>
          <w:fldChar w:fldCharType="end"/>
        </w:r>
      </w:hyperlink>
    </w:p>
    <w:p w14:paraId="1D6947AC" w14:textId="72E37617" w:rsidR="00E1181E" w:rsidRDefault="00E1181E">
      <w:pPr>
        <w:pStyle w:val="TableofFigures"/>
        <w:tabs>
          <w:tab w:val="right" w:leader="dot" w:pos="9016"/>
        </w:tabs>
        <w:rPr>
          <w:rFonts w:asciiTheme="minorHAnsi" w:eastAsiaTheme="minorEastAsia" w:hAnsiTheme="minorHAnsi"/>
          <w:noProof/>
          <w:sz w:val="24"/>
          <w:szCs w:val="24"/>
          <w:lang w:eastAsia="en-AU"/>
        </w:rPr>
      </w:pPr>
      <w:hyperlink w:anchor="_Toc222998802" w:history="1">
        <w:r w:rsidRPr="003A1FEE">
          <w:rPr>
            <w:rStyle w:val="Hyperlink"/>
            <w:noProof/>
          </w:rPr>
          <w:t>Figure 7</w:t>
        </w:r>
        <w:r w:rsidRPr="003A1FEE">
          <w:rPr>
            <w:rStyle w:val="Hyperlink"/>
            <w:rFonts w:eastAsia="Arial" w:cs="Arial"/>
            <w:noProof/>
            <w:w w:val="105"/>
            <w:kern w:val="0"/>
            <w14:ligatures w14:val="none"/>
          </w:rPr>
          <w:t>: Distribution of categorised fields of study by Indigenous status</w:t>
        </w:r>
        <w:r>
          <w:rPr>
            <w:noProof/>
            <w:webHidden/>
          </w:rPr>
          <w:tab/>
        </w:r>
        <w:r>
          <w:rPr>
            <w:noProof/>
            <w:webHidden/>
          </w:rPr>
          <w:fldChar w:fldCharType="begin"/>
        </w:r>
        <w:r>
          <w:rPr>
            <w:noProof/>
            <w:webHidden/>
          </w:rPr>
          <w:instrText xml:space="preserve"> PAGEREF _Toc222998802 \h </w:instrText>
        </w:r>
        <w:r>
          <w:rPr>
            <w:noProof/>
            <w:webHidden/>
          </w:rPr>
        </w:r>
        <w:r>
          <w:rPr>
            <w:noProof/>
            <w:webHidden/>
          </w:rPr>
          <w:fldChar w:fldCharType="separate"/>
        </w:r>
        <w:r>
          <w:rPr>
            <w:noProof/>
            <w:webHidden/>
          </w:rPr>
          <w:t>20</w:t>
        </w:r>
        <w:r>
          <w:rPr>
            <w:noProof/>
            <w:webHidden/>
          </w:rPr>
          <w:fldChar w:fldCharType="end"/>
        </w:r>
      </w:hyperlink>
    </w:p>
    <w:p w14:paraId="6AEF5F55" w14:textId="09EC1299" w:rsidR="00E1181E" w:rsidRDefault="00E1181E">
      <w:pPr>
        <w:pStyle w:val="TableofFigures"/>
        <w:tabs>
          <w:tab w:val="right" w:leader="dot" w:pos="9016"/>
        </w:tabs>
        <w:rPr>
          <w:rFonts w:asciiTheme="minorHAnsi" w:eastAsiaTheme="minorEastAsia" w:hAnsiTheme="minorHAnsi"/>
          <w:noProof/>
          <w:sz w:val="24"/>
          <w:szCs w:val="24"/>
          <w:lang w:eastAsia="en-AU"/>
        </w:rPr>
      </w:pPr>
      <w:hyperlink w:anchor="_Toc222998803" w:history="1">
        <w:r w:rsidRPr="003A1FEE">
          <w:rPr>
            <w:rStyle w:val="Hyperlink"/>
            <w:noProof/>
          </w:rPr>
          <w:t>Figure 8</w:t>
        </w:r>
        <w:r w:rsidRPr="003A1FEE">
          <w:rPr>
            <w:rStyle w:val="Hyperlink"/>
            <w:rFonts w:eastAsia="Arial" w:cs="Arial"/>
            <w:noProof/>
            <w:w w:val="105"/>
            <w:kern w:val="0"/>
            <w14:ligatures w14:val="none"/>
          </w:rPr>
          <w:t>: Distribution of categorised fields of study by NESB</w:t>
        </w:r>
        <w:r>
          <w:rPr>
            <w:noProof/>
            <w:webHidden/>
          </w:rPr>
          <w:tab/>
        </w:r>
        <w:r>
          <w:rPr>
            <w:noProof/>
            <w:webHidden/>
          </w:rPr>
          <w:fldChar w:fldCharType="begin"/>
        </w:r>
        <w:r>
          <w:rPr>
            <w:noProof/>
            <w:webHidden/>
          </w:rPr>
          <w:instrText xml:space="preserve"> PAGEREF _Toc222998803 \h </w:instrText>
        </w:r>
        <w:r>
          <w:rPr>
            <w:noProof/>
            <w:webHidden/>
          </w:rPr>
        </w:r>
        <w:r>
          <w:rPr>
            <w:noProof/>
            <w:webHidden/>
          </w:rPr>
          <w:fldChar w:fldCharType="separate"/>
        </w:r>
        <w:r>
          <w:rPr>
            <w:noProof/>
            <w:webHidden/>
          </w:rPr>
          <w:t>21</w:t>
        </w:r>
        <w:r>
          <w:rPr>
            <w:noProof/>
            <w:webHidden/>
          </w:rPr>
          <w:fldChar w:fldCharType="end"/>
        </w:r>
      </w:hyperlink>
    </w:p>
    <w:p w14:paraId="7C293583" w14:textId="441FFDE3" w:rsidR="00E1181E" w:rsidRDefault="00E1181E">
      <w:pPr>
        <w:pStyle w:val="TableofFigures"/>
        <w:tabs>
          <w:tab w:val="right" w:leader="dot" w:pos="9016"/>
        </w:tabs>
        <w:rPr>
          <w:rFonts w:asciiTheme="minorHAnsi" w:eastAsiaTheme="minorEastAsia" w:hAnsiTheme="minorHAnsi"/>
          <w:noProof/>
          <w:sz w:val="24"/>
          <w:szCs w:val="24"/>
          <w:lang w:eastAsia="en-AU"/>
        </w:rPr>
      </w:pPr>
      <w:hyperlink w:anchor="_Toc222998804" w:history="1">
        <w:r w:rsidRPr="003A1FEE">
          <w:rPr>
            <w:rStyle w:val="Hyperlink"/>
            <w:noProof/>
          </w:rPr>
          <w:t>Figure 9</w:t>
        </w:r>
        <w:r w:rsidRPr="003A1FEE">
          <w:rPr>
            <w:rStyle w:val="Hyperlink"/>
            <w:noProof/>
            <w:w w:val="105"/>
          </w:rPr>
          <w:t>: Distribution of categorised fields of study by childhood SES</w:t>
        </w:r>
        <w:r>
          <w:rPr>
            <w:noProof/>
            <w:webHidden/>
          </w:rPr>
          <w:tab/>
        </w:r>
        <w:r>
          <w:rPr>
            <w:noProof/>
            <w:webHidden/>
          </w:rPr>
          <w:fldChar w:fldCharType="begin"/>
        </w:r>
        <w:r>
          <w:rPr>
            <w:noProof/>
            <w:webHidden/>
          </w:rPr>
          <w:instrText xml:space="preserve"> PAGEREF _Toc222998804 \h </w:instrText>
        </w:r>
        <w:r>
          <w:rPr>
            <w:noProof/>
            <w:webHidden/>
          </w:rPr>
        </w:r>
        <w:r>
          <w:rPr>
            <w:noProof/>
            <w:webHidden/>
          </w:rPr>
          <w:fldChar w:fldCharType="separate"/>
        </w:r>
        <w:r>
          <w:rPr>
            <w:noProof/>
            <w:webHidden/>
          </w:rPr>
          <w:t>21</w:t>
        </w:r>
        <w:r>
          <w:rPr>
            <w:noProof/>
            <w:webHidden/>
          </w:rPr>
          <w:fldChar w:fldCharType="end"/>
        </w:r>
      </w:hyperlink>
    </w:p>
    <w:p w14:paraId="53F6E9AF" w14:textId="4D10F77C" w:rsidR="00E1181E" w:rsidRDefault="00E1181E">
      <w:pPr>
        <w:pStyle w:val="TableofFigures"/>
        <w:tabs>
          <w:tab w:val="right" w:leader="dot" w:pos="9016"/>
        </w:tabs>
        <w:rPr>
          <w:rFonts w:asciiTheme="minorHAnsi" w:eastAsiaTheme="minorEastAsia" w:hAnsiTheme="minorHAnsi"/>
          <w:noProof/>
          <w:sz w:val="24"/>
          <w:szCs w:val="24"/>
          <w:lang w:eastAsia="en-AU"/>
        </w:rPr>
      </w:pPr>
      <w:hyperlink w:anchor="_Toc222998805" w:history="1">
        <w:r w:rsidRPr="003A1FEE">
          <w:rPr>
            <w:rStyle w:val="Hyperlink"/>
            <w:noProof/>
          </w:rPr>
          <w:t>Figure 10</w:t>
        </w:r>
        <w:r w:rsidRPr="003A1FEE">
          <w:rPr>
            <w:rStyle w:val="Hyperlink"/>
            <w:rFonts w:eastAsia="Arial" w:cs="Arial"/>
            <w:noProof/>
            <w:w w:val="105"/>
            <w:kern w:val="0"/>
            <w14:ligatures w14:val="none"/>
          </w:rPr>
          <w:t>: Distribution of categorised fields of study by father’s unemployment experience</w:t>
        </w:r>
        <w:r>
          <w:rPr>
            <w:noProof/>
            <w:webHidden/>
          </w:rPr>
          <w:tab/>
        </w:r>
        <w:r>
          <w:rPr>
            <w:noProof/>
            <w:webHidden/>
          </w:rPr>
          <w:fldChar w:fldCharType="begin"/>
        </w:r>
        <w:r>
          <w:rPr>
            <w:noProof/>
            <w:webHidden/>
          </w:rPr>
          <w:instrText xml:space="preserve"> PAGEREF _Toc222998805 \h </w:instrText>
        </w:r>
        <w:r>
          <w:rPr>
            <w:noProof/>
            <w:webHidden/>
          </w:rPr>
        </w:r>
        <w:r>
          <w:rPr>
            <w:noProof/>
            <w:webHidden/>
          </w:rPr>
          <w:fldChar w:fldCharType="separate"/>
        </w:r>
        <w:r>
          <w:rPr>
            <w:noProof/>
            <w:webHidden/>
          </w:rPr>
          <w:t>22</w:t>
        </w:r>
        <w:r>
          <w:rPr>
            <w:noProof/>
            <w:webHidden/>
          </w:rPr>
          <w:fldChar w:fldCharType="end"/>
        </w:r>
      </w:hyperlink>
    </w:p>
    <w:p w14:paraId="426FCB98" w14:textId="6FD1AFB2" w:rsidR="00E1181E" w:rsidRDefault="00E1181E">
      <w:pPr>
        <w:pStyle w:val="TableofFigures"/>
        <w:tabs>
          <w:tab w:val="right" w:leader="dot" w:pos="9016"/>
        </w:tabs>
        <w:rPr>
          <w:rFonts w:asciiTheme="minorHAnsi" w:eastAsiaTheme="minorEastAsia" w:hAnsiTheme="minorHAnsi"/>
          <w:noProof/>
          <w:sz w:val="24"/>
          <w:szCs w:val="24"/>
          <w:lang w:eastAsia="en-AU"/>
        </w:rPr>
      </w:pPr>
      <w:hyperlink w:anchor="_Toc222998806" w:history="1">
        <w:r w:rsidRPr="003A1FEE">
          <w:rPr>
            <w:rStyle w:val="Hyperlink"/>
            <w:noProof/>
          </w:rPr>
          <w:t>Figure 11</w:t>
        </w:r>
        <w:r w:rsidRPr="003A1FEE">
          <w:rPr>
            <w:rStyle w:val="Hyperlink"/>
            <w:noProof/>
            <w:w w:val="105"/>
          </w:rPr>
          <w:t>: Distribution of categorised fields of study by whether living in a single-parent family at age 14</w:t>
        </w:r>
        <w:r>
          <w:rPr>
            <w:noProof/>
            <w:webHidden/>
          </w:rPr>
          <w:tab/>
        </w:r>
        <w:r>
          <w:rPr>
            <w:noProof/>
            <w:webHidden/>
          </w:rPr>
          <w:fldChar w:fldCharType="begin"/>
        </w:r>
        <w:r>
          <w:rPr>
            <w:noProof/>
            <w:webHidden/>
          </w:rPr>
          <w:instrText xml:space="preserve"> PAGEREF _Toc222998806 \h </w:instrText>
        </w:r>
        <w:r>
          <w:rPr>
            <w:noProof/>
            <w:webHidden/>
          </w:rPr>
        </w:r>
        <w:r>
          <w:rPr>
            <w:noProof/>
            <w:webHidden/>
          </w:rPr>
          <w:fldChar w:fldCharType="separate"/>
        </w:r>
        <w:r>
          <w:rPr>
            <w:noProof/>
            <w:webHidden/>
          </w:rPr>
          <w:t>22</w:t>
        </w:r>
        <w:r>
          <w:rPr>
            <w:noProof/>
            <w:webHidden/>
          </w:rPr>
          <w:fldChar w:fldCharType="end"/>
        </w:r>
      </w:hyperlink>
    </w:p>
    <w:p w14:paraId="0F8C729C" w14:textId="55E26B12" w:rsidR="009D6D47" w:rsidRPr="0016620E" w:rsidRDefault="00D843FF" w:rsidP="00EC2200">
      <w:pPr>
        <w:snapToGrid w:val="0"/>
        <w:spacing w:after="100"/>
        <w:rPr>
          <w:rFonts w:cs="Arial"/>
          <w:noProof/>
        </w:rPr>
      </w:pPr>
      <w:r w:rsidRPr="00EC2200">
        <w:rPr>
          <w:rFonts w:cs="Arial"/>
          <w:noProof/>
        </w:rPr>
        <w:fldChar w:fldCharType="end"/>
      </w:r>
    </w:p>
    <w:p w14:paraId="1A158A24" w14:textId="77777777" w:rsidR="009D6D47" w:rsidRPr="0016620E" w:rsidRDefault="009D6D47">
      <w:pPr>
        <w:spacing w:line="259" w:lineRule="auto"/>
        <w:rPr>
          <w:rFonts w:cs="Arial"/>
          <w:noProof/>
        </w:rPr>
      </w:pPr>
    </w:p>
    <w:p w14:paraId="775F0981" w14:textId="77777777" w:rsidR="000D7A63" w:rsidRDefault="000D7A63">
      <w:pPr>
        <w:spacing w:line="259" w:lineRule="auto"/>
        <w:rPr>
          <w:rFonts w:eastAsia="Times New Roman" w:cs="Arial"/>
          <w:color w:val="6B3B57"/>
          <w:sz w:val="52"/>
          <w:szCs w:val="40"/>
          <w:lang w:eastAsia="en-AU"/>
        </w:rPr>
      </w:pPr>
      <w:bookmarkStart w:id="9" w:name="_Toc222998760"/>
      <w:r>
        <w:br w:type="page"/>
      </w:r>
    </w:p>
    <w:p w14:paraId="7732D536" w14:textId="64E9C608" w:rsidR="009D6D47" w:rsidRPr="0016620E" w:rsidRDefault="009D6D47" w:rsidP="00EA7502">
      <w:pPr>
        <w:pStyle w:val="Heading1"/>
        <w:numPr>
          <w:ilvl w:val="0"/>
          <w:numId w:val="0"/>
        </w:numPr>
        <w:spacing w:before="0"/>
      </w:pPr>
      <w:r w:rsidRPr="0016620E">
        <w:lastRenderedPageBreak/>
        <w:t>Abbreviations</w:t>
      </w:r>
      <w:bookmarkEnd w:id="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461"/>
      </w:tblGrid>
      <w:tr w:rsidR="007E674B" w:rsidRPr="0016620E" w14:paraId="49BDB212" w14:textId="77777777" w:rsidTr="00182E7E">
        <w:tc>
          <w:tcPr>
            <w:tcW w:w="1555" w:type="dxa"/>
          </w:tcPr>
          <w:p w14:paraId="15E514BC" w14:textId="3ABFC6F0" w:rsidR="007E674B" w:rsidRPr="00BF48E1" w:rsidRDefault="007E674B" w:rsidP="007957FD">
            <w:pPr>
              <w:spacing w:after="100" w:line="240" w:lineRule="auto"/>
              <w:rPr>
                <w:rFonts w:cs="Arial"/>
                <w:lang w:eastAsia="en-AU"/>
              </w:rPr>
            </w:pPr>
            <w:r w:rsidRPr="00BF48E1">
              <w:rPr>
                <w:rFonts w:cs="Arial"/>
                <w:lang w:eastAsia="en-AU"/>
              </w:rPr>
              <w:t>ATAR</w:t>
            </w:r>
          </w:p>
        </w:tc>
        <w:tc>
          <w:tcPr>
            <w:tcW w:w="7461" w:type="dxa"/>
          </w:tcPr>
          <w:p w14:paraId="105937C8" w14:textId="384FA857" w:rsidR="007E674B" w:rsidRPr="0026502A" w:rsidRDefault="007E674B" w:rsidP="007957FD">
            <w:pPr>
              <w:spacing w:after="100" w:line="240" w:lineRule="auto"/>
              <w:rPr>
                <w:rFonts w:cs="Arial"/>
              </w:rPr>
            </w:pPr>
            <w:r w:rsidRPr="007E674B">
              <w:rPr>
                <w:rFonts w:cs="Arial"/>
              </w:rPr>
              <w:t>Australian Tertiary Admission Rank</w:t>
            </w:r>
          </w:p>
        </w:tc>
      </w:tr>
      <w:tr w:rsidR="00573A3F" w:rsidRPr="0016620E" w14:paraId="6F857028" w14:textId="77777777" w:rsidTr="00182E7E">
        <w:tc>
          <w:tcPr>
            <w:tcW w:w="1555" w:type="dxa"/>
          </w:tcPr>
          <w:p w14:paraId="047E7CD1" w14:textId="77EF5ED4" w:rsidR="00573A3F" w:rsidRPr="00BF48E1" w:rsidRDefault="00573A3F" w:rsidP="007957FD">
            <w:pPr>
              <w:spacing w:after="100" w:line="240" w:lineRule="auto"/>
              <w:rPr>
                <w:rFonts w:cs="Arial"/>
                <w:lang w:eastAsia="en-AU"/>
              </w:rPr>
            </w:pPr>
            <w:r w:rsidRPr="00BF48E1">
              <w:rPr>
                <w:rFonts w:cs="Arial"/>
                <w:lang w:eastAsia="en-AU"/>
              </w:rPr>
              <w:t>ESB</w:t>
            </w:r>
          </w:p>
        </w:tc>
        <w:tc>
          <w:tcPr>
            <w:tcW w:w="7461" w:type="dxa"/>
          </w:tcPr>
          <w:p w14:paraId="03871035" w14:textId="5DD5BCA8" w:rsidR="00573A3F" w:rsidRPr="0026502A" w:rsidRDefault="00573A3F" w:rsidP="007957FD">
            <w:pPr>
              <w:spacing w:after="100" w:line="240" w:lineRule="auto"/>
              <w:rPr>
                <w:rFonts w:eastAsiaTheme="minorHAnsi" w:cs="Arial"/>
                <w:kern w:val="2"/>
              </w:rPr>
            </w:pPr>
            <w:r w:rsidRPr="0026502A">
              <w:rPr>
                <w:rFonts w:eastAsiaTheme="minorHAnsi" w:cs="Arial"/>
                <w:kern w:val="2"/>
              </w:rPr>
              <w:t>English-Speaking Background</w:t>
            </w:r>
          </w:p>
        </w:tc>
      </w:tr>
      <w:tr w:rsidR="00246502" w:rsidRPr="0016620E" w14:paraId="0F44D3F0" w14:textId="77777777" w:rsidTr="00182E7E">
        <w:tc>
          <w:tcPr>
            <w:tcW w:w="1555" w:type="dxa"/>
          </w:tcPr>
          <w:p w14:paraId="2934DF6E" w14:textId="77777777" w:rsidR="00246502" w:rsidRPr="00BF48E1" w:rsidRDefault="00246502" w:rsidP="007957FD">
            <w:pPr>
              <w:spacing w:after="100" w:line="240" w:lineRule="auto"/>
              <w:rPr>
                <w:rFonts w:cs="Arial"/>
                <w:lang w:eastAsia="en-AU"/>
              </w:rPr>
            </w:pPr>
            <w:r w:rsidRPr="00BF48E1">
              <w:rPr>
                <w:rFonts w:cs="Arial"/>
                <w:lang w:eastAsia="en-AU"/>
              </w:rPr>
              <w:t>FE</w:t>
            </w:r>
          </w:p>
        </w:tc>
        <w:tc>
          <w:tcPr>
            <w:tcW w:w="7461" w:type="dxa"/>
          </w:tcPr>
          <w:p w14:paraId="6C6C3BF3" w14:textId="77777777" w:rsidR="00246502" w:rsidRPr="0026502A" w:rsidRDefault="00246502" w:rsidP="007957FD">
            <w:pPr>
              <w:spacing w:after="100" w:line="240" w:lineRule="auto"/>
              <w:rPr>
                <w:rFonts w:eastAsiaTheme="minorHAnsi" w:cs="Arial"/>
                <w:kern w:val="2"/>
              </w:rPr>
            </w:pPr>
            <w:r w:rsidRPr="0026502A">
              <w:rPr>
                <w:rFonts w:eastAsiaTheme="minorHAnsi" w:cs="Arial"/>
                <w:kern w:val="2"/>
              </w:rPr>
              <w:t>Fixed Effects</w:t>
            </w:r>
          </w:p>
        </w:tc>
      </w:tr>
      <w:tr w:rsidR="00246502" w:rsidRPr="0016620E" w14:paraId="6B05CDE3" w14:textId="77777777" w:rsidTr="00182E7E">
        <w:tc>
          <w:tcPr>
            <w:tcW w:w="1555" w:type="dxa"/>
          </w:tcPr>
          <w:p w14:paraId="5E835F00" w14:textId="77777777" w:rsidR="00246502" w:rsidRPr="00BF48E1" w:rsidRDefault="00246502" w:rsidP="007957FD">
            <w:pPr>
              <w:spacing w:after="100" w:line="240" w:lineRule="auto"/>
              <w:rPr>
                <w:rFonts w:cs="Arial"/>
                <w:lang w:eastAsia="en-AU"/>
              </w:rPr>
            </w:pPr>
            <w:r w:rsidRPr="00BF48E1">
              <w:rPr>
                <w:rFonts w:cs="Arial"/>
                <w:lang w:eastAsia="en-AU"/>
              </w:rPr>
              <w:t>HILDA</w:t>
            </w:r>
          </w:p>
        </w:tc>
        <w:tc>
          <w:tcPr>
            <w:tcW w:w="7461" w:type="dxa"/>
          </w:tcPr>
          <w:p w14:paraId="70E06168" w14:textId="7DBF39CF" w:rsidR="00246502" w:rsidRPr="0026502A" w:rsidRDefault="00246502" w:rsidP="007957FD">
            <w:pPr>
              <w:spacing w:after="100" w:line="240" w:lineRule="auto"/>
              <w:rPr>
                <w:rFonts w:eastAsiaTheme="minorHAnsi" w:cs="Arial"/>
                <w:kern w:val="2"/>
              </w:rPr>
            </w:pPr>
            <w:r w:rsidRPr="0026502A">
              <w:rPr>
                <w:rFonts w:eastAsiaTheme="minorHAnsi" w:cs="Arial"/>
                <w:kern w:val="2"/>
              </w:rPr>
              <w:t>Household, Income</w:t>
            </w:r>
            <w:r w:rsidR="00E0748C">
              <w:rPr>
                <w:rFonts w:eastAsiaTheme="minorHAnsi" w:cs="Arial"/>
                <w:kern w:val="2"/>
              </w:rPr>
              <w:t>,</w:t>
            </w:r>
            <w:r w:rsidRPr="0026502A">
              <w:rPr>
                <w:rFonts w:eastAsiaTheme="minorHAnsi" w:cs="Arial"/>
                <w:kern w:val="2"/>
              </w:rPr>
              <w:t xml:space="preserve"> and Labour Dynamics in Australia</w:t>
            </w:r>
          </w:p>
        </w:tc>
      </w:tr>
      <w:tr w:rsidR="0089780C" w:rsidRPr="0016620E" w14:paraId="221482C9" w14:textId="77777777" w:rsidTr="00182E7E">
        <w:tc>
          <w:tcPr>
            <w:tcW w:w="1555" w:type="dxa"/>
          </w:tcPr>
          <w:p w14:paraId="2B982281" w14:textId="6BDDE67D" w:rsidR="0089780C" w:rsidRPr="00BF48E1" w:rsidRDefault="0089780C" w:rsidP="007957FD">
            <w:pPr>
              <w:spacing w:after="100" w:line="240" w:lineRule="auto"/>
              <w:rPr>
                <w:rFonts w:cs="Arial"/>
                <w:lang w:eastAsia="en-AU"/>
              </w:rPr>
            </w:pPr>
            <w:r w:rsidRPr="00BF48E1">
              <w:rPr>
                <w:rFonts w:cs="Arial"/>
                <w:lang w:eastAsia="en-AU"/>
              </w:rPr>
              <w:t>LPM</w:t>
            </w:r>
          </w:p>
        </w:tc>
        <w:tc>
          <w:tcPr>
            <w:tcW w:w="7461" w:type="dxa"/>
          </w:tcPr>
          <w:p w14:paraId="06706D0F" w14:textId="57EB6C5D" w:rsidR="0089780C" w:rsidRPr="0026502A" w:rsidRDefault="0089780C" w:rsidP="007957FD">
            <w:pPr>
              <w:spacing w:after="100" w:line="240" w:lineRule="auto"/>
              <w:rPr>
                <w:rFonts w:eastAsiaTheme="minorHAnsi" w:cs="Arial"/>
                <w:kern w:val="2"/>
              </w:rPr>
            </w:pPr>
            <w:r w:rsidRPr="0026502A">
              <w:rPr>
                <w:rFonts w:eastAsiaTheme="minorHAnsi" w:cs="Arial"/>
                <w:kern w:val="2"/>
              </w:rPr>
              <w:t>Linear Probability Model</w:t>
            </w:r>
          </w:p>
        </w:tc>
      </w:tr>
      <w:tr w:rsidR="00246502" w:rsidRPr="0016620E" w14:paraId="3DD7367F" w14:textId="77777777" w:rsidTr="00182E7E">
        <w:tc>
          <w:tcPr>
            <w:tcW w:w="1555" w:type="dxa"/>
          </w:tcPr>
          <w:p w14:paraId="58B86816" w14:textId="77777777" w:rsidR="00246502" w:rsidRPr="00BF48E1" w:rsidRDefault="00246502" w:rsidP="007957FD">
            <w:pPr>
              <w:spacing w:after="100" w:line="240" w:lineRule="auto"/>
              <w:rPr>
                <w:rFonts w:cs="Arial"/>
                <w:lang w:eastAsia="en-AU"/>
              </w:rPr>
            </w:pPr>
            <w:r w:rsidRPr="00BF48E1">
              <w:rPr>
                <w:rFonts w:cs="Arial"/>
                <w:lang w:eastAsia="en-AU"/>
              </w:rPr>
              <w:t>LSAY</w:t>
            </w:r>
          </w:p>
        </w:tc>
        <w:tc>
          <w:tcPr>
            <w:tcW w:w="7461" w:type="dxa"/>
          </w:tcPr>
          <w:p w14:paraId="357E001D" w14:textId="77777777" w:rsidR="00246502" w:rsidRPr="0026502A" w:rsidRDefault="00246502" w:rsidP="007957FD">
            <w:pPr>
              <w:spacing w:after="100" w:line="240" w:lineRule="auto"/>
              <w:rPr>
                <w:rFonts w:eastAsiaTheme="minorHAnsi" w:cs="Arial"/>
                <w:kern w:val="2"/>
              </w:rPr>
            </w:pPr>
            <w:r w:rsidRPr="0026502A">
              <w:rPr>
                <w:rFonts w:eastAsiaTheme="minorHAnsi" w:cs="Arial"/>
                <w:kern w:val="2"/>
              </w:rPr>
              <w:t>Longitudinal Study of Australian Youth</w:t>
            </w:r>
          </w:p>
        </w:tc>
      </w:tr>
      <w:tr w:rsidR="007E674B" w:rsidRPr="0016620E" w14:paraId="49E08FAE" w14:textId="77777777" w:rsidTr="00182E7E">
        <w:tc>
          <w:tcPr>
            <w:tcW w:w="1555" w:type="dxa"/>
          </w:tcPr>
          <w:p w14:paraId="2F200852" w14:textId="6BCEC154" w:rsidR="007E674B" w:rsidRPr="00BF48E1" w:rsidRDefault="007E674B" w:rsidP="007957FD">
            <w:pPr>
              <w:spacing w:after="100" w:line="240" w:lineRule="auto"/>
              <w:rPr>
                <w:rFonts w:cs="Arial"/>
                <w:lang w:eastAsia="en-AU"/>
              </w:rPr>
            </w:pPr>
            <w:r w:rsidRPr="00BF48E1">
              <w:rPr>
                <w:rFonts w:cs="Arial"/>
                <w:lang w:eastAsia="en-AU"/>
              </w:rPr>
              <w:t>NAPLAN</w:t>
            </w:r>
          </w:p>
        </w:tc>
        <w:tc>
          <w:tcPr>
            <w:tcW w:w="7461" w:type="dxa"/>
          </w:tcPr>
          <w:p w14:paraId="7AEBF9F1" w14:textId="4B0014E1" w:rsidR="007E674B" w:rsidRPr="0026502A" w:rsidRDefault="007E674B" w:rsidP="007957FD">
            <w:pPr>
              <w:spacing w:after="100" w:line="240" w:lineRule="auto"/>
              <w:rPr>
                <w:rFonts w:cs="Arial"/>
              </w:rPr>
            </w:pPr>
            <w:r w:rsidRPr="00BE77EB">
              <w:t>National Assessment Program – Literacy and Numeracy</w:t>
            </w:r>
          </w:p>
        </w:tc>
      </w:tr>
      <w:tr w:rsidR="00246502" w:rsidRPr="0016620E" w14:paraId="654172A0" w14:textId="77777777" w:rsidTr="00182E7E">
        <w:tc>
          <w:tcPr>
            <w:tcW w:w="1555" w:type="dxa"/>
          </w:tcPr>
          <w:p w14:paraId="04527770" w14:textId="77777777" w:rsidR="00246502" w:rsidRPr="00BF48E1" w:rsidRDefault="00246502" w:rsidP="007957FD">
            <w:pPr>
              <w:spacing w:after="100" w:line="240" w:lineRule="auto"/>
              <w:rPr>
                <w:rFonts w:cs="Arial"/>
                <w:lang w:eastAsia="en-AU"/>
              </w:rPr>
            </w:pPr>
            <w:r w:rsidRPr="00BF48E1">
              <w:rPr>
                <w:rFonts w:cs="Arial"/>
                <w:lang w:eastAsia="en-AU"/>
              </w:rPr>
              <w:t>NESB</w:t>
            </w:r>
          </w:p>
        </w:tc>
        <w:tc>
          <w:tcPr>
            <w:tcW w:w="7461" w:type="dxa"/>
          </w:tcPr>
          <w:p w14:paraId="6ABCBA3C" w14:textId="77777777" w:rsidR="00246502" w:rsidRPr="0026502A" w:rsidRDefault="00246502" w:rsidP="007957FD">
            <w:pPr>
              <w:spacing w:after="100" w:line="240" w:lineRule="auto"/>
              <w:rPr>
                <w:rFonts w:eastAsiaTheme="minorHAnsi" w:cs="Arial"/>
                <w:kern w:val="2"/>
              </w:rPr>
            </w:pPr>
            <w:r w:rsidRPr="0026502A">
              <w:rPr>
                <w:rFonts w:eastAsiaTheme="minorHAnsi" w:cs="Arial"/>
                <w:kern w:val="2"/>
              </w:rPr>
              <w:t>Non-English-Speaking Background</w:t>
            </w:r>
          </w:p>
        </w:tc>
      </w:tr>
      <w:tr w:rsidR="00246502" w:rsidRPr="0016620E" w14:paraId="2C1A3C1E" w14:textId="77777777" w:rsidTr="00182E7E">
        <w:tc>
          <w:tcPr>
            <w:tcW w:w="1555" w:type="dxa"/>
          </w:tcPr>
          <w:p w14:paraId="1AD7545F" w14:textId="77777777" w:rsidR="00246502" w:rsidRPr="00BF48E1" w:rsidRDefault="00246502" w:rsidP="007957FD">
            <w:pPr>
              <w:spacing w:after="100" w:line="240" w:lineRule="auto"/>
              <w:rPr>
                <w:rFonts w:cs="Arial"/>
                <w:lang w:eastAsia="en-AU"/>
              </w:rPr>
            </w:pPr>
            <w:r w:rsidRPr="00BF48E1">
              <w:rPr>
                <w:rFonts w:cs="Arial"/>
                <w:lang w:eastAsia="en-AU"/>
              </w:rPr>
              <w:t>OLS</w:t>
            </w:r>
          </w:p>
        </w:tc>
        <w:tc>
          <w:tcPr>
            <w:tcW w:w="7461" w:type="dxa"/>
          </w:tcPr>
          <w:p w14:paraId="51CC77BC" w14:textId="77777777" w:rsidR="00246502" w:rsidRPr="0026502A" w:rsidRDefault="00246502" w:rsidP="007957FD">
            <w:pPr>
              <w:spacing w:after="100" w:line="240" w:lineRule="auto"/>
              <w:rPr>
                <w:rFonts w:eastAsiaTheme="minorHAnsi" w:cs="Arial"/>
                <w:kern w:val="2"/>
              </w:rPr>
            </w:pPr>
            <w:r w:rsidRPr="0026502A">
              <w:rPr>
                <w:rFonts w:eastAsiaTheme="minorHAnsi" w:cs="Arial"/>
                <w:kern w:val="2"/>
              </w:rPr>
              <w:t>Ordinary Least Squares</w:t>
            </w:r>
          </w:p>
        </w:tc>
      </w:tr>
      <w:tr w:rsidR="00246502" w:rsidRPr="0016620E" w14:paraId="2C73DBB3" w14:textId="77777777" w:rsidTr="00182E7E">
        <w:tc>
          <w:tcPr>
            <w:tcW w:w="1555" w:type="dxa"/>
          </w:tcPr>
          <w:p w14:paraId="0581160E" w14:textId="77777777" w:rsidR="00246502" w:rsidRPr="00BF48E1" w:rsidRDefault="00246502" w:rsidP="007957FD">
            <w:pPr>
              <w:spacing w:after="100" w:line="240" w:lineRule="auto"/>
              <w:rPr>
                <w:rFonts w:cs="Arial"/>
                <w:lang w:eastAsia="en-AU"/>
              </w:rPr>
            </w:pPr>
            <w:r w:rsidRPr="00BF48E1">
              <w:rPr>
                <w:rFonts w:cs="Arial"/>
                <w:lang w:eastAsia="en-AU"/>
              </w:rPr>
              <w:t>RE</w:t>
            </w:r>
          </w:p>
        </w:tc>
        <w:tc>
          <w:tcPr>
            <w:tcW w:w="7461" w:type="dxa"/>
          </w:tcPr>
          <w:p w14:paraId="4437D1AE" w14:textId="77777777" w:rsidR="00246502" w:rsidRPr="0026502A" w:rsidRDefault="00246502" w:rsidP="007957FD">
            <w:pPr>
              <w:spacing w:after="100" w:line="240" w:lineRule="auto"/>
              <w:rPr>
                <w:rFonts w:eastAsiaTheme="minorHAnsi" w:cs="Arial"/>
                <w:kern w:val="2"/>
              </w:rPr>
            </w:pPr>
            <w:r w:rsidRPr="0026502A">
              <w:rPr>
                <w:rFonts w:eastAsiaTheme="minorHAnsi" w:cs="Arial"/>
                <w:kern w:val="2"/>
              </w:rPr>
              <w:t>Random Effects</w:t>
            </w:r>
          </w:p>
        </w:tc>
      </w:tr>
      <w:tr w:rsidR="00246502" w:rsidRPr="0016620E" w14:paraId="54108A64" w14:textId="77777777" w:rsidTr="00182E7E">
        <w:tc>
          <w:tcPr>
            <w:tcW w:w="1555" w:type="dxa"/>
          </w:tcPr>
          <w:p w14:paraId="73C0338C" w14:textId="77777777" w:rsidR="00246502" w:rsidRPr="00BF48E1" w:rsidRDefault="00246502" w:rsidP="007957FD">
            <w:pPr>
              <w:spacing w:after="100" w:line="240" w:lineRule="auto"/>
              <w:rPr>
                <w:rFonts w:cs="Arial"/>
                <w:lang w:eastAsia="en-AU"/>
              </w:rPr>
            </w:pPr>
            <w:r w:rsidRPr="00BF48E1">
              <w:rPr>
                <w:rFonts w:cs="Arial"/>
                <w:lang w:eastAsia="en-AU"/>
              </w:rPr>
              <w:t>SES</w:t>
            </w:r>
          </w:p>
        </w:tc>
        <w:tc>
          <w:tcPr>
            <w:tcW w:w="7461" w:type="dxa"/>
          </w:tcPr>
          <w:p w14:paraId="2F8673AD" w14:textId="227DEDEA" w:rsidR="00246502" w:rsidRPr="0026502A" w:rsidRDefault="00246502" w:rsidP="007957FD">
            <w:pPr>
              <w:spacing w:after="100" w:line="240" w:lineRule="auto"/>
              <w:rPr>
                <w:rFonts w:eastAsiaTheme="minorHAnsi" w:cs="Arial"/>
                <w:kern w:val="2"/>
              </w:rPr>
            </w:pPr>
            <w:r w:rsidRPr="0026502A">
              <w:rPr>
                <w:rFonts w:eastAsiaTheme="minorHAnsi" w:cs="Arial"/>
                <w:kern w:val="2"/>
              </w:rPr>
              <w:t>Socio</w:t>
            </w:r>
            <w:r w:rsidR="0097512D">
              <w:rPr>
                <w:rFonts w:eastAsiaTheme="minorHAnsi" w:cs="Arial"/>
                <w:kern w:val="2"/>
              </w:rPr>
              <w:t>-</w:t>
            </w:r>
            <w:r w:rsidRPr="0026502A">
              <w:rPr>
                <w:rFonts w:eastAsiaTheme="minorHAnsi" w:cs="Arial"/>
                <w:kern w:val="2"/>
              </w:rPr>
              <w:t xml:space="preserve">economic </w:t>
            </w:r>
            <w:r w:rsidR="000D7A63">
              <w:rPr>
                <w:rFonts w:eastAsiaTheme="minorHAnsi" w:cs="Arial"/>
                <w:kern w:val="2"/>
              </w:rPr>
              <w:t>s</w:t>
            </w:r>
            <w:r w:rsidRPr="0026502A">
              <w:rPr>
                <w:rFonts w:eastAsiaTheme="minorHAnsi" w:cs="Arial"/>
                <w:kern w:val="2"/>
              </w:rPr>
              <w:t>tatus</w:t>
            </w:r>
          </w:p>
        </w:tc>
      </w:tr>
      <w:tr w:rsidR="00246502" w:rsidRPr="0016620E" w14:paraId="6023B71D" w14:textId="77777777" w:rsidTr="00182E7E">
        <w:tc>
          <w:tcPr>
            <w:tcW w:w="1555" w:type="dxa"/>
          </w:tcPr>
          <w:p w14:paraId="1999F04D" w14:textId="77777777" w:rsidR="00246502" w:rsidRPr="00BF48E1" w:rsidRDefault="00246502" w:rsidP="007957FD">
            <w:pPr>
              <w:spacing w:after="100" w:line="240" w:lineRule="auto"/>
              <w:rPr>
                <w:rFonts w:cs="Arial"/>
                <w:lang w:eastAsia="en-AU"/>
              </w:rPr>
            </w:pPr>
            <w:r w:rsidRPr="00BF48E1">
              <w:rPr>
                <w:rFonts w:cs="Arial"/>
                <w:lang w:eastAsia="en-AU"/>
              </w:rPr>
              <w:t>STEM</w:t>
            </w:r>
          </w:p>
        </w:tc>
        <w:tc>
          <w:tcPr>
            <w:tcW w:w="7461" w:type="dxa"/>
          </w:tcPr>
          <w:p w14:paraId="41A488DF" w14:textId="53826C7D" w:rsidR="00246502" w:rsidRPr="0026502A" w:rsidRDefault="00246502" w:rsidP="007957FD">
            <w:pPr>
              <w:spacing w:after="100" w:line="240" w:lineRule="auto"/>
              <w:rPr>
                <w:rFonts w:eastAsiaTheme="minorHAnsi" w:cs="Arial"/>
                <w:kern w:val="2"/>
              </w:rPr>
            </w:pPr>
            <w:r w:rsidRPr="0026502A">
              <w:rPr>
                <w:rFonts w:eastAsiaTheme="minorHAnsi" w:cs="Arial"/>
                <w:kern w:val="2"/>
              </w:rPr>
              <w:t>Science, Technology, Engineering</w:t>
            </w:r>
            <w:r w:rsidR="000A0995">
              <w:rPr>
                <w:rFonts w:eastAsiaTheme="minorHAnsi" w:cs="Arial"/>
                <w:kern w:val="2"/>
              </w:rPr>
              <w:t>,</w:t>
            </w:r>
            <w:r w:rsidRPr="0026502A">
              <w:rPr>
                <w:rFonts w:eastAsiaTheme="minorHAnsi" w:cs="Arial"/>
                <w:kern w:val="2"/>
              </w:rPr>
              <w:t xml:space="preserve"> and Mathematics</w:t>
            </w:r>
          </w:p>
        </w:tc>
      </w:tr>
    </w:tbl>
    <w:p w14:paraId="086586C8" w14:textId="77777777" w:rsidR="005A66D9" w:rsidRDefault="005A66D9" w:rsidP="009D6D47">
      <w:pPr>
        <w:rPr>
          <w:rFonts w:cs="Arial"/>
          <w:lang w:eastAsia="en-AU"/>
        </w:rPr>
        <w:sectPr w:rsidR="005A66D9" w:rsidSect="005A66D9">
          <w:footerReference w:type="default" r:id="rId12"/>
          <w:pgSz w:w="11906" w:h="16838"/>
          <w:pgMar w:top="1440" w:right="1440" w:bottom="1440" w:left="1440" w:header="708" w:footer="397" w:gutter="0"/>
          <w:pgNumType w:fmt="lowerRoman" w:start="1"/>
          <w:cols w:space="708"/>
          <w:docGrid w:linePitch="360"/>
        </w:sectPr>
      </w:pPr>
    </w:p>
    <w:p w14:paraId="3EAC11E5" w14:textId="0B94B1A8" w:rsidR="00B60925" w:rsidRPr="0016620E" w:rsidRDefault="00B60925" w:rsidP="00B60925">
      <w:pPr>
        <w:pStyle w:val="Heading1"/>
      </w:pPr>
      <w:bookmarkStart w:id="10" w:name="_Toc222998761"/>
      <w:r w:rsidRPr="0016620E">
        <w:lastRenderedPageBreak/>
        <w:t xml:space="preserve">Executive </w:t>
      </w:r>
      <w:r w:rsidR="00AC657E">
        <w:t>s</w:t>
      </w:r>
      <w:r w:rsidRPr="0016620E">
        <w:t>ummary</w:t>
      </w:r>
      <w:bookmarkEnd w:id="10"/>
    </w:p>
    <w:p w14:paraId="7FEA98E0" w14:textId="5A8341CF" w:rsidR="00D358C6" w:rsidRPr="0026502A" w:rsidRDefault="00D358C6" w:rsidP="00BF48E1">
      <w:pPr>
        <w:rPr>
          <w:w w:val="105"/>
        </w:rPr>
      </w:pPr>
      <w:r w:rsidRPr="00D358C6">
        <w:rPr>
          <w:w w:val="105"/>
        </w:rPr>
        <w:t xml:space="preserve">It has long been recognised that higher education leads to improved labour market outcomes, including higher wages and better job opportunities. </w:t>
      </w:r>
      <w:r w:rsidR="00542912">
        <w:rPr>
          <w:w w:val="105"/>
        </w:rPr>
        <w:t>In Australia, p</w:t>
      </w:r>
      <w:r w:rsidR="00BD38F3" w:rsidRPr="00BD38F3">
        <w:rPr>
          <w:w w:val="105"/>
        </w:rPr>
        <w:t>eople from lower socio</w:t>
      </w:r>
      <w:r w:rsidR="0097512D">
        <w:rPr>
          <w:w w:val="105"/>
        </w:rPr>
        <w:t>-</w:t>
      </w:r>
      <w:r w:rsidR="00BD38F3" w:rsidRPr="00BD38F3">
        <w:rPr>
          <w:w w:val="105"/>
        </w:rPr>
        <w:t>economic backgrounds have made significant progress in accessing and completing higher education, helping to reduce social inequalit</w:t>
      </w:r>
      <w:r w:rsidR="0099269C">
        <w:rPr>
          <w:w w:val="105"/>
        </w:rPr>
        <w:t>y</w:t>
      </w:r>
      <w:r w:rsidR="00BD38F3" w:rsidRPr="00BD38F3">
        <w:rPr>
          <w:w w:val="105"/>
        </w:rPr>
        <w:t>.</w:t>
      </w:r>
      <w:r w:rsidRPr="00D358C6">
        <w:rPr>
          <w:w w:val="105"/>
        </w:rPr>
        <w:t xml:space="preserve"> However, a more nuanced form of inequality has </w:t>
      </w:r>
      <w:r w:rsidR="00096D15">
        <w:rPr>
          <w:w w:val="105"/>
        </w:rPr>
        <w:t>not received adequate attention</w:t>
      </w:r>
      <w:r w:rsidRPr="00D358C6">
        <w:rPr>
          <w:w w:val="105"/>
        </w:rPr>
        <w:t xml:space="preserve">. </w:t>
      </w:r>
      <w:r w:rsidR="001D111F" w:rsidRPr="001D111F">
        <w:rPr>
          <w:w w:val="105"/>
        </w:rPr>
        <w:t>Even among university students, their childhood socio</w:t>
      </w:r>
      <w:r w:rsidR="0097512D">
        <w:rPr>
          <w:w w:val="105"/>
        </w:rPr>
        <w:t>-</w:t>
      </w:r>
      <w:r w:rsidR="001D111F" w:rsidRPr="001D111F">
        <w:rPr>
          <w:w w:val="105"/>
        </w:rPr>
        <w:t xml:space="preserve">economic </w:t>
      </w:r>
      <w:r w:rsidR="005C6BB9" w:rsidRPr="00BD38F3">
        <w:rPr>
          <w:w w:val="105"/>
        </w:rPr>
        <w:t>backgrounds</w:t>
      </w:r>
      <w:r w:rsidR="005C6BB9" w:rsidRPr="001D111F" w:rsidDel="005C6BB9">
        <w:rPr>
          <w:w w:val="105"/>
        </w:rPr>
        <w:t xml:space="preserve"> </w:t>
      </w:r>
      <w:r w:rsidR="00136977">
        <w:rPr>
          <w:w w:val="105"/>
        </w:rPr>
        <w:t>may</w:t>
      </w:r>
      <w:r w:rsidR="001D111F" w:rsidRPr="001D111F">
        <w:rPr>
          <w:w w:val="105"/>
        </w:rPr>
        <w:t xml:space="preserve"> influence the field of study they choose, which in turn </w:t>
      </w:r>
      <w:r w:rsidR="00136977">
        <w:rPr>
          <w:w w:val="105"/>
        </w:rPr>
        <w:t>may</w:t>
      </w:r>
      <w:r w:rsidR="001D111F" w:rsidRPr="001D111F">
        <w:rPr>
          <w:w w:val="105"/>
        </w:rPr>
        <w:t xml:space="preserve"> </w:t>
      </w:r>
      <w:r w:rsidR="00A16EAD">
        <w:rPr>
          <w:w w:val="105"/>
        </w:rPr>
        <w:t>affect</w:t>
      </w:r>
      <w:r w:rsidR="001D111F" w:rsidRPr="001D111F">
        <w:rPr>
          <w:w w:val="105"/>
        </w:rPr>
        <w:t xml:space="preserve"> their career prospects and </w:t>
      </w:r>
      <w:r w:rsidR="00542912">
        <w:rPr>
          <w:w w:val="105"/>
        </w:rPr>
        <w:t>labour market</w:t>
      </w:r>
      <w:r w:rsidR="001D111F" w:rsidRPr="001D111F">
        <w:rPr>
          <w:w w:val="105"/>
        </w:rPr>
        <w:t xml:space="preserve"> outcomes.</w:t>
      </w:r>
      <w:r w:rsidR="001D111F">
        <w:rPr>
          <w:w w:val="105"/>
        </w:rPr>
        <w:t xml:space="preserve"> </w:t>
      </w:r>
      <w:r w:rsidR="00D26CD7">
        <w:rPr>
          <w:w w:val="105"/>
        </w:rPr>
        <w:t xml:space="preserve">As such, </w:t>
      </w:r>
      <w:r w:rsidRPr="00D358C6">
        <w:rPr>
          <w:w w:val="105"/>
        </w:rPr>
        <w:t>inequalit</w:t>
      </w:r>
      <w:r w:rsidR="0099269C">
        <w:rPr>
          <w:w w:val="105"/>
        </w:rPr>
        <w:t>y</w:t>
      </w:r>
      <w:r w:rsidRPr="00D358C6">
        <w:rPr>
          <w:w w:val="105"/>
        </w:rPr>
        <w:t xml:space="preserve"> may persist even among those who have completed tertiary education.</w:t>
      </w:r>
    </w:p>
    <w:p w14:paraId="5F933F03" w14:textId="26C354F8" w:rsidR="00D358C6" w:rsidRPr="00D358C6" w:rsidRDefault="00D358C6" w:rsidP="00BF48E1">
      <w:pPr>
        <w:rPr>
          <w:w w:val="105"/>
        </w:rPr>
      </w:pPr>
      <w:r w:rsidRPr="00D358C6">
        <w:rPr>
          <w:w w:val="105"/>
        </w:rPr>
        <w:t xml:space="preserve">This report aims to </w:t>
      </w:r>
      <w:r w:rsidR="004267D4">
        <w:rPr>
          <w:w w:val="105"/>
        </w:rPr>
        <w:t>improve</w:t>
      </w:r>
      <w:r w:rsidRPr="00D358C6">
        <w:rPr>
          <w:w w:val="105"/>
        </w:rPr>
        <w:t xml:space="preserve"> understanding of how childhood </w:t>
      </w:r>
      <w:r w:rsidR="0097512D">
        <w:rPr>
          <w:w w:val="105"/>
        </w:rPr>
        <w:t>socio-economic</w:t>
      </w:r>
      <w:r w:rsidRPr="00D358C6">
        <w:rPr>
          <w:w w:val="105"/>
        </w:rPr>
        <w:t xml:space="preserve"> </w:t>
      </w:r>
      <w:r w:rsidR="005C6BB9" w:rsidRPr="00BD38F3">
        <w:rPr>
          <w:w w:val="105"/>
        </w:rPr>
        <w:t>backgrounds</w:t>
      </w:r>
      <w:r w:rsidRPr="00D358C6">
        <w:rPr>
          <w:w w:val="105"/>
        </w:rPr>
        <w:t xml:space="preserve"> influence academic subject choice at university and subsequent labour market </w:t>
      </w:r>
      <w:r w:rsidR="00542912">
        <w:rPr>
          <w:w w:val="105"/>
        </w:rPr>
        <w:t>performance</w:t>
      </w:r>
      <w:r w:rsidRPr="00D358C6">
        <w:rPr>
          <w:w w:val="105"/>
        </w:rPr>
        <w:t xml:space="preserve">. Our analysis </w:t>
      </w:r>
      <w:r w:rsidR="0003592A">
        <w:rPr>
          <w:w w:val="105"/>
        </w:rPr>
        <w:t>is based on</w:t>
      </w:r>
      <w:r w:rsidRPr="00D358C6">
        <w:rPr>
          <w:w w:val="105"/>
        </w:rPr>
        <w:t xml:space="preserve"> data from the nationally representative Household, Income and Labour Dynamics in Australia (HILDA) Survey, which includes five key indicators of childhood </w:t>
      </w:r>
      <w:r w:rsidR="005C6BB9">
        <w:rPr>
          <w:w w:val="105"/>
        </w:rPr>
        <w:t>background</w:t>
      </w:r>
      <w:r w:rsidR="00572758">
        <w:rPr>
          <w:w w:val="105"/>
        </w:rPr>
        <w:t>s</w:t>
      </w:r>
      <w:r w:rsidRPr="00D358C6">
        <w:rPr>
          <w:w w:val="105"/>
        </w:rPr>
        <w:t xml:space="preserve">, namely Aboriginal or Torres Strait Islander origin, non-English-speaking background (NESB), low </w:t>
      </w:r>
      <w:r w:rsidR="0097512D">
        <w:rPr>
          <w:w w:val="105"/>
        </w:rPr>
        <w:t>socio-economic</w:t>
      </w:r>
      <w:r w:rsidRPr="00D358C6">
        <w:rPr>
          <w:w w:val="105"/>
        </w:rPr>
        <w:t xml:space="preserve"> status (SES)</w:t>
      </w:r>
      <w:r w:rsidR="00587895">
        <w:rPr>
          <w:w w:val="105"/>
        </w:rPr>
        <w:t xml:space="preserve"> in childhood</w:t>
      </w:r>
      <w:r w:rsidRPr="00D358C6">
        <w:rPr>
          <w:w w:val="105"/>
        </w:rPr>
        <w:t>, father</w:t>
      </w:r>
      <w:r w:rsidR="00A856B6">
        <w:rPr>
          <w:w w:val="105"/>
        </w:rPr>
        <w:t>’s</w:t>
      </w:r>
      <w:r w:rsidRPr="00D358C6">
        <w:rPr>
          <w:w w:val="105"/>
        </w:rPr>
        <w:t xml:space="preserve"> </w:t>
      </w:r>
      <w:r w:rsidR="00A86BC4">
        <w:rPr>
          <w:w w:val="105"/>
        </w:rPr>
        <w:t xml:space="preserve">unemployment </w:t>
      </w:r>
      <w:r w:rsidR="00664179">
        <w:rPr>
          <w:w w:val="105"/>
        </w:rPr>
        <w:t xml:space="preserve">experience </w:t>
      </w:r>
      <w:r w:rsidR="00A86BC4">
        <w:rPr>
          <w:w w:val="105"/>
        </w:rPr>
        <w:t>during childhood</w:t>
      </w:r>
      <w:r w:rsidRPr="00D358C6">
        <w:rPr>
          <w:w w:val="105"/>
        </w:rPr>
        <w:t xml:space="preserve">, and </w:t>
      </w:r>
      <w:r w:rsidR="00A856B6">
        <w:rPr>
          <w:w w:val="105"/>
        </w:rPr>
        <w:t>living</w:t>
      </w:r>
      <w:r w:rsidRPr="00D358C6">
        <w:rPr>
          <w:w w:val="105"/>
        </w:rPr>
        <w:t xml:space="preserve"> in a single-parent </w:t>
      </w:r>
      <w:r w:rsidR="00230D07">
        <w:rPr>
          <w:w w:val="105"/>
        </w:rPr>
        <w:t>family</w:t>
      </w:r>
      <w:r w:rsidRPr="00D358C6">
        <w:rPr>
          <w:w w:val="105"/>
        </w:rPr>
        <w:t xml:space="preserve"> at age 14.</w:t>
      </w:r>
      <w:r>
        <w:rPr>
          <w:w w:val="105"/>
        </w:rPr>
        <w:t xml:space="preserve"> </w:t>
      </w:r>
      <w:r w:rsidR="00230D07">
        <w:rPr>
          <w:w w:val="105"/>
        </w:rPr>
        <w:t>HILDA</w:t>
      </w:r>
      <w:r w:rsidRPr="00D358C6">
        <w:rPr>
          <w:w w:val="105"/>
        </w:rPr>
        <w:t xml:space="preserve"> also includes five key labour market outcomes: full-time employment status, permanent or ongoing employment, </w:t>
      </w:r>
      <w:r w:rsidR="00B30739">
        <w:rPr>
          <w:w w:val="105"/>
        </w:rPr>
        <w:t xml:space="preserve">employment in </w:t>
      </w:r>
      <w:r w:rsidRPr="00D358C6">
        <w:rPr>
          <w:w w:val="105"/>
        </w:rPr>
        <w:t>managerial or professional occupation</w:t>
      </w:r>
      <w:r w:rsidR="00B30739">
        <w:rPr>
          <w:w w:val="105"/>
        </w:rPr>
        <w:t>s</w:t>
      </w:r>
      <w:r w:rsidRPr="00D358C6">
        <w:rPr>
          <w:w w:val="105"/>
        </w:rPr>
        <w:t xml:space="preserve">, gross weekly earnings, and job satisfaction. </w:t>
      </w:r>
      <w:r w:rsidR="004267D4">
        <w:rPr>
          <w:w w:val="105"/>
        </w:rPr>
        <w:t>In addition</w:t>
      </w:r>
      <w:r w:rsidRPr="00D358C6">
        <w:rPr>
          <w:w w:val="105"/>
        </w:rPr>
        <w:t xml:space="preserve">, it provides information on 15 detailed fields of </w:t>
      </w:r>
      <w:r w:rsidR="0003592A">
        <w:rPr>
          <w:w w:val="105"/>
        </w:rPr>
        <w:t>tertiary</w:t>
      </w:r>
      <w:r w:rsidRPr="00D358C6">
        <w:rPr>
          <w:w w:val="105"/>
        </w:rPr>
        <w:t xml:space="preserve"> education, including </w:t>
      </w:r>
      <w:r w:rsidR="00F5293C">
        <w:rPr>
          <w:w w:val="105"/>
        </w:rPr>
        <w:t>N</w:t>
      </w:r>
      <w:r w:rsidRPr="00D358C6">
        <w:rPr>
          <w:w w:val="105"/>
        </w:rPr>
        <w:t xml:space="preserve">atural and </w:t>
      </w:r>
      <w:r w:rsidR="00F5293C">
        <w:rPr>
          <w:w w:val="105"/>
        </w:rPr>
        <w:t>P</w:t>
      </w:r>
      <w:r w:rsidRPr="00D358C6">
        <w:rPr>
          <w:w w:val="105"/>
        </w:rPr>
        <w:t xml:space="preserve">hysical </w:t>
      </w:r>
      <w:r w:rsidR="00F5293C">
        <w:rPr>
          <w:w w:val="105"/>
        </w:rPr>
        <w:t>S</w:t>
      </w:r>
      <w:r w:rsidRPr="00D358C6">
        <w:rPr>
          <w:w w:val="105"/>
        </w:rPr>
        <w:t>ciences</w:t>
      </w:r>
      <w:r w:rsidR="00024F2C">
        <w:rPr>
          <w:w w:val="105"/>
        </w:rPr>
        <w:t>,</w:t>
      </w:r>
      <w:r w:rsidRPr="00D358C6">
        <w:rPr>
          <w:w w:val="105"/>
        </w:rPr>
        <w:t xml:space="preserve"> </w:t>
      </w:r>
      <w:r w:rsidR="00F5293C">
        <w:rPr>
          <w:w w:val="105"/>
        </w:rPr>
        <w:t>I</w:t>
      </w:r>
      <w:r w:rsidRPr="00D358C6">
        <w:rPr>
          <w:w w:val="105"/>
        </w:rPr>
        <w:t xml:space="preserve">nformation </w:t>
      </w:r>
      <w:r w:rsidR="00F5293C">
        <w:rPr>
          <w:w w:val="105"/>
        </w:rPr>
        <w:t>T</w:t>
      </w:r>
      <w:r w:rsidRPr="00D358C6">
        <w:rPr>
          <w:w w:val="105"/>
        </w:rPr>
        <w:t>echnology</w:t>
      </w:r>
      <w:r w:rsidR="00230D07">
        <w:rPr>
          <w:w w:val="105"/>
        </w:rPr>
        <w:t>,</w:t>
      </w:r>
      <w:r w:rsidRPr="00D358C6">
        <w:rPr>
          <w:w w:val="105"/>
        </w:rPr>
        <w:t xml:space="preserve"> </w:t>
      </w:r>
      <w:r w:rsidR="00F5293C">
        <w:rPr>
          <w:w w:val="105"/>
        </w:rPr>
        <w:t>A</w:t>
      </w:r>
      <w:r w:rsidR="00B1481F" w:rsidRPr="00D358C6">
        <w:rPr>
          <w:w w:val="105"/>
        </w:rPr>
        <w:t xml:space="preserve">rchitecture and </w:t>
      </w:r>
      <w:r w:rsidR="00F5293C">
        <w:rPr>
          <w:w w:val="105"/>
        </w:rPr>
        <w:t>B</w:t>
      </w:r>
      <w:r w:rsidR="00B1481F" w:rsidRPr="00D358C6">
        <w:rPr>
          <w:w w:val="105"/>
        </w:rPr>
        <w:t>uilding</w:t>
      </w:r>
      <w:r w:rsidR="000530EF">
        <w:rPr>
          <w:w w:val="105"/>
        </w:rPr>
        <w:t>,</w:t>
      </w:r>
      <w:r w:rsidR="00B1481F">
        <w:rPr>
          <w:w w:val="105"/>
        </w:rPr>
        <w:t xml:space="preserve"> </w:t>
      </w:r>
      <w:r w:rsidR="00F5293C">
        <w:rPr>
          <w:w w:val="105"/>
        </w:rPr>
        <w:t>M</w:t>
      </w:r>
      <w:r w:rsidR="00B1481F">
        <w:rPr>
          <w:w w:val="105"/>
        </w:rPr>
        <w:t xml:space="preserve">anagement and </w:t>
      </w:r>
      <w:r w:rsidR="00F5293C">
        <w:rPr>
          <w:w w:val="105"/>
        </w:rPr>
        <w:t>C</w:t>
      </w:r>
      <w:r w:rsidR="00B1481F">
        <w:rPr>
          <w:w w:val="105"/>
        </w:rPr>
        <w:t>ommerce,</w:t>
      </w:r>
      <w:r w:rsidRPr="00D358C6">
        <w:rPr>
          <w:w w:val="105"/>
        </w:rPr>
        <w:t xml:space="preserve"> and </w:t>
      </w:r>
      <w:r w:rsidR="00F5293C">
        <w:rPr>
          <w:w w:val="105"/>
        </w:rPr>
        <w:t>S</w:t>
      </w:r>
      <w:r w:rsidR="00B1481F">
        <w:rPr>
          <w:w w:val="105"/>
        </w:rPr>
        <w:t xml:space="preserve">ociety and </w:t>
      </w:r>
      <w:r w:rsidR="00F5293C">
        <w:rPr>
          <w:w w:val="105"/>
        </w:rPr>
        <w:t>C</w:t>
      </w:r>
      <w:r w:rsidR="00B1481F">
        <w:rPr>
          <w:w w:val="105"/>
        </w:rPr>
        <w:t>ulture</w:t>
      </w:r>
      <w:r w:rsidR="000530EF">
        <w:rPr>
          <w:w w:val="105"/>
        </w:rPr>
        <w:t>.</w:t>
      </w:r>
    </w:p>
    <w:p w14:paraId="3A86C3F2" w14:textId="471167EA" w:rsidR="004D5218" w:rsidRPr="0026502A" w:rsidRDefault="00542912" w:rsidP="00BF48E1">
      <w:pPr>
        <w:rPr>
          <w:w w:val="105"/>
        </w:rPr>
      </w:pPr>
      <w:r>
        <w:rPr>
          <w:w w:val="105"/>
        </w:rPr>
        <w:t>Specifically, we use</w:t>
      </w:r>
      <w:r w:rsidR="00551979">
        <w:rPr>
          <w:w w:val="105"/>
        </w:rPr>
        <w:t xml:space="preserve"> data from the HILDA Survey</w:t>
      </w:r>
      <w:r>
        <w:rPr>
          <w:w w:val="105"/>
        </w:rPr>
        <w:t xml:space="preserve"> to</w:t>
      </w:r>
      <w:r w:rsidR="00A55BD3" w:rsidRPr="0026502A">
        <w:rPr>
          <w:w w:val="105"/>
        </w:rPr>
        <w:t xml:space="preserve"> address</w:t>
      </w:r>
      <w:r w:rsidR="00AA63E5" w:rsidRPr="0026502A">
        <w:rPr>
          <w:w w:val="105"/>
        </w:rPr>
        <w:t xml:space="preserve"> the</w:t>
      </w:r>
      <w:r w:rsidR="003C18F6" w:rsidRPr="0026502A">
        <w:rPr>
          <w:w w:val="105"/>
        </w:rPr>
        <w:t xml:space="preserve"> following three research questions: </w:t>
      </w:r>
    </w:p>
    <w:p w14:paraId="5D5B0097" w14:textId="19117B8F" w:rsidR="004D5218" w:rsidRPr="00CD560A" w:rsidRDefault="003C18F6" w:rsidP="00BF48E1">
      <w:pPr>
        <w:pStyle w:val="ListParagraph"/>
        <w:numPr>
          <w:ilvl w:val="0"/>
          <w:numId w:val="40"/>
        </w:numPr>
        <w:rPr>
          <w:w w:val="105"/>
        </w:rPr>
      </w:pPr>
      <w:r w:rsidRPr="00CD560A">
        <w:rPr>
          <w:w w:val="105"/>
        </w:rPr>
        <w:t xml:space="preserve">What are the patterns </w:t>
      </w:r>
      <w:r w:rsidR="00D409BB" w:rsidRPr="00CD560A">
        <w:rPr>
          <w:w w:val="105"/>
        </w:rPr>
        <w:t xml:space="preserve">in </w:t>
      </w:r>
      <w:r w:rsidRPr="00CD560A">
        <w:rPr>
          <w:w w:val="105"/>
        </w:rPr>
        <w:t>graduates</w:t>
      </w:r>
      <w:r w:rsidR="00C55911" w:rsidRPr="00CD560A">
        <w:rPr>
          <w:w w:val="105"/>
        </w:rPr>
        <w:t>’</w:t>
      </w:r>
      <w:r w:rsidRPr="00CD560A">
        <w:rPr>
          <w:w w:val="105"/>
        </w:rPr>
        <w:t xml:space="preserve"> field</w:t>
      </w:r>
      <w:r w:rsidR="002A7830" w:rsidRPr="00CD560A">
        <w:rPr>
          <w:w w:val="105"/>
        </w:rPr>
        <w:t>s</w:t>
      </w:r>
      <w:r w:rsidRPr="00CD560A">
        <w:rPr>
          <w:w w:val="105"/>
        </w:rPr>
        <w:t xml:space="preserve"> of study and their subsequent labour market performance? </w:t>
      </w:r>
    </w:p>
    <w:p w14:paraId="395FD065" w14:textId="2E9F7A4C" w:rsidR="004D5218" w:rsidRPr="00CD560A" w:rsidRDefault="003C18F6" w:rsidP="00BF48E1">
      <w:pPr>
        <w:pStyle w:val="ListParagraph"/>
        <w:numPr>
          <w:ilvl w:val="0"/>
          <w:numId w:val="40"/>
        </w:numPr>
        <w:rPr>
          <w:w w:val="105"/>
        </w:rPr>
      </w:pPr>
      <w:r w:rsidRPr="00CD560A">
        <w:rPr>
          <w:w w:val="105"/>
        </w:rPr>
        <w:t xml:space="preserve">How do multidimensional </w:t>
      </w:r>
      <w:r w:rsidR="0097512D">
        <w:rPr>
          <w:w w:val="105"/>
        </w:rPr>
        <w:t>socio-economic</w:t>
      </w:r>
      <w:r w:rsidR="00282527" w:rsidRPr="00CD560A">
        <w:rPr>
          <w:w w:val="105"/>
        </w:rPr>
        <w:t xml:space="preserve"> backgrounds</w:t>
      </w:r>
      <w:r w:rsidRPr="00CD560A">
        <w:rPr>
          <w:w w:val="105"/>
        </w:rPr>
        <w:t xml:space="preserve"> influence </w:t>
      </w:r>
      <w:r w:rsidR="002A7830" w:rsidRPr="00CD560A">
        <w:rPr>
          <w:w w:val="105"/>
        </w:rPr>
        <w:t xml:space="preserve">the choice of </w:t>
      </w:r>
      <w:r w:rsidRPr="00CD560A">
        <w:rPr>
          <w:w w:val="105"/>
        </w:rPr>
        <w:t>field</w:t>
      </w:r>
      <w:r w:rsidR="009F47D3" w:rsidRPr="00CD560A">
        <w:rPr>
          <w:w w:val="105"/>
        </w:rPr>
        <w:t>s</w:t>
      </w:r>
      <w:r w:rsidRPr="00CD560A">
        <w:rPr>
          <w:w w:val="105"/>
        </w:rPr>
        <w:t xml:space="preserve"> of study</w:t>
      </w:r>
      <w:r w:rsidR="00D409BB" w:rsidRPr="00CD560A">
        <w:rPr>
          <w:w w:val="105"/>
        </w:rPr>
        <w:t xml:space="preserve"> </w:t>
      </w:r>
      <w:r w:rsidRPr="00CD560A">
        <w:rPr>
          <w:w w:val="105"/>
        </w:rPr>
        <w:t xml:space="preserve">in tertiary education? </w:t>
      </w:r>
    </w:p>
    <w:p w14:paraId="41F4DBE4" w14:textId="37238509" w:rsidR="003C18F6" w:rsidRPr="00CD560A" w:rsidRDefault="003C18F6" w:rsidP="00BF48E1">
      <w:pPr>
        <w:pStyle w:val="ListParagraph"/>
        <w:numPr>
          <w:ilvl w:val="0"/>
          <w:numId w:val="40"/>
        </w:numPr>
        <w:rPr>
          <w:w w:val="105"/>
        </w:rPr>
      </w:pPr>
      <w:r w:rsidRPr="00CD560A">
        <w:rPr>
          <w:w w:val="105"/>
        </w:rPr>
        <w:t>How does the choice of university field</w:t>
      </w:r>
      <w:r w:rsidR="009F47D3" w:rsidRPr="00CD560A">
        <w:rPr>
          <w:w w:val="105"/>
        </w:rPr>
        <w:t>s</w:t>
      </w:r>
      <w:r w:rsidRPr="00CD560A">
        <w:rPr>
          <w:w w:val="105"/>
        </w:rPr>
        <w:t xml:space="preserve"> of study contribute to </w:t>
      </w:r>
      <w:r w:rsidR="00E677FD" w:rsidRPr="00CD560A">
        <w:rPr>
          <w:w w:val="105"/>
        </w:rPr>
        <w:t xml:space="preserve">differences in </w:t>
      </w:r>
      <w:r w:rsidRPr="00CD560A">
        <w:rPr>
          <w:w w:val="105"/>
        </w:rPr>
        <w:t xml:space="preserve">employment and earnings outcomes </w:t>
      </w:r>
      <w:r w:rsidR="00D409BB" w:rsidRPr="00CD560A">
        <w:rPr>
          <w:w w:val="105"/>
        </w:rPr>
        <w:t xml:space="preserve">among </w:t>
      </w:r>
      <w:r w:rsidRPr="00CD560A">
        <w:rPr>
          <w:w w:val="105"/>
        </w:rPr>
        <w:t xml:space="preserve">Australians from different </w:t>
      </w:r>
      <w:r w:rsidR="0097512D">
        <w:rPr>
          <w:w w:val="105"/>
        </w:rPr>
        <w:t>socio-economic</w:t>
      </w:r>
      <w:r w:rsidR="00B62526" w:rsidRPr="00CD560A">
        <w:rPr>
          <w:w w:val="105"/>
        </w:rPr>
        <w:t xml:space="preserve"> </w:t>
      </w:r>
      <w:r w:rsidRPr="00CD560A">
        <w:rPr>
          <w:w w:val="105"/>
        </w:rPr>
        <w:t>backgrounds?</w:t>
      </w:r>
    </w:p>
    <w:p w14:paraId="674B25DD" w14:textId="250BFE07" w:rsidR="00E433E5" w:rsidRPr="0026502A" w:rsidRDefault="00D81248" w:rsidP="00BF48E1">
      <w:pPr>
        <w:rPr>
          <w:w w:val="105"/>
        </w:rPr>
      </w:pPr>
      <w:r w:rsidRPr="00D81248">
        <w:rPr>
          <w:w w:val="105"/>
        </w:rPr>
        <w:t>The main findings of our empirical analysis are summarised as follows</w:t>
      </w:r>
      <w:r w:rsidR="00E433E5" w:rsidRPr="0026502A">
        <w:rPr>
          <w:w w:val="105"/>
        </w:rPr>
        <w:t xml:space="preserve">: </w:t>
      </w:r>
    </w:p>
    <w:p w14:paraId="575BCD3A" w14:textId="3D94C737" w:rsidR="00A9775D" w:rsidRPr="00CD560A" w:rsidRDefault="00186F2F" w:rsidP="00BF48E1">
      <w:pPr>
        <w:pStyle w:val="ListParagraph"/>
        <w:numPr>
          <w:ilvl w:val="0"/>
          <w:numId w:val="41"/>
        </w:numPr>
        <w:rPr>
          <w:w w:val="105"/>
        </w:rPr>
      </w:pPr>
      <w:r w:rsidRPr="005A66D9">
        <w:rPr>
          <w:b/>
          <w:bCs/>
          <w:w w:val="105"/>
        </w:rPr>
        <w:t xml:space="preserve">Patterns </w:t>
      </w:r>
      <w:r w:rsidR="008E1FF2" w:rsidRPr="005A66D9">
        <w:rPr>
          <w:b/>
          <w:bCs/>
          <w:w w:val="105"/>
        </w:rPr>
        <w:t xml:space="preserve">in </w:t>
      </w:r>
      <w:r w:rsidRPr="005A66D9">
        <w:rPr>
          <w:b/>
          <w:bCs/>
          <w:w w:val="105"/>
        </w:rPr>
        <w:t>graduates</w:t>
      </w:r>
      <w:r w:rsidR="00C55911" w:rsidRPr="005A66D9">
        <w:rPr>
          <w:b/>
          <w:bCs/>
          <w:w w:val="105"/>
        </w:rPr>
        <w:t>’</w:t>
      </w:r>
      <w:r w:rsidRPr="005A66D9">
        <w:rPr>
          <w:b/>
          <w:bCs/>
          <w:w w:val="105"/>
        </w:rPr>
        <w:t xml:space="preserve"> field</w:t>
      </w:r>
      <w:r w:rsidR="002A7830" w:rsidRPr="005A66D9">
        <w:rPr>
          <w:b/>
          <w:bCs/>
          <w:w w:val="105"/>
        </w:rPr>
        <w:t>s</w:t>
      </w:r>
      <w:r w:rsidRPr="005A66D9">
        <w:rPr>
          <w:b/>
          <w:bCs/>
          <w:w w:val="105"/>
        </w:rPr>
        <w:t xml:space="preserve"> of study and subsequent labour market performance</w:t>
      </w:r>
      <w:r w:rsidR="00CD560A">
        <w:rPr>
          <w:w w:val="105"/>
        </w:rPr>
        <w:t>:</w:t>
      </w:r>
      <w:r w:rsidR="00A9775D" w:rsidRPr="00CD560A">
        <w:rPr>
          <w:w w:val="105"/>
        </w:rPr>
        <w:t xml:space="preserve"> </w:t>
      </w:r>
      <w:r w:rsidR="003A78E5" w:rsidRPr="00CD560A">
        <w:rPr>
          <w:w w:val="105"/>
        </w:rPr>
        <w:t xml:space="preserve">Our </w:t>
      </w:r>
      <w:r w:rsidR="00CC3873" w:rsidRPr="00CD560A">
        <w:rPr>
          <w:w w:val="105"/>
        </w:rPr>
        <w:t>analysis</w:t>
      </w:r>
      <w:r w:rsidR="003A78E5" w:rsidRPr="00CD560A">
        <w:rPr>
          <w:w w:val="105"/>
        </w:rPr>
        <w:t xml:space="preserve"> show</w:t>
      </w:r>
      <w:r w:rsidR="00C71D29" w:rsidRPr="00CD560A">
        <w:rPr>
          <w:w w:val="105"/>
        </w:rPr>
        <w:t>s</w:t>
      </w:r>
      <w:r w:rsidR="003A78E5" w:rsidRPr="00CD560A">
        <w:rPr>
          <w:w w:val="105"/>
        </w:rPr>
        <w:t xml:space="preserve"> that </w:t>
      </w:r>
      <w:r w:rsidR="00CA2B2C" w:rsidRPr="00CD560A">
        <w:rPr>
          <w:w w:val="105"/>
        </w:rPr>
        <w:t>graduates are</w:t>
      </w:r>
      <w:r w:rsidR="003A78E5" w:rsidRPr="00CD560A">
        <w:rPr>
          <w:w w:val="105"/>
        </w:rPr>
        <w:t xml:space="preserve"> concentrated in a few key fields</w:t>
      </w:r>
      <w:r w:rsidR="007B072F" w:rsidRPr="00CD560A">
        <w:rPr>
          <w:w w:val="105"/>
        </w:rPr>
        <w:t xml:space="preserve"> including</w:t>
      </w:r>
      <w:r w:rsidR="003A78E5" w:rsidRPr="00CD560A">
        <w:rPr>
          <w:w w:val="105"/>
        </w:rPr>
        <w:t xml:space="preserve"> </w:t>
      </w:r>
      <w:r w:rsidR="00F5293C">
        <w:rPr>
          <w:w w:val="105"/>
        </w:rPr>
        <w:t>M</w:t>
      </w:r>
      <w:r w:rsidR="003A78E5" w:rsidRPr="00CD560A">
        <w:rPr>
          <w:w w:val="105"/>
        </w:rPr>
        <w:t xml:space="preserve">anagement and </w:t>
      </w:r>
      <w:r w:rsidR="00F5293C">
        <w:rPr>
          <w:w w:val="105"/>
        </w:rPr>
        <w:t>C</w:t>
      </w:r>
      <w:r w:rsidR="003A78E5" w:rsidRPr="00CD560A">
        <w:rPr>
          <w:w w:val="105"/>
        </w:rPr>
        <w:t>ommerce</w:t>
      </w:r>
      <w:r w:rsidR="000530EF" w:rsidRPr="00CD560A">
        <w:rPr>
          <w:w w:val="105"/>
        </w:rPr>
        <w:t>,</w:t>
      </w:r>
      <w:r w:rsidR="003A78E5" w:rsidRPr="00CD560A">
        <w:rPr>
          <w:w w:val="105"/>
        </w:rPr>
        <w:t xml:space="preserve"> </w:t>
      </w:r>
      <w:r w:rsidR="00F5293C">
        <w:rPr>
          <w:w w:val="105"/>
        </w:rPr>
        <w:t>E</w:t>
      </w:r>
      <w:r w:rsidR="003A78E5" w:rsidRPr="00CD560A">
        <w:rPr>
          <w:w w:val="105"/>
        </w:rPr>
        <w:t>ducation</w:t>
      </w:r>
      <w:r w:rsidR="000530EF" w:rsidRPr="00CD560A">
        <w:rPr>
          <w:w w:val="105"/>
        </w:rPr>
        <w:t xml:space="preserve">, </w:t>
      </w:r>
      <w:r w:rsidR="003A78E5" w:rsidRPr="00CD560A">
        <w:rPr>
          <w:w w:val="105"/>
        </w:rPr>
        <w:t xml:space="preserve">and </w:t>
      </w:r>
      <w:r w:rsidR="00F5293C">
        <w:rPr>
          <w:w w:val="105"/>
        </w:rPr>
        <w:t>S</w:t>
      </w:r>
      <w:r w:rsidR="003A78E5" w:rsidRPr="00CD560A">
        <w:rPr>
          <w:w w:val="105"/>
        </w:rPr>
        <w:t xml:space="preserve">ociety and </w:t>
      </w:r>
      <w:r w:rsidR="00F5293C">
        <w:rPr>
          <w:w w:val="105"/>
        </w:rPr>
        <w:t>C</w:t>
      </w:r>
      <w:r w:rsidR="003A78E5" w:rsidRPr="00CD560A">
        <w:rPr>
          <w:w w:val="105"/>
        </w:rPr>
        <w:t>ultur</w:t>
      </w:r>
      <w:r w:rsidR="000530EF" w:rsidRPr="00CD560A">
        <w:rPr>
          <w:w w:val="105"/>
        </w:rPr>
        <w:t>e</w:t>
      </w:r>
      <w:r w:rsidR="00DF39FF" w:rsidRPr="00CD560A">
        <w:rPr>
          <w:w w:val="105"/>
        </w:rPr>
        <w:t>; these together account for around half of all tertiary degrees awarded</w:t>
      </w:r>
      <w:r w:rsidR="000530EF" w:rsidRPr="00CD560A">
        <w:rPr>
          <w:w w:val="105"/>
        </w:rPr>
        <w:t>.</w:t>
      </w:r>
      <w:r w:rsidR="003A78E5" w:rsidRPr="00CD560A">
        <w:rPr>
          <w:w w:val="105"/>
        </w:rPr>
        <w:t xml:space="preserve"> </w:t>
      </w:r>
      <w:r w:rsidR="00DF39FF" w:rsidRPr="00CD560A">
        <w:rPr>
          <w:w w:val="105"/>
        </w:rPr>
        <w:t>We also find that</w:t>
      </w:r>
      <w:r w:rsidR="00175774" w:rsidRPr="00CD560A">
        <w:rPr>
          <w:w w:val="105"/>
        </w:rPr>
        <w:t xml:space="preserve"> preferences have changed across birth cohorts, with a shift from fields such as </w:t>
      </w:r>
      <w:r w:rsidR="00F5293C">
        <w:rPr>
          <w:w w:val="105"/>
        </w:rPr>
        <w:t>E</w:t>
      </w:r>
      <w:r w:rsidR="00175774" w:rsidRPr="00CD560A">
        <w:rPr>
          <w:w w:val="105"/>
        </w:rPr>
        <w:t xml:space="preserve">ducation, </w:t>
      </w:r>
      <w:r w:rsidR="00F5293C">
        <w:rPr>
          <w:w w:val="105"/>
        </w:rPr>
        <w:t>S</w:t>
      </w:r>
      <w:r w:rsidR="00175774" w:rsidRPr="00CD560A">
        <w:rPr>
          <w:w w:val="105"/>
        </w:rPr>
        <w:t xml:space="preserve">ociety and </w:t>
      </w:r>
      <w:r w:rsidR="00F5293C">
        <w:rPr>
          <w:w w:val="105"/>
        </w:rPr>
        <w:t>C</w:t>
      </w:r>
      <w:r w:rsidR="00175774" w:rsidRPr="00CD560A">
        <w:rPr>
          <w:w w:val="105"/>
        </w:rPr>
        <w:t xml:space="preserve">ulture, and </w:t>
      </w:r>
      <w:r w:rsidR="00F5293C">
        <w:rPr>
          <w:w w:val="105"/>
        </w:rPr>
        <w:t>N</w:t>
      </w:r>
      <w:r w:rsidR="00175774" w:rsidRPr="00CD560A">
        <w:rPr>
          <w:w w:val="105"/>
        </w:rPr>
        <w:t xml:space="preserve">ursing to fields such as </w:t>
      </w:r>
      <w:r w:rsidR="00F5293C">
        <w:rPr>
          <w:w w:val="105"/>
        </w:rPr>
        <w:t>C</w:t>
      </w:r>
      <w:r w:rsidR="00175774" w:rsidRPr="00CD560A">
        <w:rPr>
          <w:w w:val="105"/>
        </w:rPr>
        <w:t xml:space="preserve">reative </w:t>
      </w:r>
      <w:r w:rsidR="00F5293C">
        <w:rPr>
          <w:w w:val="105"/>
        </w:rPr>
        <w:t>A</w:t>
      </w:r>
      <w:r w:rsidR="00175774" w:rsidRPr="00CD560A">
        <w:rPr>
          <w:w w:val="105"/>
        </w:rPr>
        <w:t xml:space="preserve">rts, </w:t>
      </w:r>
      <w:r w:rsidR="00F5293C">
        <w:rPr>
          <w:w w:val="105"/>
        </w:rPr>
        <w:t>L</w:t>
      </w:r>
      <w:r w:rsidR="00175774" w:rsidRPr="00CD560A">
        <w:rPr>
          <w:w w:val="105"/>
        </w:rPr>
        <w:t xml:space="preserve">aw, and Other </w:t>
      </w:r>
      <w:r w:rsidR="00D95EAA">
        <w:rPr>
          <w:w w:val="105"/>
        </w:rPr>
        <w:t>H</w:t>
      </w:r>
      <w:r w:rsidR="00175774" w:rsidRPr="00CD560A">
        <w:rPr>
          <w:w w:val="105"/>
        </w:rPr>
        <w:t>ealth-</w:t>
      </w:r>
      <w:r w:rsidR="00D95EAA">
        <w:rPr>
          <w:w w:val="105"/>
        </w:rPr>
        <w:t>R</w:t>
      </w:r>
      <w:r w:rsidR="00175774" w:rsidRPr="00CD560A">
        <w:rPr>
          <w:w w:val="105"/>
        </w:rPr>
        <w:t>elated</w:t>
      </w:r>
      <w:r w:rsidR="005A66D9">
        <w:rPr>
          <w:w w:val="105"/>
        </w:rPr>
        <w:t xml:space="preserve"> subjects</w:t>
      </w:r>
      <w:r w:rsidR="00175774" w:rsidRPr="00CD560A">
        <w:rPr>
          <w:w w:val="105"/>
        </w:rPr>
        <w:t xml:space="preserve">. </w:t>
      </w:r>
      <w:r w:rsidR="003A78E5" w:rsidRPr="00CD560A">
        <w:rPr>
          <w:w w:val="105"/>
        </w:rPr>
        <w:t xml:space="preserve">Labour market outcomes also vary </w:t>
      </w:r>
      <w:r w:rsidR="004267D4" w:rsidRPr="00CD560A">
        <w:rPr>
          <w:w w:val="105"/>
        </w:rPr>
        <w:t>according to</w:t>
      </w:r>
      <w:r w:rsidR="001C10DA" w:rsidRPr="00CD560A">
        <w:rPr>
          <w:w w:val="105"/>
        </w:rPr>
        <w:t xml:space="preserve"> academic specialisation</w:t>
      </w:r>
      <w:r w:rsidR="003A78E5" w:rsidRPr="00CD560A">
        <w:rPr>
          <w:w w:val="105"/>
        </w:rPr>
        <w:t xml:space="preserve">. </w:t>
      </w:r>
      <w:r w:rsidR="00F64496" w:rsidRPr="00CD560A">
        <w:rPr>
          <w:w w:val="105"/>
        </w:rPr>
        <w:t>For example, f</w:t>
      </w:r>
      <w:r w:rsidR="003A78E5" w:rsidRPr="00CD560A">
        <w:rPr>
          <w:w w:val="105"/>
        </w:rPr>
        <w:t xml:space="preserve">ields such as </w:t>
      </w:r>
      <w:r w:rsidR="00F5293C">
        <w:rPr>
          <w:w w:val="105"/>
        </w:rPr>
        <w:t>I</w:t>
      </w:r>
      <w:r w:rsidR="00230D07" w:rsidRPr="00CD560A">
        <w:rPr>
          <w:w w:val="105"/>
        </w:rPr>
        <w:t xml:space="preserve">nformation </w:t>
      </w:r>
      <w:r w:rsidR="00F5293C">
        <w:rPr>
          <w:w w:val="105"/>
        </w:rPr>
        <w:t>T</w:t>
      </w:r>
      <w:r w:rsidR="00230D07" w:rsidRPr="00CD560A">
        <w:rPr>
          <w:w w:val="105"/>
        </w:rPr>
        <w:t>echnology</w:t>
      </w:r>
      <w:r w:rsidR="00F5293C">
        <w:rPr>
          <w:w w:val="105"/>
        </w:rPr>
        <w:t>,</w:t>
      </w:r>
      <w:r w:rsidR="003A78E5" w:rsidRPr="00CD560A">
        <w:rPr>
          <w:w w:val="105"/>
        </w:rPr>
        <w:t xml:space="preserve"> and </w:t>
      </w:r>
      <w:r w:rsidR="00F5293C">
        <w:rPr>
          <w:w w:val="105"/>
        </w:rPr>
        <w:t>E</w:t>
      </w:r>
      <w:r w:rsidR="003A78E5" w:rsidRPr="00CD560A">
        <w:rPr>
          <w:w w:val="105"/>
        </w:rPr>
        <w:t>ngineering</w:t>
      </w:r>
      <w:r w:rsidR="000530EF" w:rsidRPr="00CD560A">
        <w:rPr>
          <w:w w:val="105"/>
        </w:rPr>
        <w:t xml:space="preserve"> and </w:t>
      </w:r>
      <w:r w:rsidR="00F5293C">
        <w:rPr>
          <w:w w:val="105"/>
        </w:rPr>
        <w:t>R</w:t>
      </w:r>
      <w:r w:rsidR="000530EF" w:rsidRPr="00CD560A">
        <w:rPr>
          <w:w w:val="105"/>
        </w:rPr>
        <w:t xml:space="preserve">elated </w:t>
      </w:r>
      <w:r w:rsidR="00F5293C">
        <w:rPr>
          <w:w w:val="105"/>
        </w:rPr>
        <w:t>T</w:t>
      </w:r>
      <w:r w:rsidR="000530EF" w:rsidRPr="00CD560A">
        <w:rPr>
          <w:w w:val="105"/>
        </w:rPr>
        <w:t>echnologies</w:t>
      </w:r>
      <w:r w:rsidR="003A78E5" w:rsidRPr="00CD560A">
        <w:rPr>
          <w:w w:val="105"/>
        </w:rPr>
        <w:t xml:space="preserve"> are </w:t>
      </w:r>
      <w:r w:rsidR="003A78E5" w:rsidRPr="00CD560A">
        <w:rPr>
          <w:w w:val="105"/>
        </w:rPr>
        <w:lastRenderedPageBreak/>
        <w:t xml:space="preserve">associated with higher salaries, as well as more prestigious and stable job opportunities, compared to fields such as </w:t>
      </w:r>
      <w:r w:rsidR="005A66D9">
        <w:rPr>
          <w:w w:val="105"/>
        </w:rPr>
        <w:t>C</w:t>
      </w:r>
      <w:r w:rsidR="003A78E5" w:rsidRPr="00CD560A">
        <w:rPr>
          <w:w w:val="105"/>
        </w:rPr>
        <w:t xml:space="preserve">reative </w:t>
      </w:r>
      <w:r w:rsidR="005A66D9">
        <w:rPr>
          <w:w w:val="105"/>
        </w:rPr>
        <w:t>A</w:t>
      </w:r>
      <w:r w:rsidR="003A78E5" w:rsidRPr="00CD560A">
        <w:rPr>
          <w:w w:val="105"/>
        </w:rPr>
        <w:t xml:space="preserve">rts and </w:t>
      </w:r>
      <w:r w:rsidR="005A66D9">
        <w:rPr>
          <w:w w:val="105"/>
        </w:rPr>
        <w:t>S</w:t>
      </w:r>
      <w:r w:rsidR="00230D07" w:rsidRPr="00CD560A">
        <w:rPr>
          <w:w w:val="105"/>
        </w:rPr>
        <w:t xml:space="preserve">ociety and </w:t>
      </w:r>
      <w:r w:rsidR="005A66D9">
        <w:rPr>
          <w:w w:val="105"/>
        </w:rPr>
        <w:t>C</w:t>
      </w:r>
      <w:r w:rsidR="00230D07" w:rsidRPr="00CD560A">
        <w:rPr>
          <w:w w:val="105"/>
        </w:rPr>
        <w:t>ulture,</w:t>
      </w:r>
      <w:r w:rsidR="003A78E5" w:rsidRPr="00CD560A">
        <w:rPr>
          <w:w w:val="105"/>
        </w:rPr>
        <w:t xml:space="preserve"> which are generally </w:t>
      </w:r>
      <w:r w:rsidR="004267D4" w:rsidRPr="00CD560A">
        <w:rPr>
          <w:w w:val="105"/>
        </w:rPr>
        <w:t>associated with</w:t>
      </w:r>
      <w:r w:rsidR="003A78E5" w:rsidRPr="00CD560A">
        <w:rPr>
          <w:w w:val="105"/>
        </w:rPr>
        <w:t xml:space="preserve"> lower earnings and less stable employment prospects. This divergence </w:t>
      </w:r>
      <w:r w:rsidR="004267D4" w:rsidRPr="00CD560A">
        <w:rPr>
          <w:w w:val="105"/>
        </w:rPr>
        <w:t>in</w:t>
      </w:r>
      <w:r w:rsidR="003A78E5" w:rsidRPr="00CD560A">
        <w:rPr>
          <w:w w:val="105"/>
        </w:rPr>
        <w:t xml:space="preserve"> career paths highlights the importance of academic speciali</w:t>
      </w:r>
      <w:r w:rsidR="0030296F" w:rsidRPr="00CD560A">
        <w:rPr>
          <w:w w:val="105"/>
        </w:rPr>
        <w:t>s</w:t>
      </w:r>
      <w:r w:rsidR="003A78E5" w:rsidRPr="00CD560A">
        <w:rPr>
          <w:w w:val="105"/>
        </w:rPr>
        <w:t>ation at university in shaping long-term career trajectories.</w:t>
      </w:r>
    </w:p>
    <w:p w14:paraId="77DCFE70" w14:textId="7DE6C65D" w:rsidR="00A9775D" w:rsidRPr="00CD560A" w:rsidRDefault="00670921" w:rsidP="00BF48E1">
      <w:pPr>
        <w:pStyle w:val="ListParagraph"/>
        <w:numPr>
          <w:ilvl w:val="0"/>
          <w:numId w:val="41"/>
        </w:numPr>
        <w:rPr>
          <w:w w:val="105"/>
        </w:rPr>
      </w:pPr>
      <w:r w:rsidRPr="005A66D9">
        <w:rPr>
          <w:b/>
          <w:bCs/>
          <w:w w:val="105"/>
        </w:rPr>
        <w:t>I</w:t>
      </w:r>
      <w:r w:rsidR="00124279" w:rsidRPr="005A66D9">
        <w:rPr>
          <w:b/>
          <w:bCs/>
          <w:w w:val="105"/>
        </w:rPr>
        <w:t xml:space="preserve">nfluence of </w:t>
      </w:r>
      <w:r w:rsidR="0097512D" w:rsidRPr="005A66D9">
        <w:rPr>
          <w:b/>
          <w:bCs/>
          <w:w w:val="105"/>
        </w:rPr>
        <w:t>socio-economic</w:t>
      </w:r>
      <w:r w:rsidR="001507EC" w:rsidRPr="005A66D9">
        <w:rPr>
          <w:b/>
          <w:bCs/>
          <w:w w:val="105"/>
        </w:rPr>
        <w:t xml:space="preserve"> backgrounds </w:t>
      </w:r>
      <w:r w:rsidR="00124279" w:rsidRPr="005A66D9">
        <w:rPr>
          <w:b/>
          <w:bCs/>
          <w:w w:val="105"/>
        </w:rPr>
        <w:t xml:space="preserve">on </w:t>
      </w:r>
      <w:r w:rsidR="002A7830" w:rsidRPr="005A66D9">
        <w:rPr>
          <w:b/>
          <w:bCs/>
          <w:w w:val="105"/>
        </w:rPr>
        <w:t>the choice of field</w:t>
      </w:r>
      <w:r w:rsidR="009F47D3" w:rsidRPr="005A66D9">
        <w:rPr>
          <w:b/>
          <w:bCs/>
          <w:w w:val="105"/>
        </w:rPr>
        <w:t>s</w:t>
      </w:r>
      <w:r w:rsidR="002A7830" w:rsidRPr="005A66D9">
        <w:rPr>
          <w:b/>
          <w:bCs/>
          <w:w w:val="105"/>
        </w:rPr>
        <w:t xml:space="preserve"> of study </w:t>
      </w:r>
      <w:r w:rsidR="00124279" w:rsidRPr="005A66D9">
        <w:rPr>
          <w:b/>
          <w:bCs/>
          <w:w w:val="105"/>
        </w:rPr>
        <w:t>in tertiary education</w:t>
      </w:r>
      <w:r w:rsidR="00CD560A">
        <w:rPr>
          <w:w w:val="105"/>
        </w:rPr>
        <w:t>:</w:t>
      </w:r>
      <w:r w:rsidR="00A9775D" w:rsidRPr="00CD560A">
        <w:rPr>
          <w:w w:val="105"/>
        </w:rPr>
        <w:t xml:space="preserve"> </w:t>
      </w:r>
      <w:r w:rsidR="00F1384B" w:rsidRPr="00CD560A">
        <w:rPr>
          <w:w w:val="105"/>
        </w:rPr>
        <w:t xml:space="preserve">Of the five indicators of </w:t>
      </w:r>
      <w:r w:rsidR="0097512D">
        <w:rPr>
          <w:w w:val="105"/>
        </w:rPr>
        <w:t>socio-economic</w:t>
      </w:r>
      <w:r w:rsidR="00DF39FF" w:rsidRPr="00CD560A">
        <w:rPr>
          <w:w w:val="105"/>
        </w:rPr>
        <w:t xml:space="preserve"> </w:t>
      </w:r>
      <w:r w:rsidR="00C12914" w:rsidRPr="00CD560A">
        <w:rPr>
          <w:w w:val="105"/>
        </w:rPr>
        <w:t>background</w:t>
      </w:r>
      <w:r w:rsidR="00572758" w:rsidRPr="00CD560A">
        <w:rPr>
          <w:w w:val="105"/>
        </w:rPr>
        <w:t>s</w:t>
      </w:r>
      <w:r w:rsidR="00C12914" w:rsidRPr="00CD560A">
        <w:rPr>
          <w:w w:val="105"/>
        </w:rPr>
        <w:t xml:space="preserve"> </w:t>
      </w:r>
      <w:r w:rsidR="00F1384B" w:rsidRPr="00CD560A">
        <w:rPr>
          <w:w w:val="105"/>
        </w:rPr>
        <w:t xml:space="preserve">analysed, </w:t>
      </w:r>
      <w:r w:rsidR="004A6075" w:rsidRPr="00CD560A">
        <w:rPr>
          <w:w w:val="105"/>
        </w:rPr>
        <w:t>being</w:t>
      </w:r>
      <w:r w:rsidR="00BF5F1C" w:rsidRPr="00CD560A">
        <w:rPr>
          <w:w w:val="105"/>
        </w:rPr>
        <w:t xml:space="preserve"> from a </w:t>
      </w:r>
      <w:r w:rsidR="007766E8" w:rsidRPr="00CD560A">
        <w:rPr>
          <w:w w:val="105"/>
        </w:rPr>
        <w:t xml:space="preserve">non-English-speaking background is the strongest predictor of </w:t>
      </w:r>
      <w:r w:rsidR="00FB58A8" w:rsidRPr="00CD560A">
        <w:rPr>
          <w:w w:val="105"/>
        </w:rPr>
        <w:t>field-of-</w:t>
      </w:r>
      <w:r w:rsidR="007766E8" w:rsidRPr="00CD560A">
        <w:rPr>
          <w:w w:val="105"/>
        </w:rPr>
        <w:t xml:space="preserve">study choice. NESB students are more likely to select high-paying fields and less likely to </w:t>
      </w:r>
      <w:r w:rsidR="00211BB2" w:rsidRPr="00CD560A">
        <w:rPr>
          <w:w w:val="105"/>
        </w:rPr>
        <w:t>choose</w:t>
      </w:r>
      <w:r w:rsidR="007766E8" w:rsidRPr="00CD560A">
        <w:rPr>
          <w:w w:val="105"/>
        </w:rPr>
        <w:t xml:space="preserve"> low-paying </w:t>
      </w:r>
      <w:r w:rsidR="0046363C" w:rsidRPr="00CD560A">
        <w:rPr>
          <w:w w:val="105"/>
        </w:rPr>
        <w:t>fields than</w:t>
      </w:r>
      <w:r w:rsidR="00F1384B" w:rsidRPr="00CD560A">
        <w:rPr>
          <w:w w:val="105"/>
        </w:rPr>
        <w:t xml:space="preserve"> their ESB counterparts, suggesting that the</w:t>
      </w:r>
      <w:r w:rsidR="00795735" w:rsidRPr="00CD560A">
        <w:rPr>
          <w:w w:val="105"/>
        </w:rPr>
        <w:t xml:space="preserve">ir educational </w:t>
      </w:r>
      <w:r w:rsidR="00211BB2" w:rsidRPr="00CD560A">
        <w:rPr>
          <w:w w:val="105"/>
        </w:rPr>
        <w:t xml:space="preserve">decisions </w:t>
      </w:r>
      <w:r w:rsidR="00795735" w:rsidRPr="00CD560A">
        <w:rPr>
          <w:w w:val="105"/>
        </w:rPr>
        <w:t>are related to</w:t>
      </w:r>
      <w:r w:rsidR="00F1384B" w:rsidRPr="00CD560A">
        <w:rPr>
          <w:w w:val="105"/>
        </w:rPr>
        <w:t xml:space="preserve"> future earning</w:t>
      </w:r>
      <w:r w:rsidR="00B50ED8" w:rsidRPr="00CD560A">
        <w:rPr>
          <w:w w:val="105"/>
        </w:rPr>
        <w:t>s</w:t>
      </w:r>
      <w:r w:rsidR="00F1384B" w:rsidRPr="00CD560A">
        <w:rPr>
          <w:w w:val="105"/>
        </w:rPr>
        <w:t xml:space="preserve"> potential. In contrast, </w:t>
      </w:r>
      <w:r w:rsidR="00BC21DF" w:rsidRPr="00CD560A">
        <w:rPr>
          <w:w w:val="105"/>
        </w:rPr>
        <w:t xml:space="preserve">the other four measures of </w:t>
      </w:r>
      <w:r w:rsidR="0097512D">
        <w:rPr>
          <w:w w:val="105"/>
        </w:rPr>
        <w:t>socio-economic</w:t>
      </w:r>
      <w:r w:rsidR="00582602" w:rsidRPr="00CD560A">
        <w:rPr>
          <w:w w:val="105"/>
        </w:rPr>
        <w:t xml:space="preserve"> backgrounds</w:t>
      </w:r>
      <w:r w:rsidR="00BC21DF" w:rsidRPr="00CD560A">
        <w:rPr>
          <w:w w:val="105"/>
        </w:rPr>
        <w:t xml:space="preserve"> </w:t>
      </w:r>
      <w:r w:rsidR="00D83EEC" w:rsidRPr="00CD560A">
        <w:rPr>
          <w:w w:val="105"/>
        </w:rPr>
        <w:t>(namely Indigenous origin, low SES</w:t>
      </w:r>
      <w:r w:rsidR="0046363C" w:rsidRPr="00CD560A">
        <w:rPr>
          <w:w w:val="105"/>
        </w:rPr>
        <w:t xml:space="preserve"> in childhood</w:t>
      </w:r>
      <w:r w:rsidR="00D83EEC" w:rsidRPr="00CD560A">
        <w:rPr>
          <w:w w:val="105"/>
        </w:rPr>
        <w:t>, father’s unemployment experience during childhood, and living in a single-parent family at age 14)</w:t>
      </w:r>
      <w:r w:rsidR="00DD3A6C" w:rsidRPr="00CD560A">
        <w:rPr>
          <w:w w:val="105"/>
        </w:rPr>
        <w:t xml:space="preserve"> </w:t>
      </w:r>
      <w:r w:rsidR="00035796" w:rsidRPr="00CD560A">
        <w:rPr>
          <w:w w:val="105"/>
        </w:rPr>
        <w:t xml:space="preserve">do not </w:t>
      </w:r>
      <w:r w:rsidR="00BC21DF" w:rsidRPr="00CD560A">
        <w:rPr>
          <w:w w:val="105"/>
        </w:rPr>
        <w:t xml:space="preserve">show </w:t>
      </w:r>
      <w:r w:rsidR="00035796" w:rsidRPr="00CD560A">
        <w:rPr>
          <w:w w:val="105"/>
        </w:rPr>
        <w:t>a statistically</w:t>
      </w:r>
      <w:r w:rsidR="00BC21DF" w:rsidRPr="00CD560A">
        <w:rPr>
          <w:w w:val="105"/>
        </w:rPr>
        <w:t xml:space="preserve"> significant relationship with the </w:t>
      </w:r>
      <w:r w:rsidR="00771AB1" w:rsidRPr="00CD560A">
        <w:rPr>
          <w:w w:val="105"/>
        </w:rPr>
        <w:t>choice</w:t>
      </w:r>
      <w:r w:rsidR="00BC21DF" w:rsidRPr="00CD560A">
        <w:rPr>
          <w:w w:val="105"/>
        </w:rPr>
        <w:t xml:space="preserve"> of high- or low-paying fields of study</w:t>
      </w:r>
      <w:r w:rsidR="00527C83" w:rsidRPr="00CD560A">
        <w:rPr>
          <w:w w:val="105"/>
        </w:rPr>
        <w:t>.</w:t>
      </w:r>
    </w:p>
    <w:p w14:paraId="49885204" w14:textId="140E18E6" w:rsidR="00250EAC" w:rsidRPr="00CD560A" w:rsidRDefault="001A0550" w:rsidP="00BF48E1">
      <w:pPr>
        <w:pStyle w:val="ListParagraph"/>
        <w:numPr>
          <w:ilvl w:val="0"/>
          <w:numId w:val="41"/>
        </w:numPr>
        <w:rPr>
          <w:w w:val="105"/>
        </w:rPr>
      </w:pPr>
      <w:r w:rsidRPr="005A66D9">
        <w:rPr>
          <w:b/>
          <w:bCs/>
          <w:w w:val="105"/>
        </w:rPr>
        <w:t>Socio-economic</w:t>
      </w:r>
      <w:r w:rsidR="00795735" w:rsidRPr="005A66D9">
        <w:rPr>
          <w:b/>
          <w:bCs/>
          <w:w w:val="105"/>
        </w:rPr>
        <w:t xml:space="preserve"> backgrounds</w:t>
      </w:r>
      <w:r w:rsidR="003F147C" w:rsidRPr="005A66D9">
        <w:rPr>
          <w:b/>
          <w:bCs/>
          <w:w w:val="105"/>
        </w:rPr>
        <w:t>, c</w:t>
      </w:r>
      <w:r w:rsidR="00124279" w:rsidRPr="005A66D9">
        <w:rPr>
          <w:b/>
          <w:bCs/>
          <w:w w:val="105"/>
        </w:rPr>
        <w:t>hoice of field</w:t>
      </w:r>
      <w:r w:rsidR="009F47D3" w:rsidRPr="005A66D9">
        <w:rPr>
          <w:b/>
          <w:bCs/>
          <w:w w:val="105"/>
        </w:rPr>
        <w:t>s</w:t>
      </w:r>
      <w:r w:rsidR="00124279" w:rsidRPr="005A66D9">
        <w:rPr>
          <w:b/>
          <w:bCs/>
          <w:w w:val="105"/>
        </w:rPr>
        <w:t xml:space="preserve"> of study</w:t>
      </w:r>
      <w:r w:rsidR="003F147C" w:rsidRPr="005A66D9">
        <w:rPr>
          <w:b/>
          <w:bCs/>
          <w:w w:val="105"/>
        </w:rPr>
        <w:t>,</w:t>
      </w:r>
      <w:r w:rsidR="00124279" w:rsidRPr="005A66D9">
        <w:rPr>
          <w:b/>
          <w:bCs/>
          <w:w w:val="105"/>
        </w:rPr>
        <w:t xml:space="preserve"> and</w:t>
      </w:r>
      <w:r w:rsidR="002E09EC" w:rsidRPr="005A66D9">
        <w:rPr>
          <w:b/>
          <w:bCs/>
          <w:w w:val="105"/>
        </w:rPr>
        <w:t xml:space="preserve"> post-university</w:t>
      </w:r>
      <w:r w:rsidR="00124279" w:rsidRPr="005A66D9">
        <w:rPr>
          <w:b/>
          <w:bCs/>
          <w:w w:val="105"/>
        </w:rPr>
        <w:t xml:space="preserve"> labour market outcomes</w:t>
      </w:r>
      <w:r w:rsidR="00CD560A">
        <w:rPr>
          <w:w w:val="105"/>
        </w:rPr>
        <w:t>:</w:t>
      </w:r>
      <w:r w:rsidR="004073DF" w:rsidRPr="00CD560A">
        <w:rPr>
          <w:rFonts w:eastAsia="Times New Roman"/>
          <w:lang w:eastAsia="zh-CN"/>
        </w:rPr>
        <w:t xml:space="preserve"> </w:t>
      </w:r>
      <w:r w:rsidR="00250EAC" w:rsidRPr="00CD560A">
        <w:rPr>
          <w:w w:val="105"/>
        </w:rPr>
        <w:t xml:space="preserve">Post-university labour market outcomes vary by childhood </w:t>
      </w:r>
      <w:r w:rsidR="0097512D">
        <w:rPr>
          <w:w w:val="105"/>
        </w:rPr>
        <w:t>socio-economic</w:t>
      </w:r>
      <w:r w:rsidR="00250EAC" w:rsidRPr="00CD560A">
        <w:rPr>
          <w:w w:val="105"/>
        </w:rPr>
        <w:t xml:space="preserve"> background. Indigenous Australians and those whose</w:t>
      </w:r>
      <w:r w:rsidR="004A6075" w:rsidRPr="00CD560A">
        <w:rPr>
          <w:w w:val="105"/>
        </w:rPr>
        <w:t xml:space="preserve"> </w:t>
      </w:r>
      <w:r w:rsidR="00250EAC" w:rsidRPr="00CD560A">
        <w:rPr>
          <w:w w:val="105"/>
        </w:rPr>
        <w:t>father</w:t>
      </w:r>
      <w:r w:rsidR="00090E0D">
        <w:rPr>
          <w:w w:val="105"/>
        </w:rPr>
        <w:t>s</w:t>
      </w:r>
      <w:r w:rsidR="00250EAC" w:rsidRPr="00CD560A">
        <w:rPr>
          <w:w w:val="105"/>
        </w:rPr>
        <w:t xml:space="preserve"> </w:t>
      </w:r>
      <w:r w:rsidR="005536EA" w:rsidRPr="00CD560A">
        <w:rPr>
          <w:w w:val="105"/>
        </w:rPr>
        <w:t>w</w:t>
      </w:r>
      <w:r w:rsidR="00090E0D">
        <w:rPr>
          <w:w w:val="105"/>
        </w:rPr>
        <w:t>ere</w:t>
      </w:r>
      <w:r w:rsidR="005536EA" w:rsidRPr="00CD560A">
        <w:rPr>
          <w:w w:val="105"/>
        </w:rPr>
        <w:t xml:space="preserve"> </w:t>
      </w:r>
      <w:r w:rsidR="00250EAC" w:rsidRPr="00CD560A">
        <w:rPr>
          <w:w w:val="105"/>
        </w:rPr>
        <w:t>unemploy</w:t>
      </w:r>
      <w:r w:rsidR="00865C74" w:rsidRPr="00CD560A">
        <w:rPr>
          <w:w w:val="105"/>
        </w:rPr>
        <w:t>ed</w:t>
      </w:r>
      <w:r w:rsidR="00250EAC" w:rsidRPr="00CD560A">
        <w:rPr>
          <w:w w:val="105"/>
        </w:rPr>
        <w:t xml:space="preserve"> for six months or more during childhood have similar employment outcomes to their non-disadvantaged counterparts. Graduates from single-parent families earn higher wages than their peers from two-parent families</w:t>
      </w:r>
      <w:r w:rsidR="00735BDA" w:rsidRPr="00CD560A">
        <w:rPr>
          <w:w w:val="105"/>
        </w:rPr>
        <w:t>, while other employment outcomes are comparable</w:t>
      </w:r>
      <w:r w:rsidR="00250EAC" w:rsidRPr="00CD560A">
        <w:rPr>
          <w:w w:val="105"/>
        </w:rPr>
        <w:t xml:space="preserve">. </w:t>
      </w:r>
      <w:r w:rsidR="00B523F4" w:rsidRPr="00467F64">
        <w:rPr>
          <w:w w:val="105"/>
        </w:rPr>
        <w:t>This finding may reflect a selection effect. Students from single-parent families often face greater barriers to entering higher education. Those who manage to access and complete tertiary study may possess unobserved positive characteristics that also contribute to stronger earnings outcomes.</w:t>
      </w:r>
      <w:r w:rsidR="00B523F4" w:rsidRPr="00CD560A">
        <w:rPr>
          <w:w w:val="105"/>
        </w:rPr>
        <w:t xml:space="preserve"> </w:t>
      </w:r>
      <w:r w:rsidR="000A3979" w:rsidRPr="00CD560A">
        <w:rPr>
          <w:w w:val="105"/>
        </w:rPr>
        <w:t xml:space="preserve">The results are more mixed for </w:t>
      </w:r>
      <w:r w:rsidR="00136977" w:rsidRPr="00CD560A">
        <w:rPr>
          <w:w w:val="105"/>
        </w:rPr>
        <w:t>those with low SES in childhood</w:t>
      </w:r>
      <w:r w:rsidR="000A3979" w:rsidRPr="00CD560A">
        <w:rPr>
          <w:w w:val="105"/>
        </w:rPr>
        <w:t>.</w:t>
      </w:r>
      <w:r w:rsidR="00A329D2" w:rsidRPr="00CD560A">
        <w:rPr>
          <w:w w:val="105"/>
        </w:rPr>
        <w:t xml:space="preserve"> </w:t>
      </w:r>
      <w:r w:rsidR="000A3979" w:rsidRPr="00CD560A">
        <w:rPr>
          <w:w w:val="105"/>
        </w:rPr>
        <w:t xml:space="preserve">While low SES </w:t>
      </w:r>
      <w:r w:rsidR="00136977" w:rsidRPr="00CD560A">
        <w:rPr>
          <w:w w:val="105"/>
        </w:rPr>
        <w:t>is</w:t>
      </w:r>
      <w:r w:rsidR="000A3979" w:rsidRPr="00CD560A">
        <w:rPr>
          <w:w w:val="105"/>
        </w:rPr>
        <w:t xml:space="preserve"> not significantly associated with full-time employment, weekly earnings, or job satisfaction, it </w:t>
      </w:r>
      <w:r w:rsidR="00136977" w:rsidRPr="00CD560A">
        <w:rPr>
          <w:w w:val="105"/>
        </w:rPr>
        <w:t>is positively associated</w:t>
      </w:r>
      <w:r w:rsidR="000A3979" w:rsidRPr="00CD560A">
        <w:rPr>
          <w:w w:val="105"/>
        </w:rPr>
        <w:t xml:space="preserve"> with permanent or ongoing employment but </w:t>
      </w:r>
      <w:r w:rsidR="00136977" w:rsidRPr="00CD560A">
        <w:rPr>
          <w:w w:val="105"/>
        </w:rPr>
        <w:t>negatively associated</w:t>
      </w:r>
      <w:r w:rsidR="000A3979" w:rsidRPr="00CD560A">
        <w:rPr>
          <w:w w:val="105"/>
        </w:rPr>
        <w:t xml:space="preserve"> with holding managerial or professional occupations.</w:t>
      </w:r>
      <w:r w:rsidR="00250EAC" w:rsidRPr="00CD560A">
        <w:rPr>
          <w:w w:val="105"/>
        </w:rPr>
        <w:t xml:space="preserve"> </w:t>
      </w:r>
      <w:r w:rsidR="000A3979" w:rsidRPr="00CD560A">
        <w:rPr>
          <w:w w:val="105"/>
        </w:rPr>
        <w:t>Furthermore</w:t>
      </w:r>
      <w:r w:rsidR="00250EAC" w:rsidRPr="00CD560A">
        <w:rPr>
          <w:w w:val="105"/>
        </w:rPr>
        <w:t xml:space="preserve">, NESB workers face the most pronounced disadvantages. </w:t>
      </w:r>
      <w:r w:rsidR="00E81C06" w:rsidRPr="00CD560A">
        <w:rPr>
          <w:w w:val="105"/>
        </w:rPr>
        <w:t xml:space="preserve">Compared to their ESB counterparts, they are less likely to hold managerial and professional positions and </w:t>
      </w:r>
      <w:r w:rsidR="00090E0D">
        <w:rPr>
          <w:w w:val="105"/>
        </w:rPr>
        <w:t xml:space="preserve">more likely to </w:t>
      </w:r>
      <w:r w:rsidR="00E81C06" w:rsidRPr="00CD560A">
        <w:rPr>
          <w:w w:val="105"/>
        </w:rPr>
        <w:t xml:space="preserve">have much lower earnings. </w:t>
      </w:r>
      <w:r w:rsidR="00250EAC" w:rsidRPr="00CD560A">
        <w:rPr>
          <w:w w:val="105"/>
        </w:rPr>
        <w:t xml:space="preserve">For NESB graduates, academic field choice plays a particularly important role in mediating the relationship between childhood </w:t>
      </w:r>
      <w:r w:rsidR="0097512D">
        <w:rPr>
          <w:w w:val="105"/>
        </w:rPr>
        <w:t>socio-economic</w:t>
      </w:r>
      <w:r w:rsidR="00DE068C" w:rsidRPr="00CD560A">
        <w:rPr>
          <w:w w:val="105"/>
        </w:rPr>
        <w:t xml:space="preserve"> backgrounds</w:t>
      </w:r>
      <w:r w:rsidR="00250EAC" w:rsidRPr="00CD560A">
        <w:rPr>
          <w:w w:val="105"/>
        </w:rPr>
        <w:t xml:space="preserve"> and labour market performance. Their preference for high-paying fields has helped </w:t>
      </w:r>
      <w:r w:rsidR="00A329D2" w:rsidRPr="00CD560A">
        <w:rPr>
          <w:w w:val="105"/>
        </w:rPr>
        <w:t xml:space="preserve">to </w:t>
      </w:r>
      <w:r w:rsidR="00250EAC" w:rsidRPr="00CD560A">
        <w:rPr>
          <w:w w:val="105"/>
        </w:rPr>
        <w:t xml:space="preserve">narrow the earnings gap and </w:t>
      </w:r>
      <w:r w:rsidR="007B072F" w:rsidRPr="00CD560A">
        <w:rPr>
          <w:w w:val="105"/>
        </w:rPr>
        <w:t xml:space="preserve">to </w:t>
      </w:r>
      <w:r w:rsidR="00250EAC" w:rsidRPr="00CD560A">
        <w:rPr>
          <w:w w:val="105"/>
        </w:rPr>
        <w:t xml:space="preserve">improve </w:t>
      </w:r>
      <w:r w:rsidR="00DF39FF" w:rsidRPr="00CD560A">
        <w:rPr>
          <w:w w:val="105"/>
        </w:rPr>
        <w:t xml:space="preserve">their </w:t>
      </w:r>
      <w:r w:rsidR="00250EAC" w:rsidRPr="00CD560A">
        <w:rPr>
          <w:w w:val="105"/>
        </w:rPr>
        <w:t xml:space="preserve">employment opportunities compared to ESB graduates. </w:t>
      </w:r>
      <w:r w:rsidR="00BC5037" w:rsidRPr="00CD560A">
        <w:rPr>
          <w:w w:val="105"/>
        </w:rPr>
        <w:t xml:space="preserve">However, this does not fully </w:t>
      </w:r>
      <w:r w:rsidR="00AE5610" w:rsidRPr="00CD560A">
        <w:rPr>
          <w:w w:val="105"/>
        </w:rPr>
        <w:t>address their disadvantages in the labour market</w:t>
      </w:r>
      <w:r w:rsidR="00BC5037" w:rsidRPr="00CD560A">
        <w:rPr>
          <w:w w:val="105"/>
        </w:rPr>
        <w:t xml:space="preserve">. </w:t>
      </w:r>
      <w:r w:rsidR="007B072F" w:rsidRPr="00CD560A">
        <w:rPr>
          <w:w w:val="105"/>
        </w:rPr>
        <w:t>In contrast</w:t>
      </w:r>
      <w:r w:rsidR="00250EAC" w:rsidRPr="00CD560A">
        <w:rPr>
          <w:w w:val="105"/>
        </w:rPr>
        <w:t xml:space="preserve">, </w:t>
      </w:r>
      <w:r w:rsidR="00B523F4" w:rsidRPr="001D239D">
        <w:rPr>
          <w:w w:val="105"/>
        </w:rPr>
        <w:t>for individuals from the other four socio-economic backgrounds, field of study is not a significant mediator of labour market performance because these backgrounds are not statistically significantly associated with the choice of high- or low-paying fields of study.</w:t>
      </w:r>
    </w:p>
    <w:p w14:paraId="37095779" w14:textId="0A4DE237" w:rsidR="00975AAC" w:rsidRDefault="0077722F" w:rsidP="00BF48E1">
      <w:pPr>
        <w:rPr>
          <w:w w:val="105"/>
        </w:rPr>
      </w:pPr>
      <w:r w:rsidRPr="00936444">
        <w:rPr>
          <w:w w:val="105"/>
        </w:rPr>
        <w:t xml:space="preserve">Our empirical analysis reveals the complex relationship between </w:t>
      </w:r>
      <w:r w:rsidR="0097512D">
        <w:rPr>
          <w:w w:val="105"/>
        </w:rPr>
        <w:t>socio-economic</w:t>
      </w:r>
      <w:r w:rsidR="008849F0">
        <w:rPr>
          <w:w w:val="105"/>
        </w:rPr>
        <w:t xml:space="preserve"> </w:t>
      </w:r>
      <w:r w:rsidR="008849F0" w:rsidRPr="00BD38F3">
        <w:rPr>
          <w:w w:val="105"/>
        </w:rPr>
        <w:t>backgrounds</w:t>
      </w:r>
      <w:r w:rsidRPr="00936444">
        <w:rPr>
          <w:w w:val="105"/>
        </w:rPr>
        <w:t xml:space="preserve"> and Australians' choice of tertiary fields of study, </w:t>
      </w:r>
      <w:r w:rsidR="004172D5">
        <w:rPr>
          <w:w w:val="105"/>
        </w:rPr>
        <w:t>highlighting</w:t>
      </w:r>
      <w:r w:rsidRPr="00936444">
        <w:rPr>
          <w:w w:val="105"/>
        </w:rPr>
        <w:t xml:space="preserve"> the need for targeted policy interventions. For NESB students, efforts should focus on </w:t>
      </w:r>
      <w:r w:rsidR="00014697">
        <w:rPr>
          <w:w w:val="105"/>
        </w:rPr>
        <w:t xml:space="preserve">further </w:t>
      </w:r>
      <w:r w:rsidRPr="00936444">
        <w:rPr>
          <w:w w:val="105"/>
        </w:rPr>
        <w:t>improving access to and success in high-paying fields</w:t>
      </w:r>
      <w:r w:rsidR="0021593C">
        <w:rPr>
          <w:w w:val="105"/>
        </w:rPr>
        <w:t xml:space="preserve">, so that </w:t>
      </w:r>
      <w:r w:rsidR="00E31601">
        <w:rPr>
          <w:w w:val="105"/>
        </w:rPr>
        <w:t xml:space="preserve">their labour market </w:t>
      </w:r>
      <w:r w:rsidR="00E31601">
        <w:rPr>
          <w:w w:val="105"/>
        </w:rPr>
        <w:lastRenderedPageBreak/>
        <w:t>disadvantages</w:t>
      </w:r>
      <w:r w:rsidR="007413AD" w:rsidRPr="007413AD">
        <w:rPr>
          <w:w w:val="105"/>
        </w:rPr>
        <w:t xml:space="preserve"> can be further reduced</w:t>
      </w:r>
      <w:r w:rsidRPr="00936444">
        <w:rPr>
          <w:w w:val="105"/>
        </w:rPr>
        <w:t xml:space="preserve">. </w:t>
      </w:r>
      <w:r w:rsidR="004172D5">
        <w:rPr>
          <w:w w:val="105"/>
        </w:rPr>
        <w:t>In terms of</w:t>
      </w:r>
      <w:r w:rsidRPr="00936444">
        <w:rPr>
          <w:w w:val="105"/>
        </w:rPr>
        <w:t xml:space="preserve"> labour market outcomes, our findings </w:t>
      </w:r>
      <w:r w:rsidR="0094136A">
        <w:rPr>
          <w:w w:val="105"/>
        </w:rPr>
        <w:t>highlight</w:t>
      </w:r>
      <w:r w:rsidRPr="00936444">
        <w:rPr>
          <w:w w:val="105"/>
        </w:rPr>
        <w:t xml:space="preserve"> the importance of policies that </w:t>
      </w:r>
      <w:r w:rsidR="0094136A">
        <w:rPr>
          <w:w w:val="105"/>
        </w:rPr>
        <w:t>take into account</w:t>
      </w:r>
      <w:r w:rsidRPr="00936444">
        <w:rPr>
          <w:w w:val="105"/>
        </w:rPr>
        <w:t xml:space="preserve"> the long-term </w:t>
      </w:r>
      <w:r w:rsidR="006607EE">
        <w:rPr>
          <w:w w:val="105"/>
        </w:rPr>
        <w:t>effects</w:t>
      </w:r>
      <w:r w:rsidRPr="00936444">
        <w:rPr>
          <w:w w:val="105"/>
        </w:rPr>
        <w:t xml:space="preserve"> of </w:t>
      </w:r>
      <w:r w:rsidR="0097512D">
        <w:rPr>
          <w:w w:val="105"/>
        </w:rPr>
        <w:t>socio-economic</w:t>
      </w:r>
      <w:r w:rsidR="00E35738" w:rsidRPr="00BC1650">
        <w:rPr>
          <w:w w:val="105"/>
        </w:rPr>
        <w:t xml:space="preserve"> background</w:t>
      </w:r>
      <w:r w:rsidR="00E35738">
        <w:rPr>
          <w:w w:val="105"/>
        </w:rPr>
        <w:t>s</w:t>
      </w:r>
      <w:r w:rsidRPr="00936444">
        <w:rPr>
          <w:w w:val="105"/>
        </w:rPr>
        <w:t xml:space="preserve">. Governments should implement strategies to </w:t>
      </w:r>
      <w:r w:rsidR="004172D5">
        <w:rPr>
          <w:w w:val="105"/>
        </w:rPr>
        <w:t>address</w:t>
      </w:r>
      <w:r w:rsidRPr="00936444">
        <w:rPr>
          <w:w w:val="105"/>
        </w:rPr>
        <w:t xml:space="preserve"> the persistent and multifaceted labour market challenges faced by NESB graduates. </w:t>
      </w:r>
      <w:r w:rsidR="00024F2C">
        <w:rPr>
          <w:w w:val="105"/>
        </w:rPr>
        <w:t>T</w:t>
      </w:r>
      <w:r w:rsidR="00116E5B" w:rsidRPr="00936444">
        <w:rPr>
          <w:w w:val="105"/>
        </w:rPr>
        <w:t xml:space="preserve">argeted interventions are </w:t>
      </w:r>
      <w:r w:rsidR="00024F2C">
        <w:rPr>
          <w:w w:val="105"/>
        </w:rPr>
        <w:t xml:space="preserve">also </w:t>
      </w:r>
      <w:r w:rsidR="00116E5B" w:rsidRPr="00936444">
        <w:rPr>
          <w:w w:val="105"/>
        </w:rPr>
        <w:t xml:space="preserve">needed to help </w:t>
      </w:r>
      <w:r w:rsidR="00C0304E">
        <w:rPr>
          <w:w w:val="105"/>
        </w:rPr>
        <w:t>NESB Australians and those</w:t>
      </w:r>
      <w:r w:rsidR="00116E5B" w:rsidRPr="00936444">
        <w:rPr>
          <w:w w:val="105"/>
        </w:rPr>
        <w:t xml:space="preserve"> who experienced low </w:t>
      </w:r>
      <w:r w:rsidR="00876EBB">
        <w:rPr>
          <w:w w:val="105"/>
        </w:rPr>
        <w:t>SES</w:t>
      </w:r>
      <w:r w:rsidR="00116E5B" w:rsidRPr="00936444">
        <w:rPr>
          <w:w w:val="105"/>
        </w:rPr>
        <w:t xml:space="preserve"> in childhood </w:t>
      </w:r>
      <w:r w:rsidR="0094136A">
        <w:rPr>
          <w:w w:val="105"/>
        </w:rPr>
        <w:t xml:space="preserve">to </w:t>
      </w:r>
      <w:r w:rsidR="00116E5B" w:rsidRPr="00936444">
        <w:rPr>
          <w:w w:val="105"/>
        </w:rPr>
        <w:t>overcome the glass ceiling that limits their career progression.</w:t>
      </w:r>
    </w:p>
    <w:p w14:paraId="01F9E162" w14:textId="77777777" w:rsidR="00975AAC" w:rsidRDefault="00975AAC">
      <w:pPr>
        <w:spacing w:line="259" w:lineRule="auto"/>
        <w:rPr>
          <w:rFonts w:eastAsia="Arial" w:cs="Arial"/>
          <w:w w:val="105"/>
          <w:kern w:val="0"/>
          <w14:ligatures w14:val="none"/>
        </w:rPr>
      </w:pPr>
      <w:r>
        <w:rPr>
          <w:rFonts w:eastAsia="Arial" w:cs="Arial"/>
          <w:w w:val="105"/>
          <w:kern w:val="0"/>
          <w14:ligatures w14:val="none"/>
        </w:rPr>
        <w:br w:type="page"/>
      </w:r>
    </w:p>
    <w:p w14:paraId="54BBCF78" w14:textId="77777777" w:rsidR="00271D48" w:rsidRPr="0016620E" w:rsidRDefault="009D6D47" w:rsidP="004D121F">
      <w:pPr>
        <w:pStyle w:val="Heading1"/>
      </w:pPr>
      <w:bookmarkStart w:id="11" w:name="_Toc222998762"/>
      <w:r w:rsidRPr="0016620E">
        <w:lastRenderedPageBreak/>
        <w:t>Recommendations</w:t>
      </w:r>
      <w:bookmarkEnd w:id="11"/>
      <w:r w:rsidRPr="0016620E">
        <w:t xml:space="preserve"> </w:t>
      </w:r>
    </w:p>
    <w:p w14:paraId="0A713542" w14:textId="431626C7" w:rsidR="00165081" w:rsidRPr="00BF48E1" w:rsidRDefault="0052476F" w:rsidP="00BF48E1">
      <w:pPr>
        <w:rPr>
          <w:b/>
          <w:bCs/>
          <w:w w:val="105"/>
        </w:rPr>
      </w:pPr>
      <w:r w:rsidRPr="00BF48E1">
        <w:rPr>
          <w:b/>
          <w:bCs/>
          <w:w w:val="105"/>
        </w:rPr>
        <w:t xml:space="preserve">Recommendation </w:t>
      </w:r>
      <w:r w:rsidR="00204832" w:rsidRPr="00BF48E1">
        <w:rPr>
          <w:b/>
          <w:bCs/>
          <w:w w:val="105"/>
        </w:rPr>
        <w:t>1</w:t>
      </w:r>
      <w:r w:rsidRPr="00BF48E1">
        <w:rPr>
          <w:b/>
          <w:bCs/>
          <w:w w:val="105"/>
        </w:rPr>
        <w:t xml:space="preserve">: </w:t>
      </w:r>
      <w:r w:rsidR="00C4291A" w:rsidRPr="00BF48E1">
        <w:rPr>
          <w:b/>
          <w:bCs/>
          <w:w w:val="105"/>
        </w:rPr>
        <w:t>Improving</w:t>
      </w:r>
      <w:r w:rsidR="00392C8C" w:rsidRPr="00BF48E1">
        <w:rPr>
          <w:b/>
          <w:bCs/>
          <w:w w:val="105"/>
        </w:rPr>
        <w:t xml:space="preserve"> </w:t>
      </w:r>
      <w:r w:rsidR="006C1D7F" w:rsidRPr="00BF48E1">
        <w:rPr>
          <w:b/>
          <w:bCs/>
          <w:w w:val="105"/>
        </w:rPr>
        <w:t>career</w:t>
      </w:r>
      <w:r w:rsidR="00116E5B" w:rsidRPr="00BF48E1">
        <w:rPr>
          <w:b/>
          <w:bCs/>
          <w:w w:val="105"/>
        </w:rPr>
        <w:t xml:space="preserve"> </w:t>
      </w:r>
      <w:r w:rsidR="00AB3CE6" w:rsidRPr="00BF48E1">
        <w:rPr>
          <w:b/>
          <w:bCs/>
          <w:w w:val="105"/>
        </w:rPr>
        <w:t>g</w:t>
      </w:r>
      <w:r w:rsidR="00116E5B" w:rsidRPr="00BF48E1">
        <w:rPr>
          <w:b/>
          <w:bCs/>
          <w:w w:val="105"/>
        </w:rPr>
        <w:t>uidance</w:t>
      </w:r>
      <w:r w:rsidR="006C1D7F" w:rsidRPr="00BF48E1">
        <w:rPr>
          <w:b/>
          <w:bCs/>
          <w:w w:val="105"/>
        </w:rPr>
        <w:t xml:space="preserve"> and access to information</w:t>
      </w:r>
      <w:r w:rsidR="00116E5B" w:rsidRPr="00BF48E1">
        <w:rPr>
          <w:b/>
          <w:bCs/>
          <w:w w:val="105"/>
        </w:rPr>
        <w:t xml:space="preserve"> </w:t>
      </w:r>
    </w:p>
    <w:p w14:paraId="292EFCAF" w14:textId="2953DEE5" w:rsidR="00090E0D" w:rsidRPr="00C61E0C" w:rsidRDefault="00572758" w:rsidP="00BF48E1">
      <w:pPr>
        <w:rPr>
          <w:w w:val="105"/>
        </w:rPr>
      </w:pPr>
      <w:r>
        <w:rPr>
          <w:w w:val="105"/>
        </w:rPr>
        <w:t>More and clear c</w:t>
      </w:r>
      <w:r w:rsidR="00FA22E2" w:rsidRPr="00FA22E2">
        <w:rPr>
          <w:w w:val="105"/>
        </w:rPr>
        <w:t xml:space="preserve">areer guidance and access to information </w:t>
      </w:r>
      <w:r>
        <w:rPr>
          <w:w w:val="105"/>
        </w:rPr>
        <w:t>should</w:t>
      </w:r>
      <w:r w:rsidR="00FA22E2" w:rsidRPr="00FA22E2">
        <w:rPr>
          <w:w w:val="105"/>
        </w:rPr>
        <w:t xml:space="preserve"> be </w:t>
      </w:r>
      <w:r>
        <w:rPr>
          <w:w w:val="105"/>
        </w:rPr>
        <w:t>provided</w:t>
      </w:r>
      <w:r w:rsidR="00FA22E2" w:rsidRPr="00FA22E2">
        <w:rPr>
          <w:w w:val="105"/>
        </w:rPr>
        <w:t xml:space="preserve"> for students from disadvantaged backgrounds, including </w:t>
      </w:r>
      <w:r w:rsidR="00A3758F">
        <w:rPr>
          <w:w w:val="105"/>
        </w:rPr>
        <w:t xml:space="preserve">Indigenous students and </w:t>
      </w:r>
      <w:r w:rsidR="00FA22E2" w:rsidRPr="00FA22E2">
        <w:rPr>
          <w:w w:val="105"/>
        </w:rPr>
        <w:t xml:space="preserve">those from low </w:t>
      </w:r>
      <w:r w:rsidR="0097512D">
        <w:rPr>
          <w:w w:val="105"/>
        </w:rPr>
        <w:t>socio-economic</w:t>
      </w:r>
      <w:r w:rsidR="00FA22E2" w:rsidRPr="00FA22E2">
        <w:rPr>
          <w:w w:val="105"/>
        </w:rPr>
        <w:t xml:space="preserve"> status (SES) and single-parent families.</w:t>
      </w:r>
      <w:r w:rsidR="004D3677" w:rsidRPr="00C61E0C">
        <w:rPr>
          <w:w w:val="105"/>
        </w:rPr>
        <w:t xml:space="preserve"> </w:t>
      </w:r>
    </w:p>
    <w:p w14:paraId="5A70B938" w14:textId="47B4223B" w:rsidR="00165081" w:rsidRPr="00BF48E1" w:rsidRDefault="00204832" w:rsidP="0095055E">
      <w:pPr>
        <w:spacing w:before="360"/>
        <w:rPr>
          <w:b/>
          <w:bCs/>
          <w:w w:val="105"/>
        </w:rPr>
      </w:pPr>
      <w:r w:rsidRPr="00BF48E1">
        <w:rPr>
          <w:b/>
          <w:bCs/>
          <w:w w:val="105"/>
        </w:rPr>
        <w:t xml:space="preserve">Recommendation 2: </w:t>
      </w:r>
      <w:r w:rsidR="00116E5B" w:rsidRPr="00BF48E1">
        <w:rPr>
          <w:b/>
          <w:bCs/>
          <w:w w:val="105"/>
        </w:rPr>
        <w:t xml:space="preserve">Addressing </w:t>
      </w:r>
      <w:r w:rsidR="0097512D">
        <w:rPr>
          <w:b/>
          <w:bCs/>
          <w:w w:val="105"/>
        </w:rPr>
        <w:t>socio-economic</w:t>
      </w:r>
      <w:r w:rsidR="00116E5B" w:rsidRPr="00BF48E1">
        <w:rPr>
          <w:b/>
          <w:bCs/>
          <w:w w:val="105"/>
        </w:rPr>
        <w:t xml:space="preserve"> </w:t>
      </w:r>
      <w:r w:rsidR="00AB3CE6" w:rsidRPr="00BF48E1">
        <w:rPr>
          <w:b/>
          <w:bCs/>
          <w:w w:val="105"/>
        </w:rPr>
        <w:t>b</w:t>
      </w:r>
      <w:r w:rsidR="00116E5B" w:rsidRPr="00BF48E1">
        <w:rPr>
          <w:b/>
          <w:bCs/>
          <w:w w:val="105"/>
        </w:rPr>
        <w:t>arriers</w:t>
      </w:r>
      <w:r w:rsidR="00DF39FF" w:rsidRPr="00BF48E1">
        <w:rPr>
          <w:b/>
          <w:bCs/>
          <w:w w:val="105"/>
        </w:rPr>
        <w:t xml:space="preserve"> in field-of-study choice</w:t>
      </w:r>
      <w:r w:rsidR="00116E5B" w:rsidRPr="00BF48E1">
        <w:rPr>
          <w:b/>
          <w:bCs/>
          <w:w w:val="105"/>
        </w:rPr>
        <w:t xml:space="preserve"> </w:t>
      </w:r>
    </w:p>
    <w:p w14:paraId="14B848D7" w14:textId="783B4860" w:rsidR="00204832" w:rsidRDefault="00BD1A25" w:rsidP="00090E0D">
      <w:pPr>
        <w:rPr>
          <w:w w:val="105"/>
        </w:rPr>
      </w:pPr>
      <w:r>
        <w:rPr>
          <w:w w:val="105"/>
        </w:rPr>
        <w:t>T</w:t>
      </w:r>
      <w:r w:rsidRPr="00BD1A25">
        <w:rPr>
          <w:w w:val="105"/>
        </w:rPr>
        <w:t xml:space="preserve">argeted support </w:t>
      </w:r>
      <w:r w:rsidR="00CF441B">
        <w:rPr>
          <w:w w:val="105"/>
        </w:rPr>
        <w:t xml:space="preserve">from governments and universities </w:t>
      </w:r>
      <w:r w:rsidRPr="00BD1A25">
        <w:rPr>
          <w:w w:val="105"/>
        </w:rPr>
        <w:t>is needed to increase the representation of disadvantaged students in high-return disciplines</w:t>
      </w:r>
      <w:r w:rsidR="00075791">
        <w:rPr>
          <w:w w:val="105"/>
        </w:rPr>
        <w:t xml:space="preserve"> at university</w:t>
      </w:r>
      <w:r w:rsidR="00116E5B" w:rsidRPr="00116E5B">
        <w:rPr>
          <w:w w:val="105"/>
        </w:rPr>
        <w:t>.</w:t>
      </w:r>
      <w:r w:rsidR="004D3677" w:rsidRPr="00C61E0C">
        <w:rPr>
          <w:w w:val="105"/>
        </w:rPr>
        <w:t xml:space="preserve"> </w:t>
      </w:r>
    </w:p>
    <w:p w14:paraId="2FD71E9E" w14:textId="649213F6" w:rsidR="00165081" w:rsidRPr="00BF48E1" w:rsidRDefault="0052476F" w:rsidP="0095055E">
      <w:pPr>
        <w:spacing w:before="360"/>
        <w:rPr>
          <w:b/>
          <w:bCs/>
          <w:w w:val="105"/>
        </w:rPr>
      </w:pPr>
      <w:r w:rsidRPr="00BF48E1">
        <w:rPr>
          <w:b/>
          <w:bCs/>
          <w:w w:val="105"/>
        </w:rPr>
        <w:t xml:space="preserve">Recommendation </w:t>
      </w:r>
      <w:r w:rsidR="00204832" w:rsidRPr="00BF48E1">
        <w:rPr>
          <w:b/>
          <w:bCs/>
          <w:w w:val="105"/>
        </w:rPr>
        <w:t>3</w:t>
      </w:r>
      <w:r w:rsidRPr="00BF48E1">
        <w:rPr>
          <w:b/>
          <w:bCs/>
          <w:w w:val="105"/>
        </w:rPr>
        <w:t xml:space="preserve">: </w:t>
      </w:r>
      <w:r w:rsidR="00AD5B2F" w:rsidRPr="00BF48E1">
        <w:rPr>
          <w:b/>
          <w:bCs/>
          <w:w w:val="105"/>
        </w:rPr>
        <w:t>Addressing</w:t>
      </w:r>
      <w:r w:rsidR="00116E5B" w:rsidRPr="00BF48E1">
        <w:rPr>
          <w:b/>
          <w:bCs/>
          <w:w w:val="105"/>
        </w:rPr>
        <w:t xml:space="preserve"> </w:t>
      </w:r>
      <w:r w:rsidR="004072F9" w:rsidRPr="00BF48E1">
        <w:rPr>
          <w:b/>
          <w:bCs/>
          <w:w w:val="105"/>
        </w:rPr>
        <w:t>the</w:t>
      </w:r>
      <w:r w:rsidR="00116E5B" w:rsidRPr="00BF48E1">
        <w:rPr>
          <w:b/>
          <w:bCs/>
          <w:w w:val="105"/>
        </w:rPr>
        <w:t xml:space="preserve"> </w:t>
      </w:r>
      <w:r w:rsidR="00AB3CE6" w:rsidRPr="00BF48E1">
        <w:rPr>
          <w:b/>
          <w:bCs/>
          <w:w w:val="105"/>
        </w:rPr>
        <w:t>c</w:t>
      </w:r>
      <w:r w:rsidR="00116E5B" w:rsidRPr="00BF48E1">
        <w:rPr>
          <w:b/>
          <w:bCs/>
          <w:w w:val="105"/>
        </w:rPr>
        <w:t>hallenges</w:t>
      </w:r>
      <w:r w:rsidR="004072F9" w:rsidRPr="00BF48E1">
        <w:rPr>
          <w:b/>
          <w:bCs/>
          <w:w w:val="105"/>
        </w:rPr>
        <w:t xml:space="preserve"> faced by</w:t>
      </w:r>
      <w:r w:rsidR="00871FA7" w:rsidRPr="00BF48E1">
        <w:rPr>
          <w:b/>
          <w:bCs/>
          <w:w w:val="105"/>
        </w:rPr>
        <w:t xml:space="preserve"> NESB Australians</w:t>
      </w:r>
      <w:r w:rsidR="00116E5B" w:rsidRPr="00BF48E1">
        <w:rPr>
          <w:b/>
          <w:bCs/>
          <w:w w:val="105"/>
        </w:rPr>
        <w:t xml:space="preserve"> </w:t>
      </w:r>
    </w:p>
    <w:p w14:paraId="2C55C405" w14:textId="2C4D8CAE" w:rsidR="0052476F" w:rsidRDefault="00116E5B" w:rsidP="00090E0D">
      <w:pPr>
        <w:rPr>
          <w:w w:val="105"/>
        </w:rPr>
      </w:pPr>
      <w:r w:rsidRPr="00116E5B">
        <w:rPr>
          <w:w w:val="105"/>
        </w:rPr>
        <w:t xml:space="preserve">Policymakers should develop targeted strategies to address the persistent and multifaceted challenges </w:t>
      </w:r>
      <w:r w:rsidR="00867691">
        <w:rPr>
          <w:w w:val="105"/>
        </w:rPr>
        <w:t>faced by</w:t>
      </w:r>
      <w:r w:rsidRPr="00116E5B">
        <w:rPr>
          <w:w w:val="105"/>
        </w:rPr>
        <w:t xml:space="preserve"> NESB Australians</w:t>
      </w:r>
      <w:r w:rsidR="00867691">
        <w:rPr>
          <w:w w:val="105"/>
        </w:rPr>
        <w:t xml:space="preserve"> in</w:t>
      </w:r>
      <w:r w:rsidRPr="00116E5B">
        <w:rPr>
          <w:w w:val="105"/>
        </w:rPr>
        <w:t xml:space="preserve"> the labour market.</w:t>
      </w:r>
      <w:r w:rsidR="004D3677" w:rsidRPr="00C61E0C">
        <w:rPr>
          <w:w w:val="105"/>
        </w:rPr>
        <w:t xml:space="preserve"> </w:t>
      </w:r>
    </w:p>
    <w:p w14:paraId="4FC36E0B" w14:textId="5314BF19" w:rsidR="00165081" w:rsidRPr="00BF48E1" w:rsidRDefault="00941468" w:rsidP="0095055E">
      <w:pPr>
        <w:spacing w:before="360"/>
        <w:rPr>
          <w:b/>
          <w:bCs/>
          <w:w w:val="105"/>
        </w:rPr>
      </w:pPr>
      <w:r w:rsidRPr="00BF48E1">
        <w:rPr>
          <w:b/>
          <w:bCs/>
          <w:w w:val="105"/>
        </w:rPr>
        <w:t xml:space="preserve">Recommendation </w:t>
      </w:r>
      <w:r w:rsidR="00FA22E2" w:rsidRPr="00BF48E1">
        <w:rPr>
          <w:b/>
          <w:bCs/>
          <w:w w:val="105"/>
        </w:rPr>
        <w:t>4</w:t>
      </w:r>
      <w:r w:rsidRPr="00BF48E1">
        <w:rPr>
          <w:b/>
          <w:bCs/>
          <w:w w:val="105"/>
        </w:rPr>
        <w:t xml:space="preserve">: </w:t>
      </w:r>
      <w:r w:rsidR="00116E5B" w:rsidRPr="00BF48E1">
        <w:rPr>
          <w:b/>
          <w:bCs/>
          <w:w w:val="105"/>
        </w:rPr>
        <w:t xml:space="preserve">Breaking the </w:t>
      </w:r>
      <w:r w:rsidR="00AB3CE6" w:rsidRPr="00BF48E1">
        <w:rPr>
          <w:b/>
          <w:bCs/>
          <w:w w:val="105"/>
        </w:rPr>
        <w:t>g</w:t>
      </w:r>
      <w:r w:rsidR="00116E5B" w:rsidRPr="00BF48E1">
        <w:rPr>
          <w:b/>
          <w:bCs/>
          <w:w w:val="105"/>
        </w:rPr>
        <w:t xml:space="preserve">lass </w:t>
      </w:r>
      <w:r w:rsidR="00AB3CE6" w:rsidRPr="00BF48E1">
        <w:rPr>
          <w:b/>
          <w:bCs/>
          <w:w w:val="105"/>
        </w:rPr>
        <w:t>c</w:t>
      </w:r>
      <w:r w:rsidR="00116E5B" w:rsidRPr="00BF48E1">
        <w:rPr>
          <w:b/>
          <w:bCs/>
          <w:w w:val="105"/>
        </w:rPr>
        <w:t>eiling</w:t>
      </w:r>
      <w:r w:rsidR="00A524B4" w:rsidRPr="00BF48E1">
        <w:rPr>
          <w:b/>
          <w:bCs/>
          <w:w w:val="105"/>
        </w:rPr>
        <w:t xml:space="preserve"> for disadvantaged </w:t>
      </w:r>
      <w:r w:rsidR="00B500FC" w:rsidRPr="00BF48E1">
        <w:rPr>
          <w:b/>
          <w:bCs/>
          <w:w w:val="105"/>
        </w:rPr>
        <w:t>graduates</w:t>
      </w:r>
      <w:r w:rsidR="00116E5B" w:rsidRPr="00BF48E1">
        <w:rPr>
          <w:b/>
          <w:bCs/>
          <w:w w:val="105"/>
        </w:rPr>
        <w:t xml:space="preserve"> </w:t>
      </w:r>
    </w:p>
    <w:p w14:paraId="4413122C" w14:textId="4EFCF1FB" w:rsidR="009D6D47" w:rsidRPr="0016620E" w:rsidRDefault="00116E5B" w:rsidP="00BF48E1">
      <w:r w:rsidRPr="00116E5B">
        <w:rPr>
          <w:w w:val="105"/>
        </w:rPr>
        <w:t xml:space="preserve">Governments should introduce initiatives to remove </w:t>
      </w:r>
      <w:r w:rsidR="00B500FC" w:rsidRPr="00B500FC">
        <w:rPr>
          <w:w w:val="105"/>
        </w:rPr>
        <w:t>structural barriers</w:t>
      </w:r>
      <w:r w:rsidR="00F85DE5">
        <w:rPr>
          <w:w w:val="105"/>
        </w:rPr>
        <w:t xml:space="preserve"> that</w:t>
      </w:r>
      <w:r w:rsidRPr="00116E5B">
        <w:rPr>
          <w:w w:val="105"/>
        </w:rPr>
        <w:t xml:space="preserve"> limit the career </w:t>
      </w:r>
      <w:r w:rsidR="00F85DE5">
        <w:rPr>
          <w:w w:val="105"/>
        </w:rPr>
        <w:t>progression</w:t>
      </w:r>
      <w:r w:rsidRPr="00116E5B">
        <w:rPr>
          <w:w w:val="105"/>
        </w:rPr>
        <w:t xml:space="preserve"> of workers from disadvantaged backgrounds, particularly NESB individuals and those who experienced low </w:t>
      </w:r>
      <w:r w:rsidR="00876EBB">
        <w:rPr>
          <w:w w:val="105"/>
        </w:rPr>
        <w:t>SES</w:t>
      </w:r>
      <w:r w:rsidRPr="00116E5B">
        <w:rPr>
          <w:w w:val="105"/>
        </w:rPr>
        <w:t xml:space="preserve"> in childhood.</w:t>
      </w:r>
      <w:r w:rsidR="009D6D47" w:rsidRPr="0016620E">
        <w:br w:type="page"/>
      </w:r>
    </w:p>
    <w:p w14:paraId="2AAD0B2F" w14:textId="77777777" w:rsidR="009D6D47" w:rsidRPr="0016620E" w:rsidRDefault="009D6D47" w:rsidP="004D121F">
      <w:pPr>
        <w:pStyle w:val="Heading1"/>
      </w:pPr>
      <w:bookmarkStart w:id="12" w:name="_Toc222998763"/>
      <w:r w:rsidRPr="0016620E">
        <w:lastRenderedPageBreak/>
        <w:t>Introduction</w:t>
      </w:r>
      <w:bookmarkEnd w:id="12"/>
    </w:p>
    <w:p w14:paraId="1DA9FC48" w14:textId="007D0D9E" w:rsidR="00A47B58" w:rsidRPr="0016620E" w:rsidRDefault="002902D1" w:rsidP="00BF48E1">
      <w:pPr>
        <w:rPr>
          <w:w w:val="105"/>
        </w:rPr>
      </w:pPr>
      <w:r w:rsidRPr="002902D1">
        <w:rPr>
          <w:w w:val="105"/>
        </w:rPr>
        <w:t>A large body of empirical evidence highlights the benefits of attaining tertiary education</w:t>
      </w:r>
      <w:r>
        <w:rPr>
          <w:w w:val="105"/>
        </w:rPr>
        <w:t xml:space="preserve"> </w:t>
      </w:r>
      <w:r w:rsidR="00CD7A37" w:rsidRPr="00CD7A37">
        <w:rPr>
          <w:w w:val="105"/>
        </w:rPr>
        <w:t>(Leigh, 2008; Borton, 2012</w:t>
      </w:r>
      <w:r w:rsidR="00ED74A5">
        <w:rPr>
          <w:w w:val="105"/>
        </w:rPr>
        <w:t>;</w:t>
      </w:r>
      <w:r w:rsidR="00CD7A37" w:rsidRPr="00CD7A37">
        <w:rPr>
          <w:w w:val="105"/>
        </w:rPr>
        <w:t xml:space="preserve"> Daly et al.</w:t>
      </w:r>
      <w:r w:rsidR="00ED74A5">
        <w:rPr>
          <w:w w:val="105"/>
        </w:rPr>
        <w:t>,</w:t>
      </w:r>
      <w:r w:rsidR="00CD7A37" w:rsidRPr="00CD7A37">
        <w:rPr>
          <w:w w:val="105"/>
        </w:rPr>
        <w:t xml:space="preserve"> 2015; Leigh, </w:t>
      </w:r>
      <w:r w:rsidR="00C20B29" w:rsidRPr="00CD7A37">
        <w:rPr>
          <w:w w:val="105"/>
        </w:rPr>
        <w:t>202</w:t>
      </w:r>
      <w:r w:rsidR="00C20B29">
        <w:rPr>
          <w:w w:val="105"/>
        </w:rPr>
        <w:t>5</w:t>
      </w:r>
      <w:r w:rsidR="00CD7A37" w:rsidRPr="00CD7A37">
        <w:rPr>
          <w:w w:val="105"/>
        </w:rPr>
        <w:t xml:space="preserve">). </w:t>
      </w:r>
      <w:r w:rsidRPr="002902D1">
        <w:rPr>
          <w:w w:val="105"/>
        </w:rPr>
        <w:t xml:space="preserve">Individuals with a university degree generally </w:t>
      </w:r>
      <w:r w:rsidR="003073F7">
        <w:rPr>
          <w:w w:val="105"/>
        </w:rPr>
        <w:t>have</w:t>
      </w:r>
      <w:r w:rsidRPr="002902D1">
        <w:rPr>
          <w:w w:val="105"/>
        </w:rPr>
        <w:t xml:space="preserve"> better labour market outcomes, including higher employment rates</w:t>
      </w:r>
      <w:r w:rsidR="00276F55">
        <w:rPr>
          <w:w w:val="105"/>
        </w:rPr>
        <w:t xml:space="preserve"> and </w:t>
      </w:r>
      <w:r w:rsidRPr="002902D1">
        <w:rPr>
          <w:w w:val="105"/>
        </w:rPr>
        <w:t xml:space="preserve">earnings and more prestigious occupations. As a result, improving educational attainment is recognised as a key strategy for reducing poverty, addressing inequality, and breaking </w:t>
      </w:r>
      <w:r w:rsidR="00377B1C" w:rsidRPr="00377B1C">
        <w:rPr>
          <w:w w:val="105"/>
        </w:rPr>
        <w:t xml:space="preserve">the intergenerational transmission of disadvantages </w:t>
      </w:r>
      <w:r w:rsidR="00CD7A37" w:rsidRPr="00CD7A37">
        <w:rPr>
          <w:w w:val="105"/>
        </w:rPr>
        <w:t>(Bradley et al</w:t>
      </w:r>
      <w:r w:rsidR="009D71A4">
        <w:rPr>
          <w:w w:val="105"/>
        </w:rPr>
        <w:t>.</w:t>
      </w:r>
      <w:r w:rsidR="00CD7A37" w:rsidRPr="00CD7A37">
        <w:rPr>
          <w:w w:val="105"/>
        </w:rPr>
        <w:t xml:space="preserve">, 2008; Chester and Watson, 2013). </w:t>
      </w:r>
      <w:r w:rsidRPr="002902D1">
        <w:rPr>
          <w:w w:val="105"/>
        </w:rPr>
        <w:t xml:space="preserve">The Australian </w:t>
      </w:r>
      <w:r w:rsidR="00CB5E11">
        <w:rPr>
          <w:w w:val="105"/>
        </w:rPr>
        <w:t>G</w:t>
      </w:r>
      <w:r w:rsidRPr="002902D1">
        <w:rPr>
          <w:w w:val="105"/>
        </w:rPr>
        <w:t xml:space="preserve">overnment </w:t>
      </w:r>
      <w:r w:rsidR="004E606B">
        <w:rPr>
          <w:w w:val="105"/>
        </w:rPr>
        <w:t>recognises</w:t>
      </w:r>
      <w:r w:rsidRPr="002902D1">
        <w:rPr>
          <w:w w:val="105"/>
        </w:rPr>
        <w:t xml:space="preserve"> the importance of ensuring </w:t>
      </w:r>
      <w:r w:rsidR="00113A1D">
        <w:rPr>
          <w:w w:val="105"/>
        </w:rPr>
        <w:t xml:space="preserve">that </w:t>
      </w:r>
      <w:r w:rsidRPr="002902D1">
        <w:rPr>
          <w:w w:val="105"/>
        </w:rPr>
        <w:t>young people have access to higher education and the skills and knowledge needed for career success (Productivity Commission, 2019). Increasing access to and participation in higher education</w:t>
      </w:r>
      <w:r>
        <w:rPr>
          <w:w w:val="105"/>
        </w:rPr>
        <w:t xml:space="preserve">, </w:t>
      </w:r>
      <w:r w:rsidRPr="002902D1">
        <w:rPr>
          <w:w w:val="105"/>
        </w:rPr>
        <w:t>particularly for those from disadvantaged backgrounds</w:t>
      </w:r>
      <w:r w:rsidR="007630A6">
        <w:rPr>
          <w:w w:val="105"/>
        </w:rPr>
        <w:t>,</w:t>
      </w:r>
      <w:r>
        <w:rPr>
          <w:w w:val="105"/>
        </w:rPr>
        <w:t xml:space="preserve"> </w:t>
      </w:r>
      <w:r w:rsidRPr="002902D1">
        <w:rPr>
          <w:w w:val="105"/>
        </w:rPr>
        <w:t>is a priority</w:t>
      </w:r>
      <w:r w:rsidR="00D14C3B">
        <w:rPr>
          <w:w w:val="105"/>
        </w:rPr>
        <w:t xml:space="preserve"> for the Australian </w:t>
      </w:r>
      <w:r w:rsidR="00CB5E11">
        <w:rPr>
          <w:w w:val="105"/>
        </w:rPr>
        <w:t>G</w:t>
      </w:r>
      <w:r w:rsidR="00D14C3B">
        <w:rPr>
          <w:w w:val="105"/>
        </w:rPr>
        <w:t>overnment</w:t>
      </w:r>
      <w:r w:rsidRPr="002902D1">
        <w:rPr>
          <w:w w:val="105"/>
        </w:rPr>
        <w:t xml:space="preserve">, as it is essential for achieving </w:t>
      </w:r>
      <w:r w:rsidR="0097512D">
        <w:rPr>
          <w:w w:val="105"/>
        </w:rPr>
        <w:t>socio-economic</w:t>
      </w:r>
      <w:r w:rsidRPr="002902D1">
        <w:rPr>
          <w:w w:val="105"/>
        </w:rPr>
        <w:t xml:space="preserve"> outcomes comparable to those of their non-disadvantaged </w:t>
      </w:r>
      <w:r w:rsidR="00CB5E11">
        <w:rPr>
          <w:w w:val="105"/>
        </w:rPr>
        <w:t>counterparts</w:t>
      </w:r>
      <w:r w:rsidRPr="002902D1">
        <w:rPr>
          <w:w w:val="105"/>
        </w:rPr>
        <w:t>.</w:t>
      </w:r>
    </w:p>
    <w:p w14:paraId="44E62D60" w14:textId="42541BBE" w:rsidR="007D1975" w:rsidRPr="0016620E" w:rsidRDefault="007D1975" w:rsidP="00BF48E1">
      <w:pPr>
        <w:rPr>
          <w:w w:val="105"/>
        </w:rPr>
      </w:pPr>
      <w:r w:rsidRPr="007D1975">
        <w:rPr>
          <w:w w:val="105"/>
        </w:rPr>
        <w:t xml:space="preserve">In 2008, the Australian </w:t>
      </w:r>
      <w:r w:rsidR="00CB5E11">
        <w:rPr>
          <w:w w:val="105"/>
        </w:rPr>
        <w:t>G</w:t>
      </w:r>
      <w:r w:rsidRPr="007D1975">
        <w:rPr>
          <w:w w:val="105"/>
        </w:rPr>
        <w:t>overnment set two specific higher education targets for 2020: to increase the proportion of 25–</w:t>
      </w:r>
      <w:r w:rsidR="00B01BCD" w:rsidRPr="007D1975">
        <w:rPr>
          <w:w w:val="105"/>
        </w:rPr>
        <w:t>34</w:t>
      </w:r>
      <w:r w:rsidR="00B01BCD">
        <w:rPr>
          <w:w w:val="105"/>
        </w:rPr>
        <w:t>-year-olds</w:t>
      </w:r>
      <w:r w:rsidRPr="007D1975">
        <w:rPr>
          <w:w w:val="105"/>
        </w:rPr>
        <w:t xml:space="preserve"> with a bachelor's degree to 40%</w:t>
      </w:r>
      <w:r w:rsidR="00B01BCD">
        <w:rPr>
          <w:w w:val="105"/>
        </w:rPr>
        <w:t>,</w:t>
      </w:r>
      <w:r w:rsidRPr="007D1975">
        <w:rPr>
          <w:w w:val="105"/>
        </w:rPr>
        <w:t xml:space="preserve"> and to ensure that 20% of undergraduate enrolments </w:t>
      </w:r>
      <w:r w:rsidR="00B01BCD">
        <w:rPr>
          <w:w w:val="105"/>
        </w:rPr>
        <w:t>come</w:t>
      </w:r>
      <w:r w:rsidRPr="007D1975">
        <w:rPr>
          <w:w w:val="105"/>
        </w:rPr>
        <w:t xml:space="preserve"> from low </w:t>
      </w:r>
      <w:r w:rsidR="0097512D">
        <w:rPr>
          <w:w w:val="105"/>
        </w:rPr>
        <w:t>socio-economic</w:t>
      </w:r>
      <w:r w:rsidRPr="007D1975">
        <w:rPr>
          <w:w w:val="105"/>
        </w:rPr>
        <w:t xml:space="preserve"> backgrounds (Bradley et al., 2008). Progress </w:t>
      </w:r>
      <w:r w:rsidR="00B01BCD" w:rsidRPr="007D1975">
        <w:rPr>
          <w:w w:val="105"/>
        </w:rPr>
        <w:t>has been made</w:t>
      </w:r>
      <w:r w:rsidR="003073F7" w:rsidRPr="003073F7">
        <w:rPr>
          <w:w w:val="105"/>
        </w:rPr>
        <w:t xml:space="preserve"> </w:t>
      </w:r>
      <w:r w:rsidR="003073F7" w:rsidRPr="007D1975">
        <w:rPr>
          <w:w w:val="105"/>
        </w:rPr>
        <w:t>toward</w:t>
      </w:r>
      <w:r w:rsidR="003073F7">
        <w:rPr>
          <w:w w:val="105"/>
        </w:rPr>
        <w:t>s</w:t>
      </w:r>
      <w:r w:rsidR="003073F7" w:rsidRPr="007D1975">
        <w:rPr>
          <w:w w:val="105"/>
        </w:rPr>
        <w:t xml:space="preserve"> these goals</w:t>
      </w:r>
      <w:r w:rsidRPr="007D1975">
        <w:rPr>
          <w:w w:val="105"/>
        </w:rPr>
        <w:t xml:space="preserve">. The first target has been </w:t>
      </w:r>
      <w:r w:rsidR="00431E69">
        <w:rPr>
          <w:w w:val="105"/>
        </w:rPr>
        <w:t>met</w:t>
      </w:r>
      <w:r w:rsidRPr="007D1975">
        <w:rPr>
          <w:w w:val="105"/>
        </w:rPr>
        <w:t xml:space="preserve"> (Australian Universities Accord Review Panel, 2024), and there has been a notable increase in the participation of disadvantaged students in higher education, including those from low </w:t>
      </w:r>
      <w:r w:rsidR="0097512D">
        <w:rPr>
          <w:w w:val="105"/>
        </w:rPr>
        <w:t>socio-economic</w:t>
      </w:r>
      <w:r w:rsidRPr="007D1975">
        <w:rPr>
          <w:w w:val="105"/>
        </w:rPr>
        <w:t xml:space="preserve"> backgrounds and those with disabilities (Koshy, 2019).</w:t>
      </w:r>
    </w:p>
    <w:p w14:paraId="6E88D39A" w14:textId="6BF61139" w:rsidR="00592ADA" w:rsidRPr="0016620E" w:rsidRDefault="007D1975" w:rsidP="00BF48E1">
      <w:pPr>
        <w:rPr>
          <w:w w:val="105"/>
        </w:rPr>
      </w:pPr>
      <w:r w:rsidRPr="007D1975">
        <w:rPr>
          <w:w w:val="105"/>
        </w:rPr>
        <w:t xml:space="preserve">While efforts to expand access to tertiary education can help reduce inequality, </w:t>
      </w:r>
      <w:r w:rsidR="00D76AFA" w:rsidRPr="00D76AFA">
        <w:rPr>
          <w:w w:val="105"/>
        </w:rPr>
        <w:t>students' choice of field</w:t>
      </w:r>
      <w:r w:rsidR="009F47D3">
        <w:rPr>
          <w:w w:val="105"/>
        </w:rPr>
        <w:t>s</w:t>
      </w:r>
      <w:r w:rsidR="00D76AFA" w:rsidRPr="00D76AFA">
        <w:rPr>
          <w:w w:val="105"/>
        </w:rPr>
        <w:t xml:space="preserve"> of study remains a more subtle and overlooked form of inequality. In particular,</w:t>
      </w:r>
      <w:r w:rsidRPr="007D1975">
        <w:rPr>
          <w:w w:val="105"/>
        </w:rPr>
        <w:t xml:space="preserve"> among those who enrol in higher education, differences in childhood </w:t>
      </w:r>
      <w:r w:rsidR="0097512D">
        <w:rPr>
          <w:w w:val="105"/>
        </w:rPr>
        <w:t>socio-economic</w:t>
      </w:r>
      <w:r w:rsidRPr="007D1975">
        <w:rPr>
          <w:w w:val="105"/>
        </w:rPr>
        <w:t xml:space="preserve"> background</w:t>
      </w:r>
      <w:r w:rsidR="00CC7A7E">
        <w:rPr>
          <w:w w:val="105"/>
        </w:rPr>
        <w:t>s</w:t>
      </w:r>
      <w:r w:rsidRPr="007D1975">
        <w:rPr>
          <w:w w:val="105"/>
        </w:rPr>
        <w:t xml:space="preserve"> may influence their </w:t>
      </w:r>
      <w:r w:rsidR="00D76AFA">
        <w:rPr>
          <w:w w:val="105"/>
        </w:rPr>
        <w:t xml:space="preserve">choice of </w:t>
      </w:r>
      <w:r w:rsidRPr="007D1975">
        <w:rPr>
          <w:w w:val="105"/>
        </w:rPr>
        <w:t>academic specialisation. These differences</w:t>
      </w:r>
      <w:r w:rsidR="00B83935">
        <w:rPr>
          <w:w w:val="105"/>
        </w:rPr>
        <w:t xml:space="preserve"> may</w:t>
      </w:r>
      <w:r w:rsidR="00291010" w:rsidRPr="00291010">
        <w:t xml:space="preserve"> </w:t>
      </w:r>
      <w:r w:rsidR="00F26593">
        <w:rPr>
          <w:w w:val="105"/>
        </w:rPr>
        <w:t>then</w:t>
      </w:r>
      <w:r w:rsidR="00291010" w:rsidRPr="00291010">
        <w:rPr>
          <w:w w:val="105"/>
        </w:rPr>
        <w:t xml:space="preserve"> </w:t>
      </w:r>
      <w:r w:rsidRPr="007D1975">
        <w:rPr>
          <w:w w:val="105"/>
        </w:rPr>
        <w:t>shape</w:t>
      </w:r>
      <w:r w:rsidR="00CB5E11">
        <w:rPr>
          <w:w w:val="105"/>
        </w:rPr>
        <w:t xml:space="preserve"> their</w:t>
      </w:r>
      <w:r w:rsidRPr="007D1975">
        <w:rPr>
          <w:w w:val="105"/>
        </w:rPr>
        <w:t xml:space="preserve"> career prospects and labour market performance after graduation. If </w:t>
      </w:r>
      <w:r w:rsidR="00D76AFA">
        <w:rPr>
          <w:w w:val="105"/>
        </w:rPr>
        <w:t>the choice of field</w:t>
      </w:r>
      <w:r w:rsidR="009F47D3">
        <w:rPr>
          <w:w w:val="105"/>
        </w:rPr>
        <w:t>s</w:t>
      </w:r>
      <w:r w:rsidR="00D76AFA">
        <w:rPr>
          <w:w w:val="105"/>
        </w:rPr>
        <w:t xml:space="preserve"> of study</w:t>
      </w:r>
      <w:r w:rsidRPr="007D1975">
        <w:rPr>
          <w:w w:val="105"/>
        </w:rPr>
        <w:t xml:space="preserve"> </w:t>
      </w:r>
      <w:r w:rsidR="00D76AFA">
        <w:rPr>
          <w:w w:val="105"/>
        </w:rPr>
        <w:t>is</w:t>
      </w:r>
      <w:r w:rsidRPr="007D1975">
        <w:rPr>
          <w:w w:val="105"/>
        </w:rPr>
        <w:t xml:space="preserve"> segregated by </w:t>
      </w:r>
      <w:r w:rsidR="0097512D">
        <w:rPr>
          <w:w w:val="105"/>
        </w:rPr>
        <w:t>socio-economic</w:t>
      </w:r>
      <w:r w:rsidRPr="007D1975">
        <w:rPr>
          <w:w w:val="105"/>
        </w:rPr>
        <w:t xml:space="preserve"> background, inequalit</w:t>
      </w:r>
      <w:r w:rsidR="0099269C">
        <w:rPr>
          <w:w w:val="105"/>
        </w:rPr>
        <w:t>y</w:t>
      </w:r>
      <w:r w:rsidRPr="007D1975">
        <w:rPr>
          <w:w w:val="105"/>
        </w:rPr>
        <w:t xml:space="preserve"> may persist even among those with tertiary qualification</w:t>
      </w:r>
      <w:r w:rsidR="00B83935">
        <w:rPr>
          <w:w w:val="105"/>
        </w:rPr>
        <w:t>s</w:t>
      </w:r>
      <w:r w:rsidRPr="007D1975">
        <w:rPr>
          <w:w w:val="105"/>
        </w:rPr>
        <w:t>.</w:t>
      </w:r>
      <w:r w:rsidR="009D131E" w:rsidRPr="00B01BCD">
        <w:rPr>
          <w:w w:val="105"/>
          <w:vertAlign w:val="superscript"/>
        </w:rPr>
        <w:footnoteReference w:id="1"/>
      </w:r>
      <w:r w:rsidR="00592ADA" w:rsidRPr="0016620E">
        <w:rPr>
          <w:w w:val="105"/>
        </w:rPr>
        <w:t xml:space="preserve"> </w:t>
      </w:r>
    </w:p>
    <w:p w14:paraId="122ABFA5" w14:textId="206CEB9F" w:rsidR="00592ADA" w:rsidRPr="0016620E" w:rsidRDefault="000D74BA" w:rsidP="00BF48E1">
      <w:pPr>
        <w:rPr>
          <w:w w:val="105"/>
        </w:rPr>
      </w:pPr>
      <w:r w:rsidRPr="000D74BA">
        <w:rPr>
          <w:w w:val="105"/>
        </w:rPr>
        <w:t>Our empirical analysis, based on nationally representative data from the Household, Income</w:t>
      </w:r>
      <w:r w:rsidR="00F5293C">
        <w:rPr>
          <w:w w:val="105"/>
        </w:rPr>
        <w:t>,</w:t>
      </w:r>
      <w:r w:rsidRPr="000D74BA">
        <w:rPr>
          <w:w w:val="105"/>
        </w:rPr>
        <w:t xml:space="preserve"> and Labour Dynamics in Australia (HILDA) Survey, confirms that labour market outcomes vary by academic discipline. For example, Australians with degrees in </w:t>
      </w:r>
      <w:r w:rsidRPr="00874CDC">
        <w:rPr>
          <w:w w:val="105"/>
        </w:rPr>
        <w:t>Medicine</w:t>
      </w:r>
      <w:r w:rsidRPr="00EF4456">
        <w:rPr>
          <w:w w:val="105"/>
        </w:rPr>
        <w:t xml:space="preserve"> and </w:t>
      </w:r>
      <w:r w:rsidRPr="00874CDC">
        <w:rPr>
          <w:w w:val="105"/>
        </w:rPr>
        <w:t xml:space="preserve">Engineering and </w:t>
      </w:r>
      <w:r w:rsidR="00F5293C">
        <w:rPr>
          <w:w w:val="105"/>
        </w:rPr>
        <w:t>R</w:t>
      </w:r>
      <w:r w:rsidRPr="00874CDC">
        <w:rPr>
          <w:w w:val="105"/>
        </w:rPr>
        <w:t xml:space="preserve">elated </w:t>
      </w:r>
      <w:r w:rsidR="00F5293C">
        <w:rPr>
          <w:w w:val="105"/>
        </w:rPr>
        <w:t>T</w:t>
      </w:r>
      <w:r w:rsidRPr="00874CDC">
        <w:rPr>
          <w:w w:val="105"/>
        </w:rPr>
        <w:t>echnologies</w:t>
      </w:r>
      <w:r w:rsidRPr="000D74BA">
        <w:rPr>
          <w:w w:val="105"/>
        </w:rPr>
        <w:t xml:space="preserve"> earn the highest gross weekly wages, at $2</w:t>
      </w:r>
      <w:r w:rsidR="005E22FB">
        <w:rPr>
          <w:w w:val="105"/>
        </w:rPr>
        <w:t>,</w:t>
      </w:r>
      <w:r w:rsidRPr="000D74BA">
        <w:rPr>
          <w:w w:val="105"/>
        </w:rPr>
        <w:t>537 and $2</w:t>
      </w:r>
      <w:r w:rsidR="005E22FB">
        <w:rPr>
          <w:w w:val="105"/>
        </w:rPr>
        <w:t>,</w:t>
      </w:r>
      <w:r w:rsidRPr="000D74BA">
        <w:rPr>
          <w:w w:val="105"/>
        </w:rPr>
        <w:t xml:space="preserve">139 (2020 AUD), respectively. These figures are significantly above the average weekly </w:t>
      </w:r>
      <w:r w:rsidRPr="00EF4456">
        <w:rPr>
          <w:w w:val="105"/>
        </w:rPr>
        <w:t>wage of $1</w:t>
      </w:r>
      <w:r w:rsidR="005E22FB">
        <w:rPr>
          <w:w w:val="105"/>
        </w:rPr>
        <w:t>,</w:t>
      </w:r>
      <w:r w:rsidRPr="00EF4456">
        <w:rPr>
          <w:w w:val="105"/>
        </w:rPr>
        <w:t xml:space="preserve">642 across the 15 fields of </w:t>
      </w:r>
      <w:r w:rsidR="00276F55">
        <w:rPr>
          <w:w w:val="105"/>
        </w:rPr>
        <w:t>study</w:t>
      </w:r>
      <w:r w:rsidRPr="00EF4456">
        <w:rPr>
          <w:w w:val="105"/>
        </w:rPr>
        <w:t xml:space="preserve"> in our dataset. In contrast, graduates in </w:t>
      </w:r>
      <w:r w:rsidRPr="00874CDC">
        <w:rPr>
          <w:w w:val="105"/>
        </w:rPr>
        <w:t xml:space="preserve">Food, </w:t>
      </w:r>
      <w:r w:rsidR="00F5293C">
        <w:rPr>
          <w:w w:val="105"/>
        </w:rPr>
        <w:t>H</w:t>
      </w:r>
      <w:r w:rsidRPr="00874CDC">
        <w:rPr>
          <w:w w:val="105"/>
        </w:rPr>
        <w:t xml:space="preserve">ospitality, and </w:t>
      </w:r>
      <w:r w:rsidR="00F5293C">
        <w:rPr>
          <w:w w:val="105"/>
        </w:rPr>
        <w:t>P</w:t>
      </w:r>
      <w:r w:rsidRPr="00874CDC">
        <w:rPr>
          <w:w w:val="105"/>
        </w:rPr>
        <w:t xml:space="preserve">ersonal </w:t>
      </w:r>
      <w:r w:rsidR="00F5293C">
        <w:rPr>
          <w:w w:val="105"/>
        </w:rPr>
        <w:t>S</w:t>
      </w:r>
      <w:r w:rsidRPr="00874CDC">
        <w:rPr>
          <w:w w:val="105"/>
        </w:rPr>
        <w:t>ervices</w:t>
      </w:r>
      <w:r w:rsidRPr="00EF4456">
        <w:rPr>
          <w:w w:val="105"/>
        </w:rPr>
        <w:t xml:space="preserve"> earn substantially less, with an average weekly wage of $1</w:t>
      </w:r>
      <w:r w:rsidR="005E22FB">
        <w:rPr>
          <w:w w:val="105"/>
        </w:rPr>
        <w:t>,</w:t>
      </w:r>
      <w:r w:rsidRPr="00EF4456">
        <w:rPr>
          <w:w w:val="105"/>
        </w:rPr>
        <w:t xml:space="preserve">241, while those in </w:t>
      </w:r>
      <w:r w:rsidRPr="00874CDC">
        <w:rPr>
          <w:w w:val="105"/>
        </w:rPr>
        <w:t xml:space="preserve">Creative </w:t>
      </w:r>
      <w:r w:rsidR="00F5293C">
        <w:rPr>
          <w:w w:val="105"/>
        </w:rPr>
        <w:t>A</w:t>
      </w:r>
      <w:r w:rsidRPr="00874CDC">
        <w:rPr>
          <w:w w:val="105"/>
        </w:rPr>
        <w:t>rts</w:t>
      </w:r>
      <w:r w:rsidRPr="000D74BA">
        <w:rPr>
          <w:w w:val="105"/>
        </w:rPr>
        <w:t xml:space="preserve"> earn </w:t>
      </w:r>
      <w:r w:rsidR="003073F7">
        <w:rPr>
          <w:w w:val="105"/>
        </w:rPr>
        <w:t>only</w:t>
      </w:r>
      <w:r w:rsidRPr="000D74BA">
        <w:rPr>
          <w:w w:val="105"/>
        </w:rPr>
        <w:t xml:space="preserve"> $1</w:t>
      </w:r>
      <w:r w:rsidR="005E22FB">
        <w:rPr>
          <w:w w:val="105"/>
        </w:rPr>
        <w:t>,</w:t>
      </w:r>
      <w:r w:rsidRPr="000D74BA">
        <w:rPr>
          <w:w w:val="105"/>
        </w:rPr>
        <w:t>072 per week.</w:t>
      </w:r>
      <w:r w:rsidR="001D6D2F">
        <w:rPr>
          <w:w w:val="105"/>
        </w:rPr>
        <w:t xml:space="preserve"> </w:t>
      </w:r>
      <w:r w:rsidR="00837C1D">
        <w:rPr>
          <w:w w:val="105"/>
        </w:rPr>
        <w:t>D</w:t>
      </w:r>
      <w:r w:rsidR="00396A06" w:rsidRPr="0016620E">
        <w:rPr>
          <w:w w:val="105"/>
        </w:rPr>
        <w:t>ifferences</w:t>
      </w:r>
      <w:r w:rsidR="00837C1D">
        <w:rPr>
          <w:w w:val="105"/>
        </w:rPr>
        <w:t xml:space="preserve"> in</w:t>
      </w:r>
      <w:r w:rsidR="00396A06" w:rsidRPr="0016620E">
        <w:rPr>
          <w:w w:val="105"/>
        </w:rPr>
        <w:t xml:space="preserve"> </w:t>
      </w:r>
      <w:r w:rsidR="00B258A2">
        <w:rPr>
          <w:w w:val="105"/>
        </w:rPr>
        <w:t xml:space="preserve">the </w:t>
      </w:r>
      <w:r w:rsidR="00396A06" w:rsidRPr="0016620E">
        <w:rPr>
          <w:w w:val="105"/>
        </w:rPr>
        <w:t xml:space="preserve">field of </w:t>
      </w:r>
      <w:r w:rsidR="00BD6D42">
        <w:rPr>
          <w:w w:val="105"/>
        </w:rPr>
        <w:t>tertiary</w:t>
      </w:r>
      <w:r w:rsidR="00BD6D42" w:rsidRPr="0016620E">
        <w:rPr>
          <w:w w:val="105"/>
        </w:rPr>
        <w:t xml:space="preserve"> </w:t>
      </w:r>
      <w:r w:rsidR="00396A06" w:rsidRPr="0016620E">
        <w:rPr>
          <w:w w:val="105"/>
        </w:rPr>
        <w:t xml:space="preserve">education </w:t>
      </w:r>
      <w:r w:rsidR="00817405">
        <w:rPr>
          <w:w w:val="105"/>
        </w:rPr>
        <w:t>can</w:t>
      </w:r>
      <w:r w:rsidR="00396A06">
        <w:rPr>
          <w:w w:val="105"/>
        </w:rPr>
        <w:t xml:space="preserve"> provide important information </w:t>
      </w:r>
      <w:r w:rsidR="00396A06" w:rsidRPr="0016620E">
        <w:rPr>
          <w:w w:val="105"/>
        </w:rPr>
        <w:t xml:space="preserve">for understanding </w:t>
      </w:r>
      <w:r w:rsidR="00837C1D" w:rsidRPr="00837C1D">
        <w:rPr>
          <w:w w:val="105"/>
        </w:rPr>
        <w:t>labour market inequalit</w:t>
      </w:r>
      <w:r w:rsidR="00462E96">
        <w:rPr>
          <w:w w:val="105"/>
        </w:rPr>
        <w:t>y</w:t>
      </w:r>
      <w:r w:rsidR="00396A06" w:rsidRPr="0016620E">
        <w:rPr>
          <w:w w:val="105"/>
        </w:rPr>
        <w:t xml:space="preserve">. </w:t>
      </w:r>
      <w:r w:rsidR="00837C1D" w:rsidRPr="00837C1D">
        <w:rPr>
          <w:w w:val="105"/>
        </w:rPr>
        <w:t>If Australians from disadvantaged backgrounds are more likely to enter fields with lower earnings potential, this could</w:t>
      </w:r>
      <w:r w:rsidR="0063577B">
        <w:rPr>
          <w:w w:val="105"/>
        </w:rPr>
        <w:t>,</w:t>
      </w:r>
      <w:r w:rsidR="00837C1D" w:rsidRPr="00837C1D">
        <w:rPr>
          <w:w w:val="105"/>
        </w:rPr>
        <w:t xml:space="preserve"> </w:t>
      </w:r>
      <w:r w:rsidR="006E5806">
        <w:rPr>
          <w:w w:val="105"/>
        </w:rPr>
        <w:t xml:space="preserve">at least </w:t>
      </w:r>
      <w:r w:rsidR="00817405">
        <w:rPr>
          <w:w w:val="105"/>
        </w:rPr>
        <w:t xml:space="preserve">in </w:t>
      </w:r>
      <w:r w:rsidR="002D36E1">
        <w:rPr>
          <w:w w:val="105"/>
        </w:rPr>
        <w:t>part</w:t>
      </w:r>
      <w:r w:rsidR="0063577B">
        <w:rPr>
          <w:w w:val="105"/>
        </w:rPr>
        <w:t>,</w:t>
      </w:r>
      <w:r w:rsidR="002D36E1">
        <w:rPr>
          <w:w w:val="105"/>
        </w:rPr>
        <w:t xml:space="preserve"> offset</w:t>
      </w:r>
      <w:r w:rsidR="006E5806">
        <w:rPr>
          <w:w w:val="105"/>
        </w:rPr>
        <w:t xml:space="preserve"> </w:t>
      </w:r>
      <w:r w:rsidR="00837C1D" w:rsidRPr="00837C1D">
        <w:rPr>
          <w:w w:val="105"/>
        </w:rPr>
        <w:t xml:space="preserve">the positive impact of increased </w:t>
      </w:r>
      <w:r w:rsidR="00015D14" w:rsidRPr="00015D14">
        <w:rPr>
          <w:w w:val="105"/>
        </w:rPr>
        <w:t xml:space="preserve">participation in higher </w:t>
      </w:r>
      <w:r w:rsidR="00015D14" w:rsidRPr="00015D14">
        <w:rPr>
          <w:w w:val="105"/>
        </w:rPr>
        <w:lastRenderedPageBreak/>
        <w:t>education</w:t>
      </w:r>
      <w:r w:rsidR="00837C1D" w:rsidRPr="00837C1D">
        <w:rPr>
          <w:w w:val="105"/>
        </w:rPr>
        <w:t xml:space="preserve"> on reducing inequalit</w:t>
      </w:r>
      <w:r w:rsidR="00462E96">
        <w:rPr>
          <w:w w:val="105"/>
        </w:rPr>
        <w:t>y</w:t>
      </w:r>
      <w:r w:rsidR="00837C1D" w:rsidRPr="00837C1D">
        <w:rPr>
          <w:w w:val="105"/>
        </w:rPr>
        <w:t xml:space="preserve">. In other words, </w:t>
      </w:r>
      <w:r w:rsidR="0097512D">
        <w:rPr>
          <w:w w:val="105"/>
        </w:rPr>
        <w:t>socio-economic</w:t>
      </w:r>
      <w:r w:rsidR="006750D1" w:rsidRPr="00BC1650">
        <w:rPr>
          <w:w w:val="105"/>
        </w:rPr>
        <w:t xml:space="preserve"> background</w:t>
      </w:r>
      <w:r w:rsidR="006750D1">
        <w:rPr>
          <w:w w:val="105"/>
        </w:rPr>
        <w:t xml:space="preserve">s </w:t>
      </w:r>
      <w:r w:rsidR="00837C1D" w:rsidRPr="00837C1D">
        <w:rPr>
          <w:w w:val="105"/>
        </w:rPr>
        <w:t xml:space="preserve">may be </w:t>
      </w:r>
      <w:r w:rsidR="00837C1D">
        <w:rPr>
          <w:w w:val="105"/>
        </w:rPr>
        <w:t>transmitted</w:t>
      </w:r>
      <w:r w:rsidR="00837C1D" w:rsidRPr="00837C1D">
        <w:rPr>
          <w:w w:val="105"/>
        </w:rPr>
        <w:t xml:space="preserve"> intergenerationally through the sorting of university fields of study, which </w:t>
      </w:r>
      <w:r w:rsidR="0063577B">
        <w:rPr>
          <w:w w:val="105"/>
        </w:rPr>
        <w:t>are</w:t>
      </w:r>
      <w:r w:rsidR="00837C1D" w:rsidRPr="00837C1D">
        <w:rPr>
          <w:w w:val="105"/>
        </w:rPr>
        <w:t xml:space="preserve"> then reflected in post-university labour market outcomes.</w:t>
      </w:r>
      <w:r w:rsidR="00837C1D">
        <w:rPr>
          <w:w w:val="105"/>
        </w:rPr>
        <w:t xml:space="preserve"> </w:t>
      </w:r>
      <w:r w:rsidR="00837C1D" w:rsidRPr="00837C1D">
        <w:rPr>
          <w:w w:val="105"/>
        </w:rPr>
        <w:t xml:space="preserve">Conversely, if disadvantaged Australians are more likely to </w:t>
      </w:r>
      <w:r w:rsidR="00063EE5">
        <w:rPr>
          <w:w w:val="105"/>
        </w:rPr>
        <w:t>study</w:t>
      </w:r>
      <w:r w:rsidR="00837C1D" w:rsidRPr="00837C1D">
        <w:rPr>
          <w:w w:val="105"/>
        </w:rPr>
        <w:t xml:space="preserve"> disciplines with </w:t>
      </w:r>
      <w:r w:rsidR="00063EE5">
        <w:rPr>
          <w:w w:val="105"/>
        </w:rPr>
        <w:t>better</w:t>
      </w:r>
      <w:r w:rsidR="00837C1D" w:rsidRPr="00837C1D">
        <w:rPr>
          <w:w w:val="105"/>
        </w:rPr>
        <w:t xml:space="preserve"> career prospects, their improved employment and earnings outcomes may </w:t>
      </w:r>
      <w:r w:rsidR="00063EE5">
        <w:rPr>
          <w:w w:val="105"/>
        </w:rPr>
        <w:t>mask</w:t>
      </w:r>
      <w:r w:rsidR="00837C1D" w:rsidRPr="00837C1D">
        <w:rPr>
          <w:w w:val="105"/>
        </w:rPr>
        <w:t xml:space="preserve"> the true extent of their disadvantage</w:t>
      </w:r>
      <w:r w:rsidR="007E01D9">
        <w:rPr>
          <w:w w:val="105"/>
        </w:rPr>
        <w:t xml:space="preserve"> in the labour market</w:t>
      </w:r>
      <w:r w:rsidR="00837C1D" w:rsidRPr="00837C1D">
        <w:rPr>
          <w:w w:val="105"/>
        </w:rPr>
        <w:t xml:space="preserve">, as university specialisation is often not </w:t>
      </w:r>
      <w:r w:rsidR="00063EE5">
        <w:rPr>
          <w:w w:val="105"/>
        </w:rPr>
        <w:t>taken into account</w:t>
      </w:r>
      <w:r w:rsidR="00837C1D" w:rsidRPr="00837C1D">
        <w:rPr>
          <w:w w:val="105"/>
        </w:rPr>
        <w:t xml:space="preserve"> in such comparisons.</w:t>
      </w:r>
    </w:p>
    <w:p w14:paraId="6C7B6FB3" w14:textId="091614AE" w:rsidR="00591928" w:rsidRPr="0016620E" w:rsidRDefault="00591928" w:rsidP="00BF48E1">
      <w:pPr>
        <w:rPr>
          <w:w w:val="105"/>
        </w:rPr>
      </w:pPr>
      <w:r w:rsidRPr="00591928">
        <w:rPr>
          <w:w w:val="105"/>
        </w:rPr>
        <w:t xml:space="preserve">To assess the role of university subject choice in reducing inequality, this report examines the relationships between multidimensional </w:t>
      </w:r>
      <w:r w:rsidR="0097512D">
        <w:rPr>
          <w:w w:val="105"/>
        </w:rPr>
        <w:t>socio-economic</w:t>
      </w:r>
      <w:r w:rsidR="00CC7A7E">
        <w:rPr>
          <w:w w:val="105"/>
        </w:rPr>
        <w:t xml:space="preserve"> </w:t>
      </w:r>
      <w:r w:rsidR="00CC7A7E" w:rsidRPr="00BD38F3">
        <w:rPr>
          <w:w w:val="105"/>
        </w:rPr>
        <w:t>backgrounds</w:t>
      </w:r>
      <w:r w:rsidRPr="00591928">
        <w:rPr>
          <w:w w:val="105"/>
        </w:rPr>
        <w:t xml:space="preserve">, university specialisation, and post-university labour market </w:t>
      </w:r>
      <w:r w:rsidR="00064E7C">
        <w:rPr>
          <w:w w:val="105"/>
        </w:rPr>
        <w:t>performance</w:t>
      </w:r>
      <w:r w:rsidRPr="00591928">
        <w:rPr>
          <w:w w:val="105"/>
        </w:rPr>
        <w:t xml:space="preserve"> in Australia. Specifically, we conduct three main empirical analyses. First, we describe the distribution of university fields of study, how </w:t>
      </w:r>
      <w:r w:rsidR="001C1CA0">
        <w:rPr>
          <w:w w:val="105"/>
        </w:rPr>
        <w:t>it has</w:t>
      </w:r>
      <w:r w:rsidRPr="00591928">
        <w:rPr>
          <w:w w:val="105"/>
        </w:rPr>
        <w:t xml:space="preserve"> evolved across graduate birth cohorts, and the associated post-university labour market outcomes. This analysis is valuable in its own right and serves as a </w:t>
      </w:r>
      <w:r w:rsidR="005A4C09" w:rsidRPr="005A4C09">
        <w:rPr>
          <w:w w:val="105"/>
        </w:rPr>
        <w:t>foundation for the analysis that follows.</w:t>
      </w:r>
      <w:r w:rsidRPr="00591928">
        <w:rPr>
          <w:w w:val="105"/>
        </w:rPr>
        <w:t xml:space="preserve"> Second, we </w:t>
      </w:r>
      <w:r w:rsidR="008879BF">
        <w:rPr>
          <w:w w:val="105"/>
        </w:rPr>
        <w:t>examine</w:t>
      </w:r>
      <w:r w:rsidRPr="00591928">
        <w:rPr>
          <w:w w:val="105"/>
        </w:rPr>
        <w:t xml:space="preserve"> whether and how </w:t>
      </w:r>
      <w:r w:rsidR="0097512D">
        <w:rPr>
          <w:w w:val="105"/>
        </w:rPr>
        <w:t>socio-economic</w:t>
      </w:r>
      <w:r w:rsidRPr="00591928">
        <w:rPr>
          <w:w w:val="105"/>
        </w:rPr>
        <w:t xml:space="preserve"> factors influence university subject choice, with a particular focus on the </w:t>
      </w:r>
      <w:r>
        <w:rPr>
          <w:w w:val="105"/>
        </w:rPr>
        <w:t xml:space="preserve">potential </w:t>
      </w:r>
      <w:r w:rsidRPr="00591928">
        <w:rPr>
          <w:w w:val="105"/>
        </w:rPr>
        <w:t xml:space="preserve">differential effects of multidimensional </w:t>
      </w:r>
      <w:r w:rsidR="00BC5A7B" w:rsidRPr="00BD38F3">
        <w:rPr>
          <w:w w:val="105"/>
        </w:rPr>
        <w:t>background</w:t>
      </w:r>
      <w:r w:rsidR="00B905D3">
        <w:rPr>
          <w:w w:val="105"/>
        </w:rPr>
        <w:t xml:space="preserve"> characteristi</w:t>
      </w:r>
      <w:r w:rsidR="00B905D3" w:rsidRPr="00BD38F3">
        <w:rPr>
          <w:w w:val="105"/>
        </w:rPr>
        <w:t>cs</w:t>
      </w:r>
      <w:r w:rsidRPr="00591928">
        <w:rPr>
          <w:w w:val="105"/>
        </w:rPr>
        <w:t xml:space="preserve">. Lastly, we quantitatively assess the extent to which academic specialisation contributes to differences in employment and earnings outcomes </w:t>
      </w:r>
      <w:r w:rsidR="002D36E1">
        <w:rPr>
          <w:w w:val="105"/>
        </w:rPr>
        <w:t>among</w:t>
      </w:r>
      <w:r w:rsidRPr="00591928">
        <w:rPr>
          <w:w w:val="105"/>
        </w:rPr>
        <w:t xml:space="preserve"> Australians from di</w:t>
      </w:r>
      <w:r w:rsidR="000B3F31">
        <w:rPr>
          <w:w w:val="105"/>
        </w:rPr>
        <w:t>fferent</w:t>
      </w:r>
      <w:r w:rsidRPr="00591928">
        <w:rPr>
          <w:w w:val="105"/>
        </w:rPr>
        <w:t xml:space="preserve"> </w:t>
      </w:r>
      <w:r w:rsidR="0097512D">
        <w:rPr>
          <w:w w:val="105"/>
        </w:rPr>
        <w:t>socio-economic</w:t>
      </w:r>
      <w:r w:rsidRPr="00591928">
        <w:rPr>
          <w:w w:val="105"/>
        </w:rPr>
        <w:t xml:space="preserve"> backgrounds.</w:t>
      </w:r>
    </w:p>
    <w:p w14:paraId="6220E45D" w14:textId="15338E2E" w:rsidR="00A700E4" w:rsidRPr="0016620E" w:rsidRDefault="0091280E" w:rsidP="00BF48E1">
      <w:pPr>
        <w:rPr>
          <w:w w:val="105"/>
        </w:rPr>
      </w:pPr>
      <w:r w:rsidRPr="0091280E">
        <w:rPr>
          <w:w w:val="105"/>
        </w:rPr>
        <w:t xml:space="preserve">This study </w:t>
      </w:r>
      <w:r w:rsidR="002C2D99">
        <w:rPr>
          <w:w w:val="105"/>
        </w:rPr>
        <w:t>advances</w:t>
      </w:r>
      <w:r w:rsidRPr="0091280E">
        <w:rPr>
          <w:w w:val="105"/>
        </w:rPr>
        <w:t xml:space="preserve"> the existing literature </w:t>
      </w:r>
      <w:r w:rsidR="00CB2C5B" w:rsidRPr="00CB2C5B">
        <w:rPr>
          <w:w w:val="105"/>
        </w:rPr>
        <w:t>in the following ways</w:t>
      </w:r>
      <w:r w:rsidRPr="0091280E">
        <w:rPr>
          <w:w w:val="105"/>
        </w:rPr>
        <w:t xml:space="preserve">. First, it </w:t>
      </w:r>
      <w:r w:rsidR="002C2D99">
        <w:rPr>
          <w:w w:val="105"/>
        </w:rPr>
        <w:t>contributes to the understanding of an important</w:t>
      </w:r>
      <w:r w:rsidRPr="0091280E">
        <w:rPr>
          <w:w w:val="105"/>
        </w:rPr>
        <w:t xml:space="preserve"> source of educational inequality: the sorting of individuals into different university disciplines based on </w:t>
      </w:r>
      <w:r w:rsidR="00407AA7">
        <w:rPr>
          <w:w w:val="105"/>
        </w:rPr>
        <w:t xml:space="preserve">their </w:t>
      </w:r>
      <w:r w:rsidR="0097512D">
        <w:rPr>
          <w:w w:val="105"/>
        </w:rPr>
        <w:t>socio-economic</w:t>
      </w:r>
      <w:r w:rsidRPr="0091280E">
        <w:rPr>
          <w:w w:val="105"/>
        </w:rPr>
        <w:t xml:space="preserve"> background</w:t>
      </w:r>
      <w:r w:rsidR="00EF1F4A">
        <w:rPr>
          <w:w w:val="105"/>
        </w:rPr>
        <w:t>s</w:t>
      </w:r>
      <w:r w:rsidR="00E47E06">
        <w:rPr>
          <w:w w:val="105"/>
        </w:rPr>
        <w:t xml:space="preserve"> (Tomaszewski et al., 2018)</w:t>
      </w:r>
      <w:r w:rsidRPr="0091280E">
        <w:rPr>
          <w:w w:val="105"/>
        </w:rPr>
        <w:t xml:space="preserve">. Second, using nationally representative </w:t>
      </w:r>
      <w:r w:rsidR="006C650F">
        <w:rPr>
          <w:w w:val="105"/>
        </w:rPr>
        <w:t xml:space="preserve">data from the </w:t>
      </w:r>
      <w:r w:rsidRPr="0091280E">
        <w:rPr>
          <w:w w:val="105"/>
        </w:rPr>
        <w:t xml:space="preserve">HILDA </w:t>
      </w:r>
      <w:r w:rsidR="006C650F">
        <w:rPr>
          <w:w w:val="105"/>
        </w:rPr>
        <w:t>Survey</w:t>
      </w:r>
      <w:r w:rsidRPr="0091280E">
        <w:rPr>
          <w:w w:val="105"/>
        </w:rPr>
        <w:t xml:space="preserve">, </w:t>
      </w:r>
      <w:r w:rsidR="00A86AF6">
        <w:rPr>
          <w:w w:val="105"/>
        </w:rPr>
        <w:t>this</w:t>
      </w:r>
      <w:r w:rsidRPr="0091280E">
        <w:rPr>
          <w:w w:val="105"/>
        </w:rPr>
        <w:t xml:space="preserve"> analysis provides evidence on how multidimensional </w:t>
      </w:r>
      <w:r w:rsidR="00D65281">
        <w:rPr>
          <w:w w:val="105"/>
        </w:rPr>
        <w:t>background</w:t>
      </w:r>
      <w:r w:rsidR="00572758">
        <w:rPr>
          <w:w w:val="105"/>
        </w:rPr>
        <w:t>s</w:t>
      </w:r>
      <w:r w:rsidRPr="0091280E">
        <w:rPr>
          <w:w w:val="105"/>
        </w:rPr>
        <w:t xml:space="preserve"> influence labour market outcomes. In doing so, we address a major limitation of previous studies, which </w:t>
      </w:r>
      <w:r w:rsidR="00407AA7">
        <w:rPr>
          <w:w w:val="105"/>
        </w:rPr>
        <w:t xml:space="preserve">have </w:t>
      </w:r>
      <w:r w:rsidRPr="0091280E">
        <w:rPr>
          <w:w w:val="105"/>
        </w:rPr>
        <w:t xml:space="preserve">often relied on non-representative datasets, potentially contributing to the mixed findings in the </w:t>
      </w:r>
      <w:r w:rsidR="00D250DB">
        <w:rPr>
          <w:w w:val="105"/>
        </w:rPr>
        <w:t xml:space="preserve">existing </w:t>
      </w:r>
      <w:r w:rsidRPr="0091280E">
        <w:rPr>
          <w:w w:val="105"/>
        </w:rPr>
        <w:t xml:space="preserve">literature (Coates and Edwards, 2009; Edwards and Coates, 2011; Li, 2014; Li et al., 2016, 2017; Tomaszewski et al., 2021; Carroll and Li, 2022). Finally, </w:t>
      </w:r>
      <w:r w:rsidR="002458BD">
        <w:rPr>
          <w:w w:val="105"/>
        </w:rPr>
        <w:t xml:space="preserve">complementing </w:t>
      </w:r>
      <w:r w:rsidR="00836DC2">
        <w:rPr>
          <w:w w:val="105"/>
        </w:rPr>
        <w:t xml:space="preserve">Tomaszewski et al. (2019), </w:t>
      </w:r>
      <w:r w:rsidRPr="0091280E">
        <w:rPr>
          <w:w w:val="105"/>
        </w:rPr>
        <w:t xml:space="preserve">our research takes a long-term perspective. While most studies examine labour market outcomes within six months to five years </w:t>
      </w:r>
      <w:r w:rsidR="00BE4098">
        <w:rPr>
          <w:w w:val="105"/>
        </w:rPr>
        <w:t>of</w:t>
      </w:r>
      <w:r w:rsidRPr="0091280E">
        <w:rPr>
          <w:w w:val="105"/>
        </w:rPr>
        <w:t xml:space="preserve"> graduation (</w:t>
      </w:r>
      <w:r w:rsidR="004C7207">
        <w:t>see, for example,</w:t>
      </w:r>
      <w:r w:rsidRPr="0091280E">
        <w:rPr>
          <w:w w:val="105"/>
        </w:rPr>
        <w:t xml:space="preserve"> Li et al., 2017; Tomaszewski et al., 2021; Carroll and Li, 2022</w:t>
      </w:r>
      <w:r w:rsidR="00B14A26">
        <w:rPr>
          <w:w w:val="105"/>
        </w:rPr>
        <w:t>; Zajac et al., 2023</w:t>
      </w:r>
      <w:r w:rsidRPr="0091280E">
        <w:rPr>
          <w:w w:val="105"/>
        </w:rPr>
        <w:t xml:space="preserve">), this report extends the analysis </w:t>
      </w:r>
      <w:r w:rsidR="001E72C4">
        <w:rPr>
          <w:w w:val="105"/>
        </w:rPr>
        <w:t>to</w:t>
      </w:r>
      <w:r w:rsidRPr="0091280E">
        <w:rPr>
          <w:w w:val="105"/>
        </w:rPr>
        <w:t xml:space="preserve"> a much longer time horizon.</w:t>
      </w:r>
      <w:r w:rsidR="00501B13">
        <w:rPr>
          <w:rStyle w:val="FootnoteReference"/>
          <w:w w:val="105"/>
        </w:rPr>
        <w:footnoteReference w:id="2"/>
      </w:r>
      <w:r w:rsidRPr="0091280E">
        <w:rPr>
          <w:w w:val="105"/>
        </w:rPr>
        <w:t xml:space="preserve"> </w:t>
      </w:r>
      <w:r w:rsidR="00407AA7">
        <w:rPr>
          <w:w w:val="105"/>
        </w:rPr>
        <w:t>Our analysis</w:t>
      </w:r>
      <w:r w:rsidRPr="0091280E">
        <w:rPr>
          <w:w w:val="105"/>
        </w:rPr>
        <w:t xml:space="preserve"> provides new insights into whether </w:t>
      </w:r>
      <w:r w:rsidR="0097512D">
        <w:rPr>
          <w:w w:val="105"/>
        </w:rPr>
        <w:t>socio-economic</w:t>
      </w:r>
      <w:r w:rsidR="00D65281">
        <w:rPr>
          <w:w w:val="105"/>
        </w:rPr>
        <w:t xml:space="preserve"> </w:t>
      </w:r>
      <w:r w:rsidR="00D65281" w:rsidRPr="00BD38F3">
        <w:rPr>
          <w:w w:val="105"/>
        </w:rPr>
        <w:t>backgrounds</w:t>
      </w:r>
      <w:r w:rsidRPr="0091280E">
        <w:rPr>
          <w:w w:val="105"/>
        </w:rPr>
        <w:t xml:space="preserve"> continue to shape career trajectories well beyond tertiary education.</w:t>
      </w:r>
    </w:p>
    <w:p w14:paraId="4B92E4D0" w14:textId="5190933B" w:rsidR="009D6D47" w:rsidRPr="00537F4A" w:rsidRDefault="000B026D" w:rsidP="00BF48E1">
      <w:pPr>
        <w:rPr>
          <w:w w:val="105"/>
        </w:rPr>
      </w:pPr>
      <w:r w:rsidRPr="0016620E">
        <w:rPr>
          <w:w w:val="105"/>
        </w:rPr>
        <w:t xml:space="preserve">The </w:t>
      </w:r>
      <w:r w:rsidR="00B109B7" w:rsidRPr="0016620E">
        <w:rPr>
          <w:w w:val="105"/>
        </w:rPr>
        <w:t>remain</w:t>
      </w:r>
      <w:r w:rsidR="00E1068D" w:rsidRPr="0016620E">
        <w:rPr>
          <w:w w:val="105"/>
        </w:rPr>
        <w:t>der</w:t>
      </w:r>
      <w:r w:rsidR="00B109B7" w:rsidRPr="0016620E">
        <w:rPr>
          <w:w w:val="105"/>
        </w:rPr>
        <w:t xml:space="preserve"> of this </w:t>
      </w:r>
      <w:r w:rsidR="00635F58" w:rsidRPr="0016620E">
        <w:rPr>
          <w:w w:val="105"/>
        </w:rPr>
        <w:t>report</w:t>
      </w:r>
      <w:r w:rsidRPr="0016620E">
        <w:rPr>
          <w:w w:val="105"/>
        </w:rPr>
        <w:t xml:space="preserve"> is</w:t>
      </w:r>
      <w:r w:rsidR="008238D4">
        <w:rPr>
          <w:w w:val="105"/>
        </w:rPr>
        <w:t xml:space="preserve"> </w:t>
      </w:r>
      <w:r w:rsidR="00AB3610">
        <w:rPr>
          <w:w w:val="105"/>
        </w:rPr>
        <w:t>structured</w:t>
      </w:r>
      <w:r w:rsidR="00AB3610" w:rsidRPr="0016620E">
        <w:rPr>
          <w:w w:val="105"/>
        </w:rPr>
        <w:t xml:space="preserve"> </w:t>
      </w:r>
      <w:r w:rsidR="00635F58" w:rsidRPr="0016620E">
        <w:rPr>
          <w:w w:val="105"/>
        </w:rPr>
        <w:t>as follows</w:t>
      </w:r>
      <w:r w:rsidRPr="0016620E">
        <w:rPr>
          <w:w w:val="105"/>
        </w:rPr>
        <w:t xml:space="preserve">. Section </w:t>
      </w:r>
      <w:r w:rsidR="00635F58" w:rsidRPr="0016620E">
        <w:rPr>
          <w:w w:val="105"/>
        </w:rPr>
        <w:t>4</w:t>
      </w:r>
      <w:r w:rsidRPr="0016620E">
        <w:rPr>
          <w:w w:val="105"/>
        </w:rPr>
        <w:t xml:space="preserve"> reviews the literature. Section </w:t>
      </w:r>
      <w:r w:rsidR="00635F58" w:rsidRPr="0016620E">
        <w:rPr>
          <w:w w:val="105"/>
        </w:rPr>
        <w:t>5</w:t>
      </w:r>
      <w:r w:rsidRPr="0016620E">
        <w:rPr>
          <w:w w:val="105"/>
        </w:rPr>
        <w:t xml:space="preserve"> discusses the data</w:t>
      </w:r>
      <w:r w:rsidR="00635F58" w:rsidRPr="0016620E">
        <w:rPr>
          <w:w w:val="105"/>
        </w:rPr>
        <w:t>,</w:t>
      </w:r>
      <w:r w:rsidRPr="0016620E">
        <w:rPr>
          <w:w w:val="105"/>
        </w:rPr>
        <w:t xml:space="preserve"> variables</w:t>
      </w:r>
      <w:r w:rsidR="00635F58" w:rsidRPr="0016620E">
        <w:rPr>
          <w:w w:val="105"/>
        </w:rPr>
        <w:t>, and empirical methods</w:t>
      </w:r>
      <w:r w:rsidRPr="0016620E">
        <w:rPr>
          <w:w w:val="105"/>
        </w:rPr>
        <w:t xml:space="preserve">. </w:t>
      </w:r>
      <w:r w:rsidR="00A86AF6">
        <w:rPr>
          <w:w w:val="105"/>
        </w:rPr>
        <w:t>D</w:t>
      </w:r>
      <w:r w:rsidR="00921AD9" w:rsidRPr="0016620E">
        <w:rPr>
          <w:w w:val="105"/>
        </w:rPr>
        <w:t>etailed r</w:t>
      </w:r>
      <w:r w:rsidR="007E24E1" w:rsidRPr="0016620E">
        <w:rPr>
          <w:w w:val="105"/>
        </w:rPr>
        <w:t xml:space="preserve">esearch </w:t>
      </w:r>
      <w:r w:rsidR="00AB3610">
        <w:rPr>
          <w:w w:val="105"/>
        </w:rPr>
        <w:t>results</w:t>
      </w:r>
      <w:r w:rsidR="00AB3610" w:rsidRPr="0016620E">
        <w:rPr>
          <w:w w:val="105"/>
        </w:rPr>
        <w:t xml:space="preserve"> </w:t>
      </w:r>
      <w:r w:rsidRPr="0016620E">
        <w:rPr>
          <w:w w:val="105"/>
        </w:rPr>
        <w:t xml:space="preserve">are presented </w:t>
      </w:r>
      <w:r w:rsidR="00A67C3A" w:rsidRPr="0016620E">
        <w:rPr>
          <w:w w:val="105"/>
        </w:rPr>
        <w:t xml:space="preserve">in </w:t>
      </w:r>
      <w:r w:rsidR="007E24E1" w:rsidRPr="0016620E">
        <w:rPr>
          <w:w w:val="105"/>
        </w:rPr>
        <w:t xml:space="preserve">Section </w:t>
      </w:r>
      <w:r w:rsidR="00640E79" w:rsidRPr="0016620E">
        <w:rPr>
          <w:w w:val="105"/>
        </w:rPr>
        <w:t>6</w:t>
      </w:r>
      <w:r w:rsidR="00415820">
        <w:rPr>
          <w:w w:val="105"/>
        </w:rPr>
        <w:t>, followed by</w:t>
      </w:r>
      <w:r w:rsidR="00B4536D" w:rsidRPr="0016620E">
        <w:rPr>
          <w:w w:val="105"/>
        </w:rPr>
        <w:t xml:space="preserve"> a discuss</w:t>
      </w:r>
      <w:r w:rsidR="00BD6566">
        <w:rPr>
          <w:w w:val="105"/>
        </w:rPr>
        <w:t>ion</w:t>
      </w:r>
      <w:r w:rsidR="00B4536D" w:rsidRPr="0016620E">
        <w:rPr>
          <w:w w:val="105"/>
        </w:rPr>
        <w:t xml:space="preserve"> of </w:t>
      </w:r>
      <w:r w:rsidR="00415820">
        <w:rPr>
          <w:w w:val="105"/>
        </w:rPr>
        <w:t>the</w:t>
      </w:r>
      <w:r w:rsidR="00B4536D" w:rsidRPr="0016620E">
        <w:rPr>
          <w:w w:val="105"/>
        </w:rPr>
        <w:t xml:space="preserve"> main </w:t>
      </w:r>
      <w:r w:rsidR="00AB3610">
        <w:rPr>
          <w:w w:val="105"/>
        </w:rPr>
        <w:t xml:space="preserve">findings </w:t>
      </w:r>
      <w:r w:rsidR="00415820">
        <w:rPr>
          <w:w w:val="105"/>
        </w:rPr>
        <w:t>in Section 7.</w:t>
      </w:r>
      <w:r w:rsidRPr="0016620E">
        <w:rPr>
          <w:w w:val="105"/>
        </w:rPr>
        <w:t xml:space="preserve"> Section </w:t>
      </w:r>
      <w:r w:rsidR="007E24E1" w:rsidRPr="0016620E">
        <w:rPr>
          <w:w w:val="105"/>
        </w:rPr>
        <w:t xml:space="preserve">8 </w:t>
      </w:r>
      <w:r w:rsidRPr="0016620E">
        <w:rPr>
          <w:w w:val="105"/>
        </w:rPr>
        <w:t>concludes</w:t>
      </w:r>
      <w:r w:rsidR="00AA44CE">
        <w:rPr>
          <w:w w:val="105"/>
        </w:rPr>
        <w:t xml:space="preserve"> the study</w:t>
      </w:r>
      <w:r w:rsidRPr="0016620E">
        <w:rPr>
          <w:w w:val="105"/>
        </w:rPr>
        <w:t xml:space="preserve">. </w:t>
      </w:r>
      <w:r w:rsidR="009D6D47" w:rsidRPr="00537F4A">
        <w:rPr>
          <w:w w:val="105"/>
        </w:rPr>
        <w:br w:type="page"/>
      </w:r>
    </w:p>
    <w:p w14:paraId="5D60D820" w14:textId="77777777" w:rsidR="009D6D47" w:rsidRPr="0016620E" w:rsidRDefault="009D6D47" w:rsidP="00F67E27">
      <w:pPr>
        <w:pStyle w:val="Heading1"/>
      </w:pPr>
      <w:bookmarkStart w:id="13" w:name="_Toc222998764"/>
      <w:r w:rsidRPr="0016620E">
        <w:lastRenderedPageBreak/>
        <w:t>Background</w:t>
      </w:r>
      <w:bookmarkEnd w:id="13"/>
    </w:p>
    <w:p w14:paraId="49EB6DF3" w14:textId="6F82BBCD" w:rsidR="00B60B79" w:rsidRPr="00B60B79" w:rsidRDefault="00643AAF" w:rsidP="00BF48E1">
      <w:pPr>
        <w:rPr>
          <w:w w:val="105"/>
        </w:rPr>
      </w:pPr>
      <w:r w:rsidRPr="00643AAF">
        <w:rPr>
          <w:w w:val="105"/>
        </w:rPr>
        <w:t xml:space="preserve">Much </w:t>
      </w:r>
      <w:r w:rsidR="00B60B79">
        <w:rPr>
          <w:w w:val="105"/>
        </w:rPr>
        <w:t xml:space="preserve">of the </w:t>
      </w:r>
      <w:r w:rsidR="00B60B79" w:rsidRPr="00B60B79">
        <w:rPr>
          <w:w w:val="105"/>
        </w:rPr>
        <w:t xml:space="preserve">Australian research on educational equity has focused on access to higher education and academic achievement, with comparatively less attention paid to how </w:t>
      </w:r>
      <w:r w:rsidR="00B60B79" w:rsidRPr="00BE77EB">
        <w:rPr>
          <w:w w:val="105"/>
        </w:rPr>
        <w:t>field of study</w:t>
      </w:r>
      <w:r w:rsidR="00B60B79" w:rsidRPr="00B60B79">
        <w:rPr>
          <w:w w:val="105"/>
        </w:rPr>
        <w:t xml:space="preserve"> shapes long-term labour market outcomes. Early findings from the Longitudinal Study of Australian Youth (LSAY) indicated that students from low </w:t>
      </w:r>
      <w:r w:rsidR="0097512D">
        <w:rPr>
          <w:w w:val="105"/>
        </w:rPr>
        <w:t>socio-economic</w:t>
      </w:r>
      <w:r w:rsidR="00B60B79" w:rsidRPr="00B60B79">
        <w:rPr>
          <w:w w:val="105"/>
        </w:rPr>
        <w:t xml:space="preserve"> status (SES) backgrounds were significantly less likely to complete university than their more advantaged peers (Lim, 2015). </w:t>
      </w:r>
      <w:proofErr w:type="spellStart"/>
      <w:r w:rsidR="00B60B79" w:rsidRPr="00B60B79">
        <w:rPr>
          <w:w w:val="105"/>
        </w:rPr>
        <w:t>Mahuteau</w:t>
      </w:r>
      <w:proofErr w:type="spellEnd"/>
      <w:r w:rsidR="00B60B79" w:rsidRPr="00B60B79">
        <w:rPr>
          <w:w w:val="105"/>
        </w:rPr>
        <w:t xml:space="preserve"> et al. (2015) identified similar performance gaps between Indigenous and non-Indigenous students at age 15, although these disparities largely disappeared once prior academic ability was accounted for. Other studies present</w:t>
      </w:r>
      <w:r w:rsidR="00C20B29">
        <w:rPr>
          <w:w w:val="105"/>
        </w:rPr>
        <w:t>ed</w:t>
      </w:r>
      <w:r w:rsidR="00B60B79" w:rsidRPr="00B60B79">
        <w:rPr>
          <w:w w:val="105"/>
        </w:rPr>
        <w:t xml:space="preserve"> more mixed results: Win and Miller (2005) and Li and Dockery (2015) found that low SES students sometimes outperformed their high SES peers after controlling for earlier achievement. In contrast, Li et al. (2022) reported that equity group students</w:t>
      </w:r>
      <w:r w:rsidR="00FB58A8">
        <w:rPr>
          <w:w w:val="105"/>
        </w:rPr>
        <w:t xml:space="preserve">, </w:t>
      </w:r>
      <w:r w:rsidR="00B60B79" w:rsidRPr="00B60B79">
        <w:rPr>
          <w:w w:val="105"/>
        </w:rPr>
        <w:t>including those from low SES, Indigenous, or non-English-speaking backgrounds (NESB)</w:t>
      </w:r>
      <w:r w:rsidR="00FB58A8">
        <w:rPr>
          <w:w w:val="105"/>
        </w:rPr>
        <w:t xml:space="preserve">, </w:t>
      </w:r>
      <w:r w:rsidR="00B60B79" w:rsidRPr="00B60B79">
        <w:rPr>
          <w:w w:val="105"/>
        </w:rPr>
        <w:t>continued to experience poorer university outcomes compared to non-equity students.</w:t>
      </w:r>
      <w:r w:rsidR="00FB58A8">
        <w:rPr>
          <w:w w:val="105"/>
        </w:rPr>
        <w:t xml:space="preserve"> Moreover</w:t>
      </w:r>
      <w:r w:rsidR="00FB58A8" w:rsidRPr="00B60B79">
        <w:rPr>
          <w:w w:val="105"/>
        </w:rPr>
        <w:t>, Zając et al. (2024) draw</w:t>
      </w:r>
      <w:r w:rsidR="00222EC8">
        <w:rPr>
          <w:w w:val="105"/>
        </w:rPr>
        <w:t>s</w:t>
      </w:r>
      <w:r w:rsidR="00FB58A8" w:rsidRPr="00B60B79">
        <w:rPr>
          <w:w w:val="105"/>
        </w:rPr>
        <w:t xml:space="preserve"> attention to the role of mental health, noting that disadvantaged students are more likely to experience psychological distress, which is associated with higher attrition and more difficulty accessing and succeeding in high-return fields. These challenges compound existing structural inequalities and further constrain the long-term benefits of higher education for disadvantaged groups.</w:t>
      </w:r>
    </w:p>
    <w:p w14:paraId="1801D13E" w14:textId="4A1E341C" w:rsidR="00B14542" w:rsidRPr="00B60B79" w:rsidRDefault="00B60B79" w:rsidP="00BF48E1">
      <w:pPr>
        <w:rPr>
          <w:w w:val="105"/>
        </w:rPr>
      </w:pPr>
      <w:r w:rsidRPr="00B60B79">
        <w:rPr>
          <w:w w:val="105"/>
        </w:rPr>
        <w:t xml:space="preserve">Complementing these findings, Cobb-Clark and Nguyen (2012), using Youth in Focus survey data linked to administrative records on parental income support, found that 20-year-olds from NESB immigrant families outperformed their ESB and Australian-born peers in Year 12 completion, </w:t>
      </w:r>
      <w:r w:rsidR="005E22FB" w:rsidRPr="005E22FB">
        <w:rPr>
          <w:w w:val="105"/>
        </w:rPr>
        <w:t xml:space="preserve">Australian Tertiary Admission Rank </w:t>
      </w:r>
      <w:r w:rsidR="005E22FB">
        <w:rPr>
          <w:w w:val="105"/>
        </w:rPr>
        <w:t>(</w:t>
      </w:r>
      <w:r w:rsidRPr="00B60B79">
        <w:rPr>
          <w:w w:val="105"/>
        </w:rPr>
        <w:t>ATAR</w:t>
      </w:r>
      <w:r w:rsidR="005E22FB">
        <w:rPr>
          <w:w w:val="105"/>
        </w:rPr>
        <w:t>)</w:t>
      </w:r>
      <w:r w:rsidRPr="00B60B79">
        <w:rPr>
          <w:w w:val="105"/>
        </w:rPr>
        <w:t xml:space="preserve"> scores, and university enrolment. Similarly, Nguyen et al. (2020) reported that NESB children achieved higher NAPLAN </w:t>
      </w:r>
      <w:r w:rsidR="0045145F">
        <w:rPr>
          <w:w w:val="105"/>
        </w:rPr>
        <w:t>(</w:t>
      </w:r>
      <w:r w:rsidR="0045145F" w:rsidRPr="0045145F">
        <w:rPr>
          <w:w w:val="105"/>
        </w:rPr>
        <w:t>National Assessment Program – Literacy and Numeracy</w:t>
      </w:r>
      <w:r w:rsidR="0045145F">
        <w:rPr>
          <w:w w:val="105"/>
        </w:rPr>
        <w:t>)</w:t>
      </w:r>
      <w:r w:rsidR="0045145F" w:rsidRPr="0045145F">
        <w:rPr>
          <w:w w:val="105"/>
        </w:rPr>
        <w:t xml:space="preserve"> </w:t>
      </w:r>
      <w:r w:rsidRPr="00B60B79">
        <w:rPr>
          <w:w w:val="105"/>
        </w:rPr>
        <w:t>scores through Year 9, attributing these gains to greater time spent on education-related activities</w:t>
      </w:r>
      <w:r w:rsidR="00FB58A8">
        <w:rPr>
          <w:w w:val="105"/>
        </w:rPr>
        <w:t xml:space="preserve">, </w:t>
      </w:r>
      <w:r w:rsidRPr="00B60B79">
        <w:rPr>
          <w:w w:val="105"/>
        </w:rPr>
        <w:t>an investment that significantly enhanced academic performance.</w:t>
      </w:r>
      <w:r w:rsidR="00B14542">
        <w:rPr>
          <w:w w:val="105"/>
        </w:rPr>
        <w:t xml:space="preserve"> </w:t>
      </w:r>
    </w:p>
    <w:p w14:paraId="79C50988" w14:textId="28D35CD5" w:rsidR="00B60B79" w:rsidRPr="00B60B79" w:rsidRDefault="00B60B79" w:rsidP="00BF48E1">
      <w:pPr>
        <w:rPr>
          <w:w w:val="105"/>
        </w:rPr>
      </w:pPr>
      <w:r w:rsidRPr="00B60B79">
        <w:rPr>
          <w:w w:val="105"/>
        </w:rPr>
        <w:t xml:space="preserve">However, the translation of academic success into labour market outcomes for equity group students is less consistent. Coates and Edwards (2009) found that although Indigenous graduates initially experienced lower full-time employment rates, these gaps closed within five years. Edwards and Coates (2011) reported minimal early differences by SES, though longer-term tracking revealed slightly lower full-time employment for low SES graduates. Li (2014) found similar overall employment and wage levels for Indigenous and non-Indigenous graduates but noted a pronounced earnings gap at the lower end of the distribution. Follow-up studies by Li et al. (2016, 2017) showed that low SES and regional graduates often had comparable or even better outcomes than their peers, while NESB graduates consistently fared worse. Carroll and Li (2022) </w:t>
      </w:r>
      <w:r w:rsidR="0072055A">
        <w:rPr>
          <w:w w:val="105"/>
        </w:rPr>
        <w:t>report</w:t>
      </w:r>
      <w:r w:rsidRPr="00B60B79">
        <w:rPr>
          <w:w w:val="105"/>
        </w:rPr>
        <w:t>ed that graduates from low SES, NESB, or disability backgrounds were less likely to be employed six months post-graduation but were more likely to pursue further study. Tomaszewski et al. (2021) found that low SES graduates experienced lower occupational status and job security up to five years after graduation, despite similar wages.</w:t>
      </w:r>
    </w:p>
    <w:p w14:paraId="170B99E0" w14:textId="0BE76239" w:rsidR="00B60B79" w:rsidRPr="00B60B79" w:rsidRDefault="00B60B79" w:rsidP="00BF48E1">
      <w:pPr>
        <w:rPr>
          <w:w w:val="105"/>
        </w:rPr>
      </w:pPr>
      <w:r w:rsidRPr="00B60B79">
        <w:rPr>
          <w:w w:val="105"/>
        </w:rPr>
        <w:lastRenderedPageBreak/>
        <w:t>Nguyen et al. (2025) extend</w:t>
      </w:r>
      <w:r w:rsidR="00773F38">
        <w:rPr>
          <w:w w:val="105"/>
        </w:rPr>
        <w:t>ed</w:t>
      </w:r>
      <w:r w:rsidRPr="00B60B79">
        <w:rPr>
          <w:w w:val="105"/>
        </w:rPr>
        <w:t xml:space="preserve"> this literature by linking 2011 Census data to administrative records to track the educational and earnings trajectories of Australian-born children of immigrants. Their analysis </w:t>
      </w:r>
      <w:r w:rsidR="00773F38" w:rsidRPr="00B60B79">
        <w:rPr>
          <w:w w:val="105"/>
        </w:rPr>
        <w:t>show</w:t>
      </w:r>
      <w:r w:rsidR="00773F38">
        <w:rPr>
          <w:w w:val="105"/>
        </w:rPr>
        <w:t>ed</w:t>
      </w:r>
      <w:r w:rsidR="00773F38" w:rsidRPr="00B60B79">
        <w:rPr>
          <w:w w:val="105"/>
        </w:rPr>
        <w:t xml:space="preserve"> </w:t>
      </w:r>
      <w:r w:rsidRPr="00B60B79">
        <w:rPr>
          <w:w w:val="105"/>
        </w:rPr>
        <w:t>that second-generation NESB immigrants</w:t>
      </w:r>
      <w:r w:rsidR="0072055A">
        <w:rPr>
          <w:w w:val="105"/>
        </w:rPr>
        <w:t xml:space="preserve">, </w:t>
      </w:r>
      <w:r w:rsidRPr="00B60B79">
        <w:rPr>
          <w:w w:val="105"/>
        </w:rPr>
        <w:t>particularly those with parents from select Asian countries</w:t>
      </w:r>
      <w:r w:rsidR="0072055A">
        <w:rPr>
          <w:w w:val="105"/>
        </w:rPr>
        <w:t xml:space="preserve">, </w:t>
      </w:r>
      <w:r w:rsidRPr="00B60B79">
        <w:rPr>
          <w:w w:val="105"/>
        </w:rPr>
        <w:t>achieve</w:t>
      </w:r>
      <w:r w:rsidR="00773F38">
        <w:rPr>
          <w:w w:val="105"/>
        </w:rPr>
        <w:t>d</w:t>
      </w:r>
      <w:r w:rsidRPr="00B60B79">
        <w:rPr>
          <w:w w:val="105"/>
        </w:rPr>
        <w:t xml:space="preserve"> strong academic outcomes and </w:t>
      </w:r>
      <w:r w:rsidR="00773F38">
        <w:rPr>
          <w:w w:val="105"/>
        </w:rPr>
        <w:t>were</w:t>
      </w:r>
      <w:r w:rsidR="00773F38" w:rsidRPr="00B60B79">
        <w:rPr>
          <w:w w:val="105"/>
        </w:rPr>
        <w:t xml:space="preserve"> </w:t>
      </w:r>
      <w:r w:rsidRPr="00B60B79">
        <w:rPr>
          <w:w w:val="105"/>
        </w:rPr>
        <w:t>more likely to complete university degrees in high-return fields such as commerce, health, science, and engineering. Although they initially earn</w:t>
      </w:r>
      <w:r w:rsidR="00773F38">
        <w:rPr>
          <w:w w:val="105"/>
        </w:rPr>
        <w:t>ed</w:t>
      </w:r>
      <w:r w:rsidRPr="00B60B79">
        <w:rPr>
          <w:w w:val="105"/>
        </w:rPr>
        <w:t xml:space="preserve"> less than peers with Australian-born parents at ages 21–22, this gap </w:t>
      </w:r>
      <w:r w:rsidR="00773F38" w:rsidRPr="00B60B79">
        <w:rPr>
          <w:w w:val="105"/>
        </w:rPr>
        <w:t>close</w:t>
      </w:r>
      <w:r w:rsidR="00773F38">
        <w:rPr>
          <w:w w:val="105"/>
        </w:rPr>
        <w:t>d</w:t>
      </w:r>
      <w:r w:rsidR="00773F38" w:rsidRPr="00B60B79">
        <w:rPr>
          <w:w w:val="105"/>
        </w:rPr>
        <w:t xml:space="preserve"> </w:t>
      </w:r>
      <w:r w:rsidRPr="00B60B79">
        <w:rPr>
          <w:w w:val="105"/>
        </w:rPr>
        <w:t xml:space="preserve">by 23–24 and </w:t>
      </w:r>
      <w:r w:rsidR="00773F38" w:rsidRPr="00B60B79">
        <w:rPr>
          <w:w w:val="105"/>
        </w:rPr>
        <w:t>reverse</w:t>
      </w:r>
      <w:r w:rsidR="00773F38">
        <w:rPr>
          <w:w w:val="105"/>
        </w:rPr>
        <w:t>d</w:t>
      </w:r>
      <w:r w:rsidR="00773F38" w:rsidRPr="00B60B79">
        <w:rPr>
          <w:w w:val="105"/>
        </w:rPr>
        <w:t xml:space="preserve"> </w:t>
      </w:r>
      <w:r w:rsidRPr="00B60B79">
        <w:rPr>
          <w:w w:val="105"/>
        </w:rPr>
        <w:t>by 26–27, with NESB children out-earning their peers by 28–29. In contrast, children of ESB immigrants exhibit</w:t>
      </w:r>
      <w:r w:rsidR="00773F38">
        <w:rPr>
          <w:w w:val="105"/>
        </w:rPr>
        <w:t>ed</w:t>
      </w:r>
      <w:r w:rsidRPr="00B60B79">
        <w:rPr>
          <w:w w:val="105"/>
        </w:rPr>
        <w:t xml:space="preserve"> weaker academic performance and experience</w:t>
      </w:r>
      <w:r w:rsidR="00773F38">
        <w:rPr>
          <w:w w:val="105"/>
        </w:rPr>
        <w:t>d</w:t>
      </w:r>
      <w:r w:rsidRPr="00B60B79">
        <w:rPr>
          <w:w w:val="105"/>
        </w:rPr>
        <w:t xml:space="preserve"> a growing earnings disadvantage over the same period.</w:t>
      </w:r>
      <w:r w:rsidR="009D4932">
        <w:rPr>
          <w:w w:val="105"/>
        </w:rPr>
        <w:t xml:space="preserve"> Zajac et al. (2023) </w:t>
      </w:r>
      <w:r w:rsidR="00773F38">
        <w:rPr>
          <w:w w:val="105"/>
        </w:rPr>
        <w:t xml:space="preserve">found </w:t>
      </w:r>
      <w:r w:rsidR="009D4932">
        <w:rPr>
          <w:w w:val="105"/>
        </w:rPr>
        <w:t xml:space="preserve">that </w:t>
      </w:r>
      <w:r w:rsidR="00FB58A8">
        <w:rPr>
          <w:w w:val="105"/>
        </w:rPr>
        <w:t>g</w:t>
      </w:r>
      <w:r w:rsidR="009D4932" w:rsidRPr="009D4932">
        <w:rPr>
          <w:w w:val="105"/>
        </w:rPr>
        <w:t>raduates from more advantaged social backgrounds experience</w:t>
      </w:r>
      <w:r w:rsidR="00773F38">
        <w:rPr>
          <w:w w:val="105"/>
        </w:rPr>
        <w:t>d</w:t>
      </w:r>
      <w:r w:rsidR="009D4932" w:rsidRPr="009D4932">
        <w:rPr>
          <w:w w:val="105"/>
        </w:rPr>
        <w:t xml:space="preserve"> stronger income growth and reduced reliance on unemployment benefits over their first ten years compared to those from disadvantaged backgrounds</w:t>
      </w:r>
      <w:r w:rsidR="009D4932">
        <w:rPr>
          <w:w w:val="105"/>
        </w:rPr>
        <w:t xml:space="preserve">. However, there </w:t>
      </w:r>
      <w:r w:rsidR="00773F38">
        <w:rPr>
          <w:w w:val="105"/>
        </w:rPr>
        <w:t xml:space="preserve">was </w:t>
      </w:r>
      <w:r w:rsidR="009D4932">
        <w:rPr>
          <w:w w:val="105"/>
        </w:rPr>
        <w:t>s</w:t>
      </w:r>
      <w:r w:rsidR="009D4932" w:rsidRPr="009D4932">
        <w:rPr>
          <w:w w:val="105"/>
        </w:rPr>
        <w:t>trong heterogeneity in outcomes across disadvantaged groups</w:t>
      </w:r>
      <w:r w:rsidR="009D4932">
        <w:rPr>
          <w:w w:val="105"/>
        </w:rPr>
        <w:t>.</w:t>
      </w:r>
    </w:p>
    <w:p w14:paraId="48951E11" w14:textId="2EAF1152" w:rsidR="009F1407" w:rsidRPr="00B60B79" w:rsidRDefault="00B60B79" w:rsidP="00BF48E1">
      <w:pPr>
        <w:rPr>
          <w:w w:val="105"/>
        </w:rPr>
      </w:pPr>
      <w:r w:rsidRPr="00B60B79">
        <w:rPr>
          <w:w w:val="105"/>
        </w:rPr>
        <w:t>Despite the richness of these findings, most studies fail to account for field of study</w:t>
      </w:r>
      <w:r w:rsidR="0072055A">
        <w:rPr>
          <w:w w:val="105"/>
        </w:rPr>
        <w:t xml:space="preserve">, an important </w:t>
      </w:r>
      <w:r w:rsidRPr="00B60B79">
        <w:rPr>
          <w:w w:val="105"/>
        </w:rPr>
        <w:t>mechanism through which social background</w:t>
      </w:r>
      <w:r w:rsidR="00FB58A8">
        <w:rPr>
          <w:w w:val="105"/>
        </w:rPr>
        <w:t>s</w:t>
      </w:r>
      <w:r w:rsidRPr="00B60B79">
        <w:rPr>
          <w:w w:val="105"/>
        </w:rPr>
        <w:t xml:space="preserve"> shape labour market outcomes. Australian estimates suggest</w:t>
      </w:r>
      <w:r w:rsidR="00A80D81">
        <w:rPr>
          <w:w w:val="105"/>
        </w:rPr>
        <w:t>ed</w:t>
      </w:r>
      <w:r w:rsidRPr="00B60B79">
        <w:rPr>
          <w:w w:val="105"/>
        </w:rPr>
        <w:t xml:space="preserve"> that field of study </w:t>
      </w:r>
      <w:r w:rsidR="00773F38" w:rsidRPr="00B60B79">
        <w:rPr>
          <w:w w:val="105"/>
        </w:rPr>
        <w:t>explain</w:t>
      </w:r>
      <w:r w:rsidR="00773F38">
        <w:rPr>
          <w:w w:val="105"/>
        </w:rPr>
        <w:t>ed</w:t>
      </w:r>
      <w:r w:rsidR="00773F38" w:rsidRPr="00B60B79">
        <w:rPr>
          <w:w w:val="105"/>
        </w:rPr>
        <w:t xml:space="preserve"> </w:t>
      </w:r>
      <w:r w:rsidRPr="00B60B79">
        <w:rPr>
          <w:w w:val="105"/>
        </w:rPr>
        <w:t xml:space="preserve">approximately 12% of the variation in graduate earnings, exceeding the impact of university attended (Koshy et al., 2016). </w:t>
      </w:r>
      <w:r w:rsidR="009F1407" w:rsidRPr="00B60B79">
        <w:rPr>
          <w:w w:val="105"/>
        </w:rPr>
        <w:t>If students from advantaged backgrounds disproportionately enrol in high-return fields, intergenerational inequality may be reproduced. Conversely, if disadvantaged students deliberately select such fields as a strategic response to limited opportunities</w:t>
      </w:r>
      <w:r w:rsidR="00FB58A8">
        <w:rPr>
          <w:w w:val="105"/>
        </w:rPr>
        <w:t>,</w:t>
      </w:r>
      <w:r w:rsidR="009F1407" w:rsidRPr="00B60B79">
        <w:rPr>
          <w:w w:val="105"/>
        </w:rPr>
        <w:t xml:space="preserve"> their observed labour market outcomes may already reflect these compensatory efforts. In either case, neglecting field of study risks obscuring the full extent of social stratification in post-university outcomes.</w:t>
      </w:r>
    </w:p>
    <w:p w14:paraId="331AD668" w14:textId="6FCE1E75" w:rsidR="00B60B79" w:rsidRPr="00B60B79" w:rsidRDefault="0072055A" w:rsidP="00BF48E1">
      <w:pPr>
        <w:rPr>
          <w:w w:val="105"/>
        </w:rPr>
      </w:pPr>
      <w:r>
        <w:rPr>
          <w:w w:val="105"/>
        </w:rPr>
        <w:t xml:space="preserve">There is </w:t>
      </w:r>
      <w:r w:rsidR="00B60B79" w:rsidRPr="00B60B79">
        <w:rPr>
          <w:w w:val="105"/>
        </w:rPr>
        <w:t xml:space="preserve">international evidence </w:t>
      </w:r>
      <w:r>
        <w:rPr>
          <w:w w:val="105"/>
        </w:rPr>
        <w:t xml:space="preserve">showing </w:t>
      </w:r>
      <w:r w:rsidR="00B60B79" w:rsidRPr="00B60B79">
        <w:rPr>
          <w:w w:val="105"/>
        </w:rPr>
        <w:t xml:space="preserve">that field-of-study choices are stratified by </w:t>
      </w:r>
      <w:r w:rsidR="0097512D">
        <w:rPr>
          <w:w w:val="105"/>
        </w:rPr>
        <w:t>socio-economic</w:t>
      </w:r>
      <w:r w:rsidR="00B60B79" w:rsidRPr="00B60B79">
        <w:rPr>
          <w:w w:val="105"/>
        </w:rPr>
        <w:t xml:space="preserve"> origin. In the U</w:t>
      </w:r>
      <w:r w:rsidR="00811DCA">
        <w:rPr>
          <w:w w:val="105"/>
        </w:rPr>
        <w:t>nited States of America</w:t>
      </w:r>
      <w:r w:rsidR="00B60B79" w:rsidRPr="00B60B79">
        <w:rPr>
          <w:w w:val="105"/>
        </w:rPr>
        <w:t xml:space="preserve">, Goyette and Mullen (2006) found that low SES students were more likely to choose vocational majors, while higher SES peers favoured arts and sciences. Ma (2009) reported similar patterns, with disadvantaged students favouring career-oriented fields such as health, business, or technical studies, and avoiding the humanities. Conversely, Niu (2017) found that low SES students were underrepresented in </w:t>
      </w:r>
      <w:r w:rsidR="00811DCA" w:rsidRPr="00811DCA">
        <w:rPr>
          <w:w w:val="105"/>
        </w:rPr>
        <w:t xml:space="preserve">Science, Technology, Engineering, and Mathematics </w:t>
      </w:r>
      <w:r w:rsidR="00811DCA">
        <w:rPr>
          <w:w w:val="105"/>
        </w:rPr>
        <w:t>(</w:t>
      </w:r>
      <w:r w:rsidR="00B60B79" w:rsidRPr="00B60B79">
        <w:rPr>
          <w:w w:val="105"/>
        </w:rPr>
        <w:t>STEM</w:t>
      </w:r>
      <w:r w:rsidR="00811DCA">
        <w:rPr>
          <w:w w:val="105"/>
        </w:rPr>
        <w:t>)</w:t>
      </w:r>
      <w:r w:rsidR="00B60B79" w:rsidRPr="00B60B79">
        <w:rPr>
          <w:w w:val="105"/>
        </w:rPr>
        <w:t xml:space="preserve"> fields and that native English speakers were more likely to enrol in STEM, while family immigration background had no clear effect. In Italy, </w:t>
      </w:r>
      <w:proofErr w:type="spellStart"/>
      <w:r w:rsidR="00B60B79" w:rsidRPr="00B60B79">
        <w:rPr>
          <w:w w:val="105"/>
        </w:rPr>
        <w:t>Triventi</w:t>
      </w:r>
      <w:proofErr w:type="spellEnd"/>
      <w:r w:rsidR="00B60B79" w:rsidRPr="00B60B79">
        <w:rPr>
          <w:w w:val="105"/>
        </w:rPr>
        <w:t xml:space="preserve"> et al. (2017) observed that </w:t>
      </w:r>
      <w:r w:rsidR="0097512D">
        <w:rPr>
          <w:w w:val="105"/>
        </w:rPr>
        <w:t>socio-economic</w:t>
      </w:r>
      <w:r w:rsidR="00B60B79" w:rsidRPr="00B60B79">
        <w:rPr>
          <w:w w:val="105"/>
        </w:rPr>
        <w:t>ally advantaged students disproportionately enrolled in elite fields associated with upper-class occupations.</w:t>
      </w:r>
    </w:p>
    <w:p w14:paraId="27A017D1" w14:textId="3AF5E771" w:rsidR="00B60B79" w:rsidRPr="00B60B79" w:rsidRDefault="00B60B79" w:rsidP="00BF48E1">
      <w:pPr>
        <w:rPr>
          <w:w w:val="105"/>
        </w:rPr>
      </w:pPr>
      <w:r w:rsidRPr="00B60B79">
        <w:rPr>
          <w:w w:val="105"/>
        </w:rPr>
        <w:t>Australian evidence on social stratification in field-of-study selection is more limited but growing. Fullarton and Ainley (2000) found that Year 12 students from low SES backgrounds were less likely to choose mathematics, science, or languages and more likely to select arts, technology, or health and physical education. More recently, Livermore and Major (2021) showed that students from higher SES backgrounds were more likely to choose economics, even after controlling for subject perceptions. These patterns are consequential given the well-established link between field of study and graduate earnings and career trajectories</w:t>
      </w:r>
      <w:r w:rsidR="00A80D81">
        <w:rPr>
          <w:w w:val="105"/>
        </w:rPr>
        <w:t xml:space="preserve"> </w:t>
      </w:r>
      <w:r w:rsidR="00A80D81" w:rsidRPr="00B60B79">
        <w:rPr>
          <w:w w:val="105"/>
        </w:rPr>
        <w:t>(Koshy et al., 2016</w:t>
      </w:r>
      <w:r w:rsidR="00DE018F">
        <w:rPr>
          <w:w w:val="105"/>
        </w:rPr>
        <w:t xml:space="preserve">; </w:t>
      </w:r>
      <w:r w:rsidR="00DE018F" w:rsidRPr="00DE018F">
        <w:rPr>
          <w:w w:val="105"/>
        </w:rPr>
        <w:t>Hägglund</w:t>
      </w:r>
      <w:r w:rsidR="00DE018F">
        <w:rPr>
          <w:w w:val="105"/>
        </w:rPr>
        <w:t>, 2024</w:t>
      </w:r>
      <w:r w:rsidR="00A80D81" w:rsidRPr="00B60B79">
        <w:rPr>
          <w:w w:val="105"/>
        </w:rPr>
        <w:t>)</w:t>
      </w:r>
      <w:r w:rsidRPr="00B60B79">
        <w:rPr>
          <w:w w:val="105"/>
        </w:rPr>
        <w:t xml:space="preserve">. </w:t>
      </w:r>
    </w:p>
    <w:p w14:paraId="43BE8411" w14:textId="4FF89AB7" w:rsidR="00B60B79" w:rsidRPr="00B60B79" w:rsidRDefault="00B60B79" w:rsidP="00BF48E1">
      <w:pPr>
        <w:rPr>
          <w:w w:val="105"/>
        </w:rPr>
      </w:pPr>
      <w:r w:rsidRPr="00B60B79">
        <w:rPr>
          <w:w w:val="105"/>
        </w:rPr>
        <w:t>Recent research has begun to examine the intersection of childhood disadvantage</w:t>
      </w:r>
      <w:r w:rsidR="00773F38">
        <w:rPr>
          <w:w w:val="105"/>
        </w:rPr>
        <w:t>s</w:t>
      </w:r>
      <w:r w:rsidRPr="00B60B79">
        <w:rPr>
          <w:w w:val="105"/>
        </w:rPr>
        <w:t>, field of study, and labour market trajectories. Tomaszewski et al. (2018, 2020) use</w:t>
      </w:r>
      <w:r w:rsidR="009C4755">
        <w:rPr>
          <w:w w:val="105"/>
        </w:rPr>
        <w:t>d</w:t>
      </w:r>
      <w:r w:rsidRPr="00B60B79">
        <w:rPr>
          <w:w w:val="105"/>
        </w:rPr>
        <w:t xml:space="preserve"> Australian data to show that low SES, Indigenous, and NESB students </w:t>
      </w:r>
      <w:r w:rsidR="00773F38">
        <w:rPr>
          <w:w w:val="105"/>
        </w:rPr>
        <w:t>we</w:t>
      </w:r>
      <w:r w:rsidR="00773F38" w:rsidRPr="00B60B79">
        <w:rPr>
          <w:w w:val="105"/>
        </w:rPr>
        <w:t xml:space="preserve">re </w:t>
      </w:r>
      <w:r w:rsidRPr="00B60B79">
        <w:rPr>
          <w:w w:val="105"/>
        </w:rPr>
        <w:lastRenderedPageBreak/>
        <w:t>underrepresented in high-return disciplines such as STEM, law, and commerce and overrepresented in lower-return fields. These disparities persist</w:t>
      </w:r>
      <w:r w:rsidR="00773F38">
        <w:rPr>
          <w:w w:val="105"/>
        </w:rPr>
        <w:t>ed</w:t>
      </w:r>
      <w:r w:rsidRPr="00B60B79">
        <w:rPr>
          <w:w w:val="105"/>
        </w:rPr>
        <w:t xml:space="preserve"> even after controlling for academic performance, pointing to unequal access to information, social capital, career guidance, and financial resources. Further work by Tomaszewski et al. (2019) and Zając et al. (2023) highlight</w:t>
      </w:r>
      <w:r w:rsidR="009C4755">
        <w:rPr>
          <w:w w:val="105"/>
        </w:rPr>
        <w:t>ed</w:t>
      </w:r>
      <w:r w:rsidRPr="00B60B79">
        <w:rPr>
          <w:w w:val="105"/>
        </w:rPr>
        <w:t xml:space="preserve"> that disadvantaged students continue</w:t>
      </w:r>
      <w:r w:rsidR="00773F38">
        <w:rPr>
          <w:w w:val="105"/>
        </w:rPr>
        <w:t>d</w:t>
      </w:r>
      <w:r w:rsidRPr="00B60B79">
        <w:rPr>
          <w:w w:val="105"/>
        </w:rPr>
        <w:t xml:space="preserve"> to face divergent labour market trajectories even after graduation and despite holding comparable qualifications. This reinforces the role of field of study as a key axis of stratification</w:t>
      </w:r>
      <w:r w:rsidR="009C4755">
        <w:rPr>
          <w:w w:val="105"/>
        </w:rPr>
        <w:t xml:space="preserve">, </w:t>
      </w:r>
      <w:r w:rsidRPr="00B60B79">
        <w:rPr>
          <w:w w:val="105"/>
        </w:rPr>
        <w:t xml:space="preserve">one that </w:t>
      </w:r>
      <w:r w:rsidR="00773F38">
        <w:rPr>
          <w:w w:val="105"/>
        </w:rPr>
        <w:t>could</w:t>
      </w:r>
      <w:r w:rsidR="00773F38" w:rsidRPr="00B60B79">
        <w:rPr>
          <w:w w:val="105"/>
        </w:rPr>
        <w:t xml:space="preserve"> </w:t>
      </w:r>
      <w:r w:rsidRPr="00B60B79">
        <w:rPr>
          <w:w w:val="105"/>
        </w:rPr>
        <w:t>either reinforce or reduce early-life disadvantage.</w:t>
      </w:r>
      <w:r w:rsidR="0082496F" w:rsidRPr="0082496F">
        <w:rPr>
          <w:w w:val="105"/>
        </w:rPr>
        <w:t xml:space="preserve"> </w:t>
      </w:r>
      <w:r w:rsidR="00B33975">
        <w:rPr>
          <w:w w:val="105"/>
        </w:rPr>
        <w:t xml:space="preserve">Moreover, </w:t>
      </w:r>
      <w:r w:rsidR="00B33975" w:rsidRPr="00B33975">
        <w:rPr>
          <w:w w:val="105"/>
        </w:rPr>
        <w:t>Duta et al. (2021) found that graduates from lower social-class origins</w:t>
      </w:r>
      <w:r w:rsidR="00487ADF">
        <w:rPr>
          <w:w w:val="105"/>
        </w:rPr>
        <w:t xml:space="preserve"> </w:t>
      </w:r>
      <w:r w:rsidR="00811DCA">
        <w:rPr>
          <w:w w:val="105"/>
        </w:rPr>
        <w:t>who</w:t>
      </w:r>
      <w:r w:rsidR="00B33975" w:rsidRPr="00B33975">
        <w:rPr>
          <w:w w:val="105"/>
        </w:rPr>
        <w:t xml:space="preserve"> tend</w:t>
      </w:r>
      <w:r w:rsidR="00773F38">
        <w:rPr>
          <w:w w:val="105"/>
        </w:rPr>
        <w:t>ed</w:t>
      </w:r>
      <w:r w:rsidR="00B33975" w:rsidRPr="00B33975">
        <w:rPr>
          <w:w w:val="105"/>
        </w:rPr>
        <w:t xml:space="preserve"> to follow more diverse and unstable career trajectories </w:t>
      </w:r>
      <w:r w:rsidR="00773F38">
        <w:rPr>
          <w:w w:val="105"/>
        </w:rPr>
        <w:t>were</w:t>
      </w:r>
      <w:r w:rsidR="00773F38" w:rsidRPr="00B33975">
        <w:rPr>
          <w:w w:val="105"/>
        </w:rPr>
        <w:t xml:space="preserve"> </w:t>
      </w:r>
      <w:r w:rsidR="00B33975" w:rsidRPr="00B33975">
        <w:rPr>
          <w:w w:val="105"/>
        </w:rPr>
        <w:t xml:space="preserve">less likely to access top-level occupations in their </w:t>
      </w:r>
      <w:r w:rsidR="006261EE" w:rsidRPr="00B33975">
        <w:rPr>
          <w:w w:val="105"/>
        </w:rPr>
        <w:t>twenties and</w:t>
      </w:r>
      <w:r w:rsidR="00B33975" w:rsidRPr="00B33975">
        <w:rPr>
          <w:w w:val="105"/>
        </w:rPr>
        <w:t xml:space="preserve"> </w:t>
      </w:r>
      <w:r w:rsidR="00773F38">
        <w:rPr>
          <w:w w:val="105"/>
        </w:rPr>
        <w:t>were</w:t>
      </w:r>
      <w:r w:rsidR="00773F38" w:rsidRPr="00B33975">
        <w:rPr>
          <w:w w:val="105"/>
        </w:rPr>
        <w:t xml:space="preserve"> </w:t>
      </w:r>
      <w:r w:rsidR="00B33975" w:rsidRPr="00B33975">
        <w:rPr>
          <w:w w:val="105"/>
        </w:rPr>
        <w:t>more likely to enter and remain in lower-status positions compared to their more advantaged peers. Differences in degree class, field of study, and university type</w:t>
      </w:r>
      <w:r w:rsidR="00FB58A8">
        <w:rPr>
          <w:w w:val="105"/>
        </w:rPr>
        <w:t xml:space="preserve"> only partly</w:t>
      </w:r>
      <w:r w:rsidR="00B33975" w:rsidRPr="00B33975">
        <w:rPr>
          <w:w w:val="105"/>
        </w:rPr>
        <w:t xml:space="preserve"> explain</w:t>
      </w:r>
      <w:r w:rsidR="00773F38">
        <w:rPr>
          <w:w w:val="105"/>
        </w:rPr>
        <w:t>ed</w:t>
      </w:r>
      <w:r w:rsidR="00B33975" w:rsidRPr="00B33975">
        <w:rPr>
          <w:w w:val="105"/>
        </w:rPr>
        <w:t xml:space="preserve"> these disparities.</w:t>
      </w:r>
    </w:p>
    <w:p w14:paraId="55F7FD50" w14:textId="01B4DFC7" w:rsidR="00DA7D4B" w:rsidRDefault="00B60B79" w:rsidP="00BF48E1">
      <w:pPr>
        <w:rPr>
          <w:w w:val="105"/>
        </w:rPr>
      </w:pPr>
      <w:r w:rsidRPr="00B60B79">
        <w:rPr>
          <w:w w:val="105"/>
        </w:rPr>
        <w:t>Nguyen et al. (2025) further note</w:t>
      </w:r>
      <w:r w:rsidR="009C4755">
        <w:rPr>
          <w:w w:val="105"/>
        </w:rPr>
        <w:t>d</w:t>
      </w:r>
      <w:r w:rsidRPr="00B60B79">
        <w:rPr>
          <w:w w:val="105"/>
        </w:rPr>
        <w:t xml:space="preserve"> that </w:t>
      </w:r>
      <w:r w:rsidR="00B33724" w:rsidRPr="00B33724">
        <w:rPr>
          <w:w w:val="105"/>
        </w:rPr>
        <w:t xml:space="preserve">compared to children of Australian-born parents, children of </w:t>
      </w:r>
      <w:r w:rsidR="006F021E">
        <w:rPr>
          <w:w w:val="105"/>
        </w:rPr>
        <w:t>N</w:t>
      </w:r>
      <w:r w:rsidR="00B33724" w:rsidRPr="00B33724">
        <w:rPr>
          <w:w w:val="105"/>
        </w:rPr>
        <w:t xml:space="preserve">ESB </w:t>
      </w:r>
      <w:r w:rsidR="006F021E">
        <w:rPr>
          <w:w w:val="105"/>
        </w:rPr>
        <w:t xml:space="preserve">immigrant </w:t>
      </w:r>
      <w:r w:rsidR="00B33724" w:rsidRPr="00B33724">
        <w:rPr>
          <w:w w:val="105"/>
        </w:rPr>
        <w:t>parents exhibit</w:t>
      </w:r>
      <w:r w:rsidR="00773F38">
        <w:rPr>
          <w:w w:val="105"/>
        </w:rPr>
        <w:t>ed</w:t>
      </w:r>
      <w:r w:rsidR="00B33724" w:rsidRPr="00B33724">
        <w:rPr>
          <w:w w:val="105"/>
        </w:rPr>
        <w:t xml:space="preserve"> distinct educational patterns</w:t>
      </w:r>
      <w:r w:rsidRPr="00B60B79">
        <w:rPr>
          <w:w w:val="105"/>
        </w:rPr>
        <w:t xml:space="preserve">, underscoring the importance of examining not just university access but also the specific fields students enter. </w:t>
      </w:r>
      <w:r w:rsidR="00A07638">
        <w:rPr>
          <w:w w:val="105"/>
        </w:rPr>
        <w:t xml:space="preserve">Using data from Poland, </w:t>
      </w:r>
      <w:r w:rsidRPr="00B60B79">
        <w:rPr>
          <w:w w:val="105"/>
        </w:rPr>
        <w:t>Zając et al. (2023) show</w:t>
      </w:r>
      <w:r w:rsidR="009C4755">
        <w:rPr>
          <w:w w:val="105"/>
        </w:rPr>
        <w:t>ed</w:t>
      </w:r>
      <w:r w:rsidRPr="00B60B79">
        <w:rPr>
          <w:w w:val="105"/>
        </w:rPr>
        <w:t xml:space="preserve"> that not all STEM degrees yield strong economic returns, particularly for students from disadvantaged backgrounds. Moreover, Zając et al. (2025) document</w:t>
      </w:r>
      <w:r w:rsidR="009C4755">
        <w:rPr>
          <w:w w:val="105"/>
        </w:rPr>
        <w:t>ed</w:t>
      </w:r>
      <w:r w:rsidRPr="00B60B79">
        <w:rPr>
          <w:w w:val="105"/>
        </w:rPr>
        <w:t xml:space="preserve"> persistent gender pay gaps within STEM fields</w:t>
      </w:r>
      <w:r w:rsidR="006A74C6">
        <w:rPr>
          <w:w w:val="105"/>
        </w:rPr>
        <w:t xml:space="preserve"> in Poland</w:t>
      </w:r>
      <w:r w:rsidRPr="00B60B79">
        <w:rPr>
          <w:w w:val="105"/>
        </w:rPr>
        <w:t xml:space="preserve">, reinforcing the importance of intersectional analyses that consider gender alongside </w:t>
      </w:r>
      <w:r w:rsidR="0097512D">
        <w:rPr>
          <w:w w:val="105"/>
        </w:rPr>
        <w:t>socio-economic</w:t>
      </w:r>
      <w:r w:rsidRPr="00B60B79">
        <w:rPr>
          <w:w w:val="105"/>
        </w:rPr>
        <w:t xml:space="preserve"> and cultural background.</w:t>
      </w:r>
      <w:r w:rsidR="00B14542">
        <w:rPr>
          <w:w w:val="105"/>
        </w:rPr>
        <w:t xml:space="preserve"> </w:t>
      </w:r>
      <w:r w:rsidRPr="00B60B79">
        <w:rPr>
          <w:w w:val="105"/>
        </w:rPr>
        <w:t xml:space="preserve">Additional complexities arise when considering postgraduate education. Tani (2022) </w:t>
      </w:r>
      <w:r w:rsidR="009C4755">
        <w:rPr>
          <w:w w:val="105"/>
        </w:rPr>
        <w:t>found</w:t>
      </w:r>
      <w:r w:rsidRPr="00B60B79">
        <w:rPr>
          <w:w w:val="105"/>
        </w:rPr>
        <w:t xml:space="preserve"> that NESB PhD graduates in STEM </w:t>
      </w:r>
      <w:r w:rsidR="00773F38">
        <w:rPr>
          <w:w w:val="105"/>
        </w:rPr>
        <w:t>were</w:t>
      </w:r>
      <w:r w:rsidR="00773F38" w:rsidRPr="00B60B79">
        <w:rPr>
          <w:w w:val="105"/>
        </w:rPr>
        <w:t xml:space="preserve"> </w:t>
      </w:r>
      <w:r w:rsidRPr="00B60B79">
        <w:rPr>
          <w:w w:val="105"/>
        </w:rPr>
        <w:t xml:space="preserve">less likely to receive a wage premium unless they are native English speakers, suggesting persistent employer biases linked to linguistic background. </w:t>
      </w:r>
    </w:p>
    <w:p w14:paraId="59BDB87C" w14:textId="7CBBAD8B" w:rsidR="00DA7D4B" w:rsidRDefault="009B0D79" w:rsidP="00BF48E1">
      <w:pPr>
        <w:rPr>
          <w:w w:val="105"/>
        </w:rPr>
      </w:pPr>
      <w:r>
        <w:rPr>
          <w:w w:val="105"/>
        </w:rPr>
        <w:t>W</w:t>
      </w:r>
      <w:r w:rsidRPr="00A20A21">
        <w:rPr>
          <w:w w:val="105"/>
        </w:rPr>
        <w:t>ithin Australian equity research</w:t>
      </w:r>
      <w:r>
        <w:rPr>
          <w:w w:val="105"/>
        </w:rPr>
        <w:t>, f</w:t>
      </w:r>
      <w:r w:rsidR="00A20A21" w:rsidRPr="00A20A21">
        <w:rPr>
          <w:w w:val="105"/>
        </w:rPr>
        <w:t xml:space="preserve">ield of study is </w:t>
      </w:r>
      <w:r w:rsidR="00FB58A8">
        <w:rPr>
          <w:w w:val="105"/>
        </w:rPr>
        <w:t>a significant</w:t>
      </w:r>
      <w:r w:rsidR="00A20A21" w:rsidRPr="00A20A21">
        <w:rPr>
          <w:w w:val="105"/>
        </w:rPr>
        <w:t xml:space="preserve"> </w:t>
      </w:r>
      <w:r w:rsidR="00FB58A8">
        <w:rPr>
          <w:w w:val="105"/>
        </w:rPr>
        <w:t>but under-studied</w:t>
      </w:r>
      <w:r w:rsidR="00A20A21" w:rsidRPr="00A20A21">
        <w:rPr>
          <w:w w:val="105"/>
        </w:rPr>
        <w:t xml:space="preserve"> factor in shaping graduate earnings and job quality. If students from disadvantaged backgrounds are disproportionately channelled into lower-return disciplines, the expansion of higher education may inadvertently reinforce, rather than reduce, existing social inequalities. Importantly, students from disadvantaged backgrounds are not a homogeneous group</w:t>
      </w:r>
      <w:r w:rsidR="00FB58A8">
        <w:rPr>
          <w:w w:val="105"/>
        </w:rPr>
        <w:t xml:space="preserve">, so their </w:t>
      </w:r>
      <w:r w:rsidR="00A20A21" w:rsidRPr="00A20A21">
        <w:rPr>
          <w:w w:val="105"/>
        </w:rPr>
        <w:t>labour market outcomes</w:t>
      </w:r>
      <w:r w:rsidR="00FB58A8">
        <w:rPr>
          <w:w w:val="105"/>
        </w:rPr>
        <w:t xml:space="preserve"> may</w:t>
      </w:r>
      <w:r w:rsidR="00A20A21" w:rsidRPr="00A20A21">
        <w:rPr>
          <w:w w:val="105"/>
        </w:rPr>
        <w:t xml:space="preserve"> vary significantly across dimensions such as </w:t>
      </w:r>
      <w:r w:rsidR="0097512D">
        <w:rPr>
          <w:w w:val="105"/>
        </w:rPr>
        <w:t>socio-economic</w:t>
      </w:r>
      <w:r w:rsidR="00A20A21" w:rsidRPr="00A20A21">
        <w:rPr>
          <w:w w:val="105"/>
        </w:rPr>
        <w:t xml:space="preserve"> status, Indigenous identity, and language background. Ignoring these differential effects risks leading to poorly targeted or ineffective policy interventions. Drawing on nationally representative data from the HILDA Survey, this study investigates how multidimensional aspects of </w:t>
      </w:r>
      <w:r w:rsidR="0097512D">
        <w:rPr>
          <w:w w:val="105"/>
        </w:rPr>
        <w:t>socio-economic</w:t>
      </w:r>
      <w:r w:rsidR="00A20A21" w:rsidRPr="00A20A21">
        <w:rPr>
          <w:w w:val="105"/>
        </w:rPr>
        <w:t xml:space="preserve"> background</w:t>
      </w:r>
      <w:r w:rsidR="00773F38">
        <w:rPr>
          <w:w w:val="105"/>
        </w:rPr>
        <w:t>s</w:t>
      </w:r>
      <w:r w:rsidR="00A20A21" w:rsidRPr="00A20A21">
        <w:rPr>
          <w:w w:val="105"/>
        </w:rPr>
        <w:t xml:space="preserve"> influence university field</w:t>
      </w:r>
      <w:r w:rsidR="00FB58A8">
        <w:rPr>
          <w:w w:val="105"/>
        </w:rPr>
        <w:t>-</w:t>
      </w:r>
      <w:r w:rsidR="00A20A21" w:rsidRPr="00A20A21">
        <w:rPr>
          <w:w w:val="105"/>
        </w:rPr>
        <w:t>of</w:t>
      </w:r>
      <w:r w:rsidR="00FB58A8">
        <w:rPr>
          <w:w w:val="105"/>
        </w:rPr>
        <w:t>-</w:t>
      </w:r>
      <w:r w:rsidR="00A20A21" w:rsidRPr="00A20A21">
        <w:rPr>
          <w:w w:val="105"/>
        </w:rPr>
        <w:t>study choices and, in turn, shape post-university labour market outcomes in Australia.</w:t>
      </w:r>
    </w:p>
    <w:p w14:paraId="67503849" w14:textId="0718E781" w:rsidR="009D6D47" w:rsidRPr="0016620E" w:rsidRDefault="009D6D47" w:rsidP="00BE77EB">
      <w:pPr>
        <w:spacing w:line="240" w:lineRule="auto"/>
      </w:pPr>
      <w:r w:rsidRPr="0016620E">
        <w:br w:type="page"/>
      </w:r>
    </w:p>
    <w:p w14:paraId="0B8C419B" w14:textId="77777777" w:rsidR="009D6D47" w:rsidRPr="0016620E" w:rsidRDefault="009D6D47" w:rsidP="00F67E27">
      <w:pPr>
        <w:pStyle w:val="Heading1"/>
      </w:pPr>
      <w:bookmarkStart w:id="14" w:name="_Toc222998765"/>
      <w:r w:rsidRPr="0016620E">
        <w:lastRenderedPageBreak/>
        <w:t>Methods</w:t>
      </w:r>
      <w:bookmarkEnd w:id="14"/>
    </w:p>
    <w:p w14:paraId="4DAE6139" w14:textId="4BE5321D" w:rsidR="007B348A" w:rsidRPr="0016620E" w:rsidRDefault="00F11A46" w:rsidP="00F67E27">
      <w:pPr>
        <w:pStyle w:val="Heading2"/>
      </w:pPr>
      <w:bookmarkStart w:id="15" w:name="_Toc222998766"/>
      <w:r>
        <w:t>Analytical sample</w:t>
      </w:r>
      <w:bookmarkEnd w:id="15"/>
    </w:p>
    <w:p w14:paraId="66C2B77D" w14:textId="5FDF62BB" w:rsidR="0041325A" w:rsidRDefault="00544132" w:rsidP="00811DCA">
      <w:pPr>
        <w:rPr>
          <w:w w:val="105"/>
        </w:rPr>
      </w:pPr>
      <w:r w:rsidRPr="0016620E">
        <w:rPr>
          <w:w w:val="105"/>
        </w:rPr>
        <w:t xml:space="preserve">This report uses data </w:t>
      </w:r>
      <w:r>
        <w:rPr>
          <w:w w:val="105"/>
        </w:rPr>
        <w:t xml:space="preserve">from </w:t>
      </w:r>
      <w:r w:rsidR="0041325A">
        <w:rPr>
          <w:w w:val="105"/>
        </w:rPr>
        <w:t>the</w:t>
      </w:r>
      <w:r w:rsidRPr="0016620E">
        <w:rPr>
          <w:w w:val="105"/>
        </w:rPr>
        <w:t xml:space="preserve"> HILDA </w:t>
      </w:r>
      <w:r w:rsidR="00881638">
        <w:rPr>
          <w:w w:val="105"/>
        </w:rPr>
        <w:t>S</w:t>
      </w:r>
      <w:r w:rsidR="00881638" w:rsidRPr="0016620E">
        <w:rPr>
          <w:w w:val="105"/>
        </w:rPr>
        <w:t>urvey</w:t>
      </w:r>
      <w:r w:rsidRPr="0016620E">
        <w:rPr>
          <w:w w:val="105"/>
        </w:rPr>
        <w:t xml:space="preserve">, </w:t>
      </w:r>
      <w:r w:rsidR="0041325A">
        <w:rPr>
          <w:w w:val="105"/>
        </w:rPr>
        <w:t xml:space="preserve">which is </w:t>
      </w:r>
      <w:r>
        <w:rPr>
          <w:w w:val="105"/>
        </w:rPr>
        <w:t>a</w:t>
      </w:r>
      <w:r w:rsidRPr="0016620E">
        <w:rPr>
          <w:w w:val="105"/>
        </w:rPr>
        <w:t xml:space="preserve">n annual panel survey </w:t>
      </w:r>
      <w:r>
        <w:rPr>
          <w:w w:val="105"/>
        </w:rPr>
        <w:t xml:space="preserve">of Australian households </w:t>
      </w:r>
      <w:r w:rsidR="00855C8A">
        <w:rPr>
          <w:w w:val="105"/>
        </w:rPr>
        <w:t>launched</w:t>
      </w:r>
      <w:r w:rsidR="00F4109B" w:rsidRPr="00F4109B">
        <w:rPr>
          <w:w w:val="105"/>
        </w:rPr>
        <w:t xml:space="preserve"> in 2001</w:t>
      </w:r>
      <w:r w:rsidRPr="0016620E">
        <w:rPr>
          <w:w w:val="105"/>
        </w:rPr>
        <w:t>.</w:t>
      </w:r>
      <w:r w:rsidR="00DD2326">
        <w:rPr>
          <w:rStyle w:val="FootnoteReference"/>
          <w:w w:val="105"/>
        </w:rPr>
        <w:footnoteReference w:id="3"/>
      </w:r>
      <w:r w:rsidRPr="0016620E">
        <w:rPr>
          <w:w w:val="105"/>
        </w:rPr>
        <w:t xml:space="preserve"> The advantages of the HILDA </w:t>
      </w:r>
      <w:r w:rsidR="003C556D">
        <w:rPr>
          <w:w w:val="105"/>
        </w:rPr>
        <w:t>S</w:t>
      </w:r>
      <w:r w:rsidR="003C556D" w:rsidRPr="0016620E">
        <w:rPr>
          <w:w w:val="105"/>
        </w:rPr>
        <w:t xml:space="preserve">urvey </w:t>
      </w:r>
      <w:r w:rsidRPr="0016620E">
        <w:rPr>
          <w:w w:val="105"/>
        </w:rPr>
        <w:t xml:space="preserve">include its longitudinal </w:t>
      </w:r>
      <w:r>
        <w:rPr>
          <w:w w:val="105"/>
        </w:rPr>
        <w:t>design</w:t>
      </w:r>
      <w:r w:rsidRPr="0016620E">
        <w:rPr>
          <w:w w:val="105"/>
        </w:rPr>
        <w:t>, national representativeness, and large sample size</w:t>
      </w:r>
      <w:r w:rsidR="00DB3E25">
        <w:rPr>
          <w:w w:val="105"/>
        </w:rPr>
        <w:t xml:space="preserve">, </w:t>
      </w:r>
      <w:r w:rsidR="00E7044E" w:rsidRPr="00E7044E">
        <w:rPr>
          <w:w w:val="105"/>
        </w:rPr>
        <w:t xml:space="preserve">with more than 17,000 Australians </w:t>
      </w:r>
      <w:r w:rsidR="00C64C1D" w:rsidRPr="00E7044E">
        <w:rPr>
          <w:w w:val="105"/>
        </w:rPr>
        <w:t xml:space="preserve">in </w:t>
      </w:r>
      <w:r w:rsidR="00C64C1D">
        <w:rPr>
          <w:w w:val="105"/>
        </w:rPr>
        <w:t>over</w:t>
      </w:r>
      <w:r w:rsidR="00C64C1D" w:rsidRPr="00E7044E">
        <w:rPr>
          <w:w w:val="105"/>
        </w:rPr>
        <w:t xml:space="preserve"> 7</w:t>
      </w:r>
      <w:r w:rsidR="00811DCA">
        <w:rPr>
          <w:w w:val="105"/>
        </w:rPr>
        <w:t>,</w:t>
      </w:r>
      <w:r w:rsidR="00C64C1D" w:rsidRPr="00E7044E">
        <w:rPr>
          <w:w w:val="105"/>
        </w:rPr>
        <w:t xml:space="preserve">500 households </w:t>
      </w:r>
      <w:r w:rsidR="00E7044E" w:rsidRPr="00E7044E">
        <w:rPr>
          <w:w w:val="105"/>
        </w:rPr>
        <w:t xml:space="preserve">being followed </w:t>
      </w:r>
      <w:r w:rsidR="004519C6">
        <w:rPr>
          <w:w w:val="105"/>
        </w:rPr>
        <w:t>each year</w:t>
      </w:r>
      <w:r w:rsidR="00E7044E" w:rsidRPr="00E7044E">
        <w:rPr>
          <w:w w:val="105"/>
        </w:rPr>
        <w:t>.</w:t>
      </w:r>
      <w:r w:rsidRPr="0016620E">
        <w:rPr>
          <w:w w:val="105"/>
        </w:rPr>
        <w:t xml:space="preserve"> </w:t>
      </w:r>
      <w:r w:rsidR="000F647C">
        <w:rPr>
          <w:w w:val="105"/>
        </w:rPr>
        <w:t>It</w:t>
      </w:r>
      <w:r w:rsidR="000F647C" w:rsidRPr="00DB3E25">
        <w:rPr>
          <w:w w:val="105"/>
        </w:rPr>
        <w:t xml:space="preserve"> </w:t>
      </w:r>
      <w:r w:rsidR="00F42B75">
        <w:rPr>
          <w:w w:val="105"/>
        </w:rPr>
        <w:t>include</w:t>
      </w:r>
      <w:r w:rsidR="000F647C" w:rsidRPr="00DB3E25">
        <w:rPr>
          <w:w w:val="105"/>
        </w:rPr>
        <w:t xml:space="preserve">s comprehensive economic and socio-demographic information, such as </w:t>
      </w:r>
      <w:r w:rsidR="0097512D">
        <w:rPr>
          <w:w w:val="105"/>
        </w:rPr>
        <w:t>socio-economic</w:t>
      </w:r>
      <w:r w:rsidR="000F647C" w:rsidRPr="00DB3E25">
        <w:rPr>
          <w:w w:val="105"/>
        </w:rPr>
        <w:t xml:space="preserve"> </w:t>
      </w:r>
      <w:r w:rsidR="000F647C">
        <w:rPr>
          <w:w w:val="105"/>
        </w:rPr>
        <w:t>status</w:t>
      </w:r>
      <w:r w:rsidR="000F647C" w:rsidRPr="00DB3E25">
        <w:rPr>
          <w:w w:val="105"/>
        </w:rPr>
        <w:t xml:space="preserve">, labour market dynamics, </w:t>
      </w:r>
      <w:r w:rsidR="000F647C">
        <w:rPr>
          <w:w w:val="105"/>
        </w:rPr>
        <w:t xml:space="preserve">health and wellbeing, </w:t>
      </w:r>
      <w:r w:rsidR="000F647C" w:rsidRPr="00DB3E25">
        <w:rPr>
          <w:w w:val="105"/>
        </w:rPr>
        <w:t>and family life.</w:t>
      </w:r>
      <w:r w:rsidR="00A75A57">
        <w:rPr>
          <w:w w:val="105"/>
        </w:rPr>
        <w:t xml:space="preserve"> </w:t>
      </w:r>
      <w:r w:rsidR="00A75A57" w:rsidRPr="0016620E">
        <w:rPr>
          <w:w w:val="105"/>
        </w:rPr>
        <w:t>T</w:t>
      </w:r>
      <w:r w:rsidR="00A75A57">
        <w:rPr>
          <w:w w:val="105"/>
        </w:rPr>
        <w:t>herefore, data from the HILDA</w:t>
      </w:r>
      <w:r w:rsidR="00A75A57" w:rsidRPr="0016620E">
        <w:rPr>
          <w:w w:val="105"/>
        </w:rPr>
        <w:t xml:space="preserve"> </w:t>
      </w:r>
      <w:r w:rsidR="00A75A57">
        <w:rPr>
          <w:w w:val="105"/>
        </w:rPr>
        <w:t>Survey</w:t>
      </w:r>
      <w:r w:rsidR="00A75A57" w:rsidRPr="0016620E">
        <w:rPr>
          <w:w w:val="105"/>
        </w:rPr>
        <w:t xml:space="preserve"> allow us to conduct a </w:t>
      </w:r>
      <w:r w:rsidR="00A75A57">
        <w:rPr>
          <w:w w:val="105"/>
        </w:rPr>
        <w:t>detailed</w:t>
      </w:r>
      <w:r w:rsidR="00A75A57" w:rsidRPr="0016620E">
        <w:rPr>
          <w:w w:val="105"/>
        </w:rPr>
        <w:t xml:space="preserve"> analysis of the long-term effects of </w:t>
      </w:r>
      <w:r w:rsidR="0097512D">
        <w:rPr>
          <w:w w:val="105"/>
        </w:rPr>
        <w:t>socio-economic</w:t>
      </w:r>
      <w:r w:rsidR="00A75A57">
        <w:rPr>
          <w:w w:val="105"/>
        </w:rPr>
        <w:t xml:space="preserve"> backgrounds</w:t>
      </w:r>
      <w:r w:rsidR="00A75A57" w:rsidRPr="0016620E">
        <w:rPr>
          <w:w w:val="105"/>
        </w:rPr>
        <w:t xml:space="preserve"> on </w:t>
      </w:r>
      <w:r w:rsidR="00A75A57" w:rsidRPr="00DB3E25">
        <w:rPr>
          <w:w w:val="105"/>
        </w:rPr>
        <w:t xml:space="preserve">university </w:t>
      </w:r>
      <w:r w:rsidR="00A75A57">
        <w:rPr>
          <w:w w:val="105"/>
        </w:rPr>
        <w:t>subject</w:t>
      </w:r>
      <w:r w:rsidR="00A75A57" w:rsidRPr="00DB3E25">
        <w:rPr>
          <w:w w:val="105"/>
        </w:rPr>
        <w:t xml:space="preserve"> choice and subsequent labour market </w:t>
      </w:r>
      <w:r w:rsidR="00A75A57">
        <w:rPr>
          <w:w w:val="105"/>
        </w:rPr>
        <w:t>performance.</w:t>
      </w:r>
    </w:p>
    <w:p w14:paraId="46176271" w14:textId="6D279F48" w:rsidR="008815A0" w:rsidRPr="0059687F" w:rsidRDefault="00510AA6" w:rsidP="00BF48E1">
      <w:pPr>
        <w:rPr>
          <w:w w:val="105"/>
        </w:rPr>
      </w:pPr>
      <w:r w:rsidRPr="0059687F">
        <w:rPr>
          <w:w w:val="105"/>
        </w:rPr>
        <w:t>The HILDA dataset</w:t>
      </w:r>
      <w:r w:rsidR="00DB3E25" w:rsidRPr="0059687F">
        <w:rPr>
          <w:w w:val="105"/>
        </w:rPr>
        <w:t xml:space="preserve"> provides detailed education data, including information on</w:t>
      </w:r>
      <w:r w:rsidR="00BF236E" w:rsidRPr="0059687F">
        <w:rPr>
          <w:w w:val="105"/>
        </w:rPr>
        <w:t xml:space="preserve"> 15</w:t>
      </w:r>
      <w:r w:rsidR="00DB3E25" w:rsidRPr="0059687F">
        <w:rPr>
          <w:w w:val="105"/>
        </w:rPr>
        <w:t xml:space="preserve"> tertiary fields of study in waves 12, 16, and 20 for individuals with post-school qualifications.</w:t>
      </w:r>
      <w:r w:rsidR="00544132" w:rsidRPr="0059687F">
        <w:rPr>
          <w:w w:val="105"/>
        </w:rPr>
        <w:t xml:space="preserve"> </w:t>
      </w:r>
      <w:r w:rsidR="008815A0" w:rsidRPr="0059687F">
        <w:rPr>
          <w:w w:val="105"/>
        </w:rPr>
        <w:t>The</w:t>
      </w:r>
      <w:r w:rsidR="00BF236E" w:rsidRPr="0059687F">
        <w:rPr>
          <w:w w:val="105"/>
        </w:rPr>
        <w:t>se</w:t>
      </w:r>
      <w:r w:rsidR="008815A0" w:rsidRPr="0059687F">
        <w:rPr>
          <w:w w:val="105"/>
        </w:rPr>
        <w:t xml:space="preserve"> fields of study are: (1) Natural and </w:t>
      </w:r>
      <w:r w:rsidR="0059687F">
        <w:rPr>
          <w:w w:val="105"/>
        </w:rPr>
        <w:t>P</w:t>
      </w:r>
      <w:r w:rsidR="008815A0" w:rsidRPr="0059687F">
        <w:rPr>
          <w:w w:val="105"/>
        </w:rPr>
        <w:t xml:space="preserve">hysical </w:t>
      </w:r>
      <w:r w:rsidR="0059687F">
        <w:rPr>
          <w:w w:val="105"/>
        </w:rPr>
        <w:t>S</w:t>
      </w:r>
      <w:r w:rsidR="008815A0" w:rsidRPr="0059687F">
        <w:rPr>
          <w:w w:val="105"/>
        </w:rPr>
        <w:t xml:space="preserve">ciences, (2) Information </w:t>
      </w:r>
      <w:r w:rsidR="0059687F">
        <w:rPr>
          <w:w w:val="105"/>
        </w:rPr>
        <w:t>T</w:t>
      </w:r>
      <w:r w:rsidR="008815A0" w:rsidRPr="0059687F">
        <w:rPr>
          <w:w w:val="105"/>
        </w:rPr>
        <w:t xml:space="preserve">echnology, (3) Engineering and </w:t>
      </w:r>
      <w:r w:rsidR="0059687F">
        <w:rPr>
          <w:w w:val="105"/>
        </w:rPr>
        <w:t>R</w:t>
      </w:r>
      <w:r w:rsidR="008815A0" w:rsidRPr="0059687F">
        <w:rPr>
          <w:w w:val="105"/>
        </w:rPr>
        <w:t xml:space="preserve">elated </w:t>
      </w:r>
      <w:r w:rsidR="0059687F">
        <w:rPr>
          <w:w w:val="105"/>
        </w:rPr>
        <w:t>T</w:t>
      </w:r>
      <w:r w:rsidR="008815A0" w:rsidRPr="0059687F">
        <w:rPr>
          <w:w w:val="105"/>
        </w:rPr>
        <w:t xml:space="preserve">echnologies, (4) Architecture and </w:t>
      </w:r>
      <w:r w:rsidR="0059687F">
        <w:rPr>
          <w:w w:val="105"/>
        </w:rPr>
        <w:t>B</w:t>
      </w:r>
      <w:r w:rsidR="008815A0" w:rsidRPr="0059687F">
        <w:rPr>
          <w:w w:val="105"/>
        </w:rPr>
        <w:t xml:space="preserve">uilding, (5) Agriculture, </w:t>
      </w:r>
      <w:r w:rsidR="0059687F">
        <w:rPr>
          <w:w w:val="105"/>
        </w:rPr>
        <w:t>E</w:t>
      </w:r>
      <w:r w:rsidR="008815A0" w:rsidRPr="0059687F">
        <w:rPr>
          <w:w w:val="105"/>
        </w:rPr>
        <w:t xml:space="preserve">nvironment, and </w:t>
      </w:r>
      <w:r w:rsidR="0059687F">
        <w:rPr>
          <w:w w:val="105"/>
        </w:rPr>
        <w:t>R</w:t>
      </w:r>
      <w:r w:rsidR="008815A0" w:rsidRPr="0059687F">
        <w:rPr>
          <w:w w:val="105"/>
        </w:rPr>
        <w:t xml:space="preserve">elated </w:t>
      </w:r>
      <w:r w:rsidR="0059687F">
        <w:rPr>
          <w:w w:val="105"/>
        </w:rPr>
        <w:t>S</w:t>
      </w:r>
      <w:r w:rsidR="008815A0" w:rsidRPr="0059687F">
        <w:rPr>
          <w:w w:val="105"/>
        </w:rPr>
        <w:t xml:space="preserve">tudies, (6) Medicine, (7) Nursing, (8) Other </w:t>
      </w:r>
      <w:r w:rsidR="0059687F">
        <w:rPr>
          <w:w w:val="105"/>
        </w:rPr>
        <w:t>H</w:t>
      </w:r>
      <w:r w:rsidR="008815A0" w:rsidRPr="0059687F">
        <w:rPr>
          <w:w w:val="105"/>
        </w:rPr>
        <w:t>ealth-</w:t>
      </w:r>
      <w:r w:rsidR="0059687F">
        <w:rPr>
          <w:w w:val="105"/>
        </w:rPr>
        <w:t>R</w:t>
      </w:r>
      <w:r w:rsidR="008815A0" w:rsidRPr="0059687F">
        <w:rPr>
          <w:w w:val="105"/>
        </w:rPr>
        <w:t xml:space="preserve">elated (for example, Pharmacy, Dental </w:t>
      </w:r>
      <w:r w:rsidR="0059687F">
        <w:rPr>
          <w:w w:val="105"/>
        </w:rPr>
        <w:t>S</w:t>
      </w:r>
      <w:r w:rsidR="008815A0" w:rsidRPr="0059687F">
        <w:rPr>
          <w:w w:val="105"/>
        </w:rPr>
        <w:t xml:space="preserve">tudies, Rehabilitation </w:t>
      </w:r>
      <w:r w:rsidR="0059687F">
        <w:rPr>
          <w:w w:val="105"/>
        </w:rPr>
        <w:t>T</w:t>
      </w:r>
      <w:r w:rsidR="008815A0" w:rsidRPr="0059687F">
        <w:rPr>
          <w:w w:val="105"/>
        </w:rPr>
        <w:t xml:space="preserve">herapies, Optical </w:t>
      </w:r>
      <w:r w:rsidR="0059687F">
        <w:rPr>
          <w:w w:val="105"/>
        </w:rPr>
        <w:t>S</w:t>
      </w:r>
      <w:r w:rsidR="008815A0" w:rsidRPr="0059687F">
        <w:rPr>
          <w:w w:val="105"/>
        </w:rPr>
        <w:t xml:space="preserve">cience, Veterinary </w:t>
      </w:r>
      <w:r w:rsidR="0059687F">
        <w:rPr>
          <w:w w:val="105"/>
        </w:rPr>
        <w:t>S</w:t>
      </w:r>
      <w:r w:rsidR="008815A0" w:rsidRPr="0059687F">
        <w:rPr>
          <w:w w:val="105"/>
        </w:rPr>
        <w:t xml:space="preserve">tudies), (9) Education, (10) Management and </w:t>
      </w:r>
      <w:r w:rsidR="0059687F">
        <w:rPr>
          <w:w w:val="105"/>
        </w:rPr>
        <w:t>C</w:t>
      </w:r>
      <w:r w:rsidR="008815A0" w:rsidRPr="0059687F">
        <w:rPr>
          <w:w w:val="105"/>
        </w:rPr>
        <w:t xml:space="preserve">ommerce (for example, Accounting, Business, Sales and </w:t>
      </w:r>
      <w:r w:rsidR="0059687F">
        <w:rPr>
          <w:w w:val="105"/>
        </w:rPr>
        <w:t>M</w:t>
      </w:r>
      <w:r w:rsidR="008815A0" w:rsidRPr="0059687F">
        <w:rPr>
          <w:w w:val="105"/>
        </w:rPr>
        <w:t xml:space="preserve">arketing, Banking and </w:t>
      </w:r>
      <w:r w:rsidR="0059687F">
        <w:rPr>
          <w:w w:val="105"/>
        </w:rPr>
        <w:t>F</w:t>
      </w:r>
      <w:r w:rsidR="008815A0" w:rsidRPr="0059687F">
        <w:rPr>
          <w:w w:val="105"/>
        </w:rPr>
        <w:t xml:space="preserve">inance, Office </w:t>
      </w:r>
      <w:r w:rsidR="0059687F">
        <w:rPr>
          <w:w w:val="105"/>
        </w:rPr>
        <w:t>S</w:t>
      </w:r>
      <w:r w:rsidR="008815A0" w:rsidRPr="0059687F">
        <w:rPr>
          <w:w w:val="105"/>
        </w:rPr>
        <w:t xml:space="preserve">tudies), (11) Law, (12) Society and </w:t>
      </w:r>
      <w:r w:rsidR="0059687F">
        <w:rPr>
          <w:w w:val="105"/>
        </w:rPr>
        <w:t>C</w:t>
      </w:r>
      <w:r w:rsidR="008815A0" w:rsidRPr="0059687F">
        <w:rPr>
          <w:w w:val="105"/>
        </w:rPr>
        <w:t xml:space="preserve">ulture (for example, Economics, Political </w:t>
      </w:r>
      <w:r w:rsidR="0059687F">
        <w:rPr>
          <w:w w:val="105"/>
        </w:rPr>
        <w:t>S</w:t>
      </w:r>
      <w:r w:rsidR="008815A0" w:rsidRPr="0059687F">
        <w:rPr>
          <w:w w:val="105"/>
        </w:rPr>
        <w:t xml:space="preserve">cience, Social </w:t>
      </w:r>
      <w:r w:rsidR="0059687F">
        <w:rPr>
          <w:w w:val="105"/>
        </w:rPr>
        <w:t>W</w:t>
      </w:r>
      <w:r w:rsidR="008815A0" w:rsidRPr="0059687F">
        <w:rPr>
          <w:w w:val="105"/>
        </w:rPr>
        <w:t xml:space="preserve">ork, History, Psychology, Languages, Religion, Sport), (13) Creative </w:t>
      </w:r>
      <w:r w:rsidR="0059687F">
        <w:rPr>
          <w:w w:val="105"/>
        </w:rPr>
        <w:t>A</w:t>
      </w:r>
      <w:r w:rsidR="008815A0" w:rsidRPr="0059687F">
        <w:rPr>
          <w:w w:val="105"/>
        </w:rPr>
        <w:t xml:space="preserve">rts, (14) Food, </w:t>
      </w:r>
      <w:r w:rsidR="0059687F">
        <w:rPr>
          <w:w w:val="105"/>
        </w:rPr>
        <w:t>H</w:t>
      </w:r>
      <w:r w:rsidR="008815A0" w:rsidRPr="0059687F">
        <w:rPr>
          <w:w w:val="105"/>
        </w:rPr>
        <w:t xml:space="preserve">ospitality, and </w:t>
      </w:r>
      <w:r w:rsidR="0059687F">
        <w:rPr>
          <w:w w:val="105"/>
        </w:rPr>
        <w:t>P</w:t>
      </w:r>
      <w:r w:rsidR="008815A0" w:rsidRPr="0059687F">
        <w:rPr>
          <w:w w:val="105"/>
        </w:rPr>
        <w:t xml:space="preserve">ersonal </w:t>
      </w:r>
      <w:r w:rsidR="0059687F">
        <w:rPr>
          <w:w w:val="105"/>
        </w:rPr>
        <w:t>S</w:t>
      </w:r>
      <w:r w:rsidR="008815A0" w:rsidRPr="0059687F">
        <w:rPr>
          <w:w w:val="105"/>
        </w:rPr>
        <w:t>ervices, and (15) Others.</w:t>
      </w:r>
    </w:p>
    <w:p w14:paraId="1EF0541B" w14:textId="241687E4" w:rsidR="00106347" w:rsidRDefault="008815A0" w:rsidP="00CA57FF">
      <w:pPr>
        <w:rPr>
          <w:w w:val="105"/>
        </w:rPr>
      </w:pPr>
      <w:r w:rsidRPr="008815A0">
        <w:rPr>
          <w:w w:val="105"/>
        </w:rPr>
        <w:t xml:space="preserve">The HILDA Survey </w:t>
      </w:r>
      <w:r w:rsidR="00C64C1D" w:rsidRPr="008815A0">
        <w:rPr>
          <w:w w:val="105"/>
        </w:rPr>
        <w:t xml:space="preserve">also </w:t>
      </w:r>
      <w:r w:rsidR="00DB3E25" w:rsidRPr="008815A0">
        <w:rPr>
          <w:w w:val="105"/>
        </w:rPr>
        <w:t xml:space="preserve">includes multiple indicators of </w:t>
      </w:r>
      <w:r w:rsidR="0097512D">
        <w:rPr>
          <w:w w:val="105"/>
        </w:rPr>
        <w:t>socio-economic</w:t>
      </w:r>
      <w:r w:rsidR="00677200" w:rsidRPr="008815A0">
        <w:rPr>
          <w:w w:val="105"/>
        </w:rPr>
        <w:t xml:space="preserve"> background</w:t>
      </w:r>
      <w:r w:rsidRPr="008815A0">
        <w:rPr>
          <w:w w:val="105"/>
        </w:rPr>
        <w:t xml:space="preserve">. We focus on the following </w:t>
      </w:r>
      <w:r w:rsidR="00191AC1">
        <w:rPr>
          <w:w w:val="105"/>
        </w:rPr>
        <w:t xml:space="preserve">measures across </w:t>
      </w:r>
      <w:r w:rsidRPr="008815A0">
        <w:rPr>
          <w:w w:val="105"/>
        </w:rPr>
        <w:t>multiple dimensions</w:t>
      </w:r>
      <w:r w:rsidRPr="006A28CB">
        <w:rPr>
          <w:w w:val="105"/>
        </w:rPr>
        <w:t xml:space="preserve">: </w:t>
      </w:r>
    </w:p>
    <w:p w14:paraId="6DB7D95B" w14:textId="67ABD360" w:rsidR="00106347" w:rsidRDefault="008815A0" w:rsidP="00106347">
      <w:pPr>
        <w:pStyle w:val="ListParagraph"/>
        <w:numPr>
          <w:ilvl w:val="0"/>
          <w:numId w:val="43"/>
        </w:numPr>
        <w:rPr>
          <w:w w:val="105"/>
        </w:rPr>
      </w:pPr>
      <w:r w:rsidRPr="00D95EAA">
        <w:rPr>
          <w:b/>
          <w:bCs/>
          <w:w w:val="105"/>
        </w:rPr>
        <w:t>Aboriginal or Torres Strait Islander origin (Indigenous)</w:t>
      </w:r>
      <w:r w:rsidR="00106347">
        <w:rPr>
          <w:w w:val="105"/>
        </w:rPr>
        <w:t>:</w:t>
      </w:r>
      <w:r w:rsidRPr="00106347">
        <w:rPr>
          <w:w w:val="105"/>
        </w:rPr>
        <w:t xml:space="preserve"> Indigenous status is a binary variable that takes the value of one if the HILDA respondent self-identified as Aboriginal, Torres Strait Islander, or both, and the value of zero otherwise.</w:t>
      </w:r>
    </w:p>
    <w:p w14:paraId="7DD1121B" w14:textId="45D8F147" w:rsidR="00106347" w:rsidRDefault="008815A0" w:rsidP="00106347">
      <w:pPr>
        <w:pStyle w:val="ListParagraph"/>
        <w:numPr>
          <w:ilvl w:val="0"/>
          <w:numId w:val="43"/>
        </w:numPr>
        <w:rPr>
          <w:w w:val="105"/>
        </w:rPr>
      </w:pPr>
      <w:r w:rsidRPr="00D95EAA">
        <w:rPr>
          <w:b/>
          <w:bCs/>
          <w:w w:val="105"/>
        </w:rPr>
        <w:t>Non-English-speaking background (NESB)</w:t>
      </w:r>
      <w:r w:rsidR="00106347">
        <w:rPr>
          <w:w w:val="105"/>
        </w:rPr>
        <w:t>:</w:t>
      </w:r>
      <w:r w:rsidRPr="00106347">
        <w:rPr>
          <w:w w:val="105"/>
        </w:rPr>
        <w:t xml:space="preserve"> NESB is a binary variable that takes the value of one if English was the first language that the respondent learnt as a child and a value of zero otherwise.</w:t>
      </w:r>
    </w:p>
    <w:p w14:paraId="1DC566BA" w14:textId="5EC4D112" w:rsidR="00106347" w:rsidRDefault="008815A0" w:rsidP="00106347">
      <w:pPr>
        <w:pStyle w:val="ListParagraph"/>
        <w:numPr>
          <w:ilvl w:val="0"/>
          <w:numId w:val="43"/>
        </w:numPr>
        <w:rPr>
          <w:w w:val="105"/>
        </w:rPr>
      </w:pPr>
      <w:r w:rsidRPr="00D95EAA">
        <w:rPr>
          <w:b/>
          <w:bCs/>
          <w:w w:val="105"/>
        </w:rPr>
        <w:t xml:space="preserve">Low </w:t>
      </w:r>
      <w:r w:rsidR="0097512D" w:rsidRPr="00D95EAA">
        <w:rPr>
          <w:b/>
          <w:bCs/>
          <w:w w:val="105"/>
        </w:rPr>
        <w:t>socio-economic</w:t>
      </w:r>
      <w:r w:rsidRPr="00D95EAA">
        <w:rPr>
          <w:b/>
          <w:bCs/>
          <w:w w:val="105"/>
        </w:rPr>
        <w:t xml:space="preserve"> status </w:t>
      </w:r>
      <w:r w:rsidR="00D95EAA">
        <w:rPr>
          <w:b/>
          <w:bCs/>
          <w:w w:val="105"/>
        </w:rPr>
        <w:t xml:space="preserve">(SES) </w:t>
      </w:r>
      <w:r w:rsidRPr="00D95EAA">
        <w:rPr>
          <w:b/>
          <w:bCs/>
          <w:w w:val="105"/>
        </w:rPr>
        <w:t>in childhood</w:t>
      </w:r>
      <w:r w:rsidR="00106347">
        <w:rPr>
          <w:w w:val="105"/>
        </w:rPr>
        <w:t>:</w:t>
      </w:r>
      <w:r w:rsidRPr="00106347">
        <w:rPr>
          <w:w w:val="105"/>
        </w:rPr>
        <w:t xml:space="preserve"> We define </w:t>
      </w:r>
      <w:r w:rsidR="00D95EAA">
        <w:rPr>
          <w:w w:val="105"/>
        </w:rPr>
        <w:t>SES</w:t>
      </w:r>
      <w:r w:rsidRPr="00106347">
        <w:rPr>
          <w:w w:val="105"/>
        </w:rPr>
        <w:t xml:space="preserve"> based on the occupational information of the parents (when the respondent was 14 years old), following Tomaszewski et al. (2021). Individuals with at least one of the parents employed in a managerial or professional occupation are classified as “high SES” and the rest as “low SES”.</w:t>
      </w:r>
    </w:p>
    <w:p w14:paraId="0F4FD1F1" w14:textId="3BBEBF15" w:rsidR="00106347" w:rsidRDefault="008815A0" w:rsidP="00106347">
      <w:pPr>
        <w:pStyle w:val="ListParagraph"/>
        <w:numPr>
          <w:ilvl w:val="0"/>
          <w:numId w:val="43"/>
        </w:numPr>
        <w:rPr>
          <w:w w:val="105"/>
        </w:rPr>
      </w:pPr>
      <w:r w:rsidRPr="00D95EAA">
        <w:rPr>
          <w:b/>
          <w:bCs/>
          <w:w w:val="105"/>
        </w:rPr>
        <w:t>Father unemployed for six months or more during childhood</w:t>
      </w:r>
      <w:r w:rsidR="00106347">
        <w:rPr>
          <w:w w:val="105"/>
        </w:rPr>
        <w:t>:</w:t>
      </w:r>
      <w:r w:rsidRPr="00106347">
        <w:rPr>
          <w:w w:val="105"/>
        </w:rPr>
        <w:t xml:space="preserve"> This is a binary variable that is equal to one if the respondent’s father was unemployed for six months or more during the respondent's childhood, and zero otherwise.</w:t>
      </w:r>
      <w:r w:rsidRPr="006A28CB">
        <w:rPr>
          <w:w w:val="105"/>
          <w:vertAlign w:val="superscript"/>
        </w:rPr>
        <w:footnoteReference w:id="4"/>
      </w:r>
      <w:r w:rsidRPr="00106347">
        <w:rPr>
          <w:w w:val="105"/>
        </w:rPr>
        <w:t xml:space="preserve"> </w:t>
      </w:r>
    </w:p>
    <w:p w14:paraId="160B5CD1" w14:textId="5163A032" w:rsidR="008815A0" w:rsidRPr="00106347" w:rsidRDefault="008815A0" w:rsidP="00BF48E1">
      <w:pPr>
        <w:pStyle w:val="ListParagraph"/>
        <w:numPr>
          <w:ilvl w:val="0"/>
          <w:numId w:val="43"/>
        </w:numPr>
        <w:rPr>
          <w:w w:val="105"/>
        </w:rPr>
      </w:pPr>
      <w:r w:rsidRPr="00D95EAA">
        <w:rPr>
          <w:b/>
          <w:bCs/>
          <w:w w:val="105"/>
        </w:rPr>
        <w:lastRenderedPageBreak/>
        <w:t>Living in a single-parent family at age 14</w:t>
      </w:r>
      <w:r w:rsidR="00106347">
        <w:rPr>
          <w:w w:val="105"/>
        </w:rPr>
        <w:t>:</w:t>
      </w:r>
      <w:r w:rsidRPr="00106347">
        <w:rPr>
          <w:w w:val="105"/>
        </w:rPr>
        <w:t xml:space="preserve"> This is a dummy variable that equals one if either the respondent's father or mother was</w:t>
      </w:r>
      <w:r w:rsidRPr="00106347" w:rsidDel="00A02D1F">
        <w:rPr>
          <w:w w:val="105"/>
        </w:rPr>
        <w:t xml:space="preserve"> </w:t>
      </w:r>
      <w:r w:rsidRPr="00106347">
        <w:rPr>
          <w:w w:val="105"/>
        </w:rPr>
        <w:t xml:space="preserve">deceased or did not live with the respondent when </w:t>
      </w:r>
      <w:r w:rsidR="00D95EAA">
        <w:rPr>
          <w:w w:val="105"/>
        </w:rPr>
        <w:t>they were</w:t>
      </w:r>
      <w:r w:rsidRPr="00106347">
        <w:rPr>
          <w:w w:val="105"/>
        </w:rPr>
        <w:t xml:space="preserve"> 14 years old, and zero otherwise. </w:t>
      </w:r>
    </w:p>
    <w:p w14:paraId="7DF4318F" w14:textId="77777777" w:rsidR="002B0088" w:rsidRDefault="0015442F" w:rsidP="00CA57FF">
      <w:pPr>
        <w:rPr>
          <w:w w:val="105"/>
        </w:rPr>
      </w:pPr>
      <w:r>
        <w:rPr>
          <w:w w:val="105"/>
        </w:rPr>
        <w:t xml:space="preserve">In addition, </w:t>
      </w:r>
      <w:r w:rsidR="002473A8">
        <w:rPr>
          <w:w w:val="105"/>
        </w:rPr>
        <w:t>i</w:t>
      </w:r>
      <w:r w:rsidR="00C16779" w:rsidRPr="00C16779">
        <w:rPr>
          <w:w w:val="105"/>
        </w:rPr>
        <w:t>nformation on several important employment and earnings outcomes is also available.</w:t>
      </w:r>
      <w:r w:rsidR="00544132" w:rsidRPr="009844DC">
        <w:rPr>
          <w:w w:val="105"/>
        </w:rPr>
        <w:t xml:space="preserve"> </w:t>
      </w:r>
      <w:r w:rsidR="00A75A57" w:rsidRPr="009844DC">
        <w:rPr>
          <w:w w:val="105"/>
        </w:rPr>
        <w:t xml:space="preserve">Our analysis </w:t>
      </w:r>
      <w:r w:rsidR="00A75A57">
        <w:rPr>
          <w:w w:val="105"/>
        </w:rPr>
        <w:t>examines</w:t>
      </w:r>
      <w:r w:rsidR="00A75A57" w:rsidRPr="009844DC">
        <w:rPr>
          <w:w w:val="105"/>
        </w:rPr>
        <w:t xml:space="preserve"> the following labour market outcomes </w:t>
      </w:r>
      <w:r w:rsidR="00A75A57">
        <w:rPr>
          <w:w w:val="105"/>
        </w:rPr>
        <w:t>of</w:t>
      </w:r>
      <w:r w:rsidR="00A75A57" w:rsidRPr="009844DC">
        <w:rPr>
          <w:w w:val="105"/>
        </w:rPr>
        <w:t xml:space="preserve"> </w:t>
      </w:r>
      <w:r w:rsidR="00A75A57">
        <w:rPr>
          <w:w w:val="105"/>
        </w:rPr>
        <w:t>graduates</w:t>
      </w:r>
      <w:r w:rsidR="00A75A57" w:rsidRPr="009844DC">
        <w:rPr>
          <w:w w:val="105"/>
        </w:rPr>
        <w:t xml:space="preserve"> employed at the time of the HILDA </w:t>
      </w:r>
      <w:r w:rsidR="00A75A57">
        <w:rPr>
          <w:w w:val="105"/>
        </w:rPr>
        <w:t>S</w:t>
      </w:r>
      <w:r w:rsidR="00A75A57" w:rsidRPr="009844DC">
        <w:rPr>
          <w:w w:val="105"/>
        </w:rPr>
        <w:t xml:space="preserve">urvey: </w:t>
      </w:r>
    </w:p>
    <w:p w14:paraId="174333D0" w14:textId="760570CF" w:rsidR="002B0088" w:rsidRDefault="00A75A57" w:rsidP="002B0088">
      <w:pPr>
        <w:pStyle w:val="ListParagraph"/>
        <w:numPr>
          <w:ilvl w:val="0"/>
          <w:numId w:val="44"/>
        </w:numPr>
        <w:rPr>
          <w:w w:val="105"/>
        </w:rPr>
      </w:pPr>
      <w:r w:rsidRPr="002B0088">
        <w:rPr>
          <w:w w:val="105"/>
        </w:rPr>
        <w:t>whether employed on a full-time basis</w:t>
      </w:r>
    </w:p>
    <w:p w14:paraId="00299C93" w14:textId="49C59C73" w:rsidR="002B0088" w:rsidRDefault="00A75A57" w:rsidP="002B0088">
      <w:pPr>
        <w:pStyle w:val="ListParagraph"/>
        <w:numPr>
          <w:ilvl w:val="0"/>
          <w:numId w:val="44"/>
        </w:numPr>
        <w:rPr>
          <w:w w:val="105"/>
        </w:rPr>
      </w:pPr>
      <w:r w:rsidRPr="002B0088">
        <w:rPr>
          <w:w w:val="105"/>
        </w:rPr>
        <w:t>whether employed on a permanent or ongoing basis</w:t>
      </w:r>
    </w:p>
    <w:p w14:paraId="3B67C303" w14:textId="3D0FCD4E" w:rsidR="002B0088" w:rsidRDefault="00A75A57" w:rsidP="002B0088">
      <w:pPr>
        <w:pStyle w:val="ListParagraph"/>
        <w:numPr>
          <w:ilvl w:val="0"/>
          <w:numId w:val="44"/>
        </w:numPr>
        <w:rPr>
          <w:w w:val="105"/>
        </w:rPr>
      </w:pPr>
      <w:r w:rsidRPr="002B0088">
        <w:rPr>
          <w:w w:val="105"/>
        </w:rPr>
        <w:t>whether employed in a managerial or professional occupation</w:t>
      </w:r>
    </w:p>
    <w:p w14:paraId="1066EFE7" w14:textId="224407E6" w:rsidR="002B0088" w:rsidRDefault="00A75A57" w:rsidP="002B0088">
      <w:pPr>
        <w:pStyle w:val="ListParagraph"/>
        <w:numPr>
          <w:ilvl w:val="0"/>
          <w:numId w:val="44"/>
        </w:numPr>
        <w:rPr>
          <w:w w:val="105"/>
        </w:rPr>
      </w:pPr>
      <w:r w:rsidRPr="002B0088">
        <w:rPr>
          <w:w w:val="105"/>
        </w:rPr>
        <w:t>gross weekly earnings (all earnings are standardised to 2020 AUD, with figures from waves 12 and 16 adjusted using the Consumer Price Index)</w:t>
      </w:r>
    </w:p>
    <w:p w14:paraId="144FC081" w14:textId="567A5351" w:rsidR="00A75A57" w:rsidRPr="002B0088" w:rsidRDefault="00A75A57" w:rsidP="00BF48E1">
      <w:pPr>
        <w:pStyle w:val="ListParagraph"/>
        <w:numPr>
          <w:ilvl w:val="0"/>
          <w:numId w:val="44"/>
        </w:numPr>
        <w:rPr>
          <w:w w:val="105"/>
        </w:rPr>
      </w:pPr>
      <w:r w:rsidRPr="002B0088">
        <w:rPr>
          <w:w w:val="105"/>
        </w:rPr>
        <w:t>job satisfaction (on a scale of 0–10, where 0 refers to “totally dissatisfied” and 10 to “totally satisfied”).</w:t>
      </w:r>
      <w:r w:rsidRPr="002B0088" w:rsidDel="00544132">
        <w:rPr>
          <w:w w:val="105"/>
        </w:rPr>
        <w:t xml:space="preserve"> </w:t>
      </w:r>
    </w:p>
    <w:p w14:paraId="3B901C54" w14:textId="77777777" w:rsidR="00D95EAA" w:rsidRDefault="00F02A7B" w:rsidP="00BF48E1">
      <w:pPr>
        <w:rPr>
          <w:w w:val="105"/>
        </w:rPr>
      </w:pPr>
      <w:r w:rsidRPr="00F02A7B">
        <w:rPr>
          <w:w w:val="105"/>
        </w:rPr>
        <w:t>In line with the purpose of this report, we construct the analytical sample as follows</w:t>
      </w:r>
      <w:r w:rsidR="00D95EAA">
        <w:rPr>
          <w:w w:val="105"/>
        </w:rPr>
        <w:t>:</w:t>
      </w:r>
      <w:r w:rsidRPr="00F02A7B">
        <w:rPr>
          <w:w w:val="105"/>
        </w:rPr>
        <w:t xml:space="preserve"> </w:t>
      </w:r>
    </w:p>
    <w:p w14:paraId="4B8FFF2B" w14:textId="77777777" w:rsidR="00D95EAA" w:rsidRDefault="00D95EAA" w:rsidP="00D95EAA">
      <w:pPr>
        <w:pStyle w:val="ListParagraph"/>
        <w:numPr>
          <w:ilvl w:val="0"/>
          <w:numId w:val="45"/>
        </w:numPr>
        <w:rPr>
          <w:w w:val="105"/>
        </w:rPr>
      </w:pPr>
      <w:r>
        <w:rPr>
          <w:w w:val="105"/>
        </w:rPr>
        <w:t>B</w:t>
      </w:r>
      <w:r w:rsidR="00F02A7B" w:rsidRPr="00D95EAA">
        <w:rPr>
          <w:w w:val="105"/>
        </w:rPr>
        <w:t>ecause information on fields of study is only available in waves 12, 16, and 20 of the HILDA Survey, our analysis is restricted to these three waves, which contain 23</w:t>
      </w:r>
      <w:r w:rsidR="006A51A0" w:rsidRPr="00D95EAA">
        <w:rPr>
          <w:w w:val="105"/>
        </w:rPr>
        <w:t>,</w:t>
      </w:r>
      <w:r w:rsidR="00F02A7B" w:rsidRPr="00D95EAA">
        <w:rPr>
          <w:w w:val="105"/>
        </w:rPr>
        <w:t>182, 23</w:t>
      </w:r>
      <w:r w:rsidR="006A51A0" w:rsidRPr="00D95EAA">
        <w:rPr>
          <w:w w:val="105"/>
        </w:rPr>
        <w:t>,</w:t>
      </w:r>
      <w:r w:rsidR="00F02A7B" w:rsidRPr="00D95EAA">
        <w:rPr>
          <w:w w:val="105"/>
        </w:rPr>
        <w:t>507, and 22</w:t>
      </w:r>
      <w:r w:rsidR="006A51A0" w:rsidRPr="00D95EAA">
        <w:rPr>
          <w:w w:val="105"/>
        </w:rPr>
        <w:t>,</w:t>
      </w:r>
      <w:r w:rsidR="00F02A7B" w:rsidRPr="00D95EAA">
        <w:rPr>
          <w:w w:val="105"/>
        </w:rPr>
        <w:t>954 observations, respectively.</w:t>
      </w:r>
      <w:r w:rsidR="00677622">
        <w:rPr>
          <w:rStyle w:val="FootnoteReference"/>
        </w:rPr>
        <w:footnoteReference w:id="5"/>
      </w:r>
      <w:r w:rsidR="00E43D99">
        <w:t xml:space="preserve"> </w:t>
      </w:r>
    </w:p>
    <w:p w14:paraId="4786AB2F" w14:textId="77777777" w:rsidR="00D95EAA" w:rsidRDefault="00D95EAA" w:rsidP="00D95EAA">
      <w:pPr>
        <w:pStyle w:val="ListParagraph"/>
        <w:numPr>
          <w:ilvl w:val="0"/>
          <w:numId w:val="45"/>
        </w:numPr>
        <w:rPr>
          <w:w w:val="105"/>
        </w:rPr>
      </w:pPr>
      <w:r>
        <w:rPr>
          <w:w w:val="105"/>
        </w:rPr>
        <w:t>W</w:t>
      </w:r>
      <w:r w:rsidR="00F02A7B" w:rsidRPr="00D95EAA">
        <w:rPr>
          <w:w w:val="105"/>
        </w:rPr>
        <w:t xml:space="preserve">e focus on individuals who have completed a university degree and provided information on their field of study, </w:t>
      </w:r>
      <w:r w:rsidR="0072120E" w:rsidRPr="00D95EAA">
        <w:rPr>
          <w:w w:val="105"/>
        </w:rPr>
        <w:t>resulting in</w:t>
      </w:r>
      <w:r w:rsidR="00F02A7B" w:rsidRPr="00D95EAA">
        <w:rPr>
          <w:w w:val="105"/>
        </w:rPr>
        <w:t xml:space="preserve"> 3</w:t>
      </w:r>
      <w:r w:rsidRPr="00D95EAA">
        <w:rPr>
          <w:w w:val="105"/>
        </w:rPr>
        <w:t>,</w:t>
      </w:r>
      <w:r w:rsidR="00F02A7B" w:rsidRPr="00D95EAA">
        <w:rPr>
          <w:w w:val="105"/>
        </w:rPr>
        <w:t>991, 4</w:t>
      </w:r>
      <w:r w:rsidRPr="00D95EAA">
        <w:rPr>
          <w:w w:val="105"/>
        </w:rPr>
        <w:t>,</w:t>
      </w:r>
      <w:r w:rsidR="00F02A7B" w:rsidRPr="00D95EAA">
        <w:rPr>
          <w:w w:val="105"/>
        </w:rPr>
        <w:t>398, and 4</w:t>
      </w:r>
      <w:r w:rsidRPr="00D95EAA">
        <w:rPr>
          <w:w w:val="105"/>
        </w:rPr>
        <w:t>,</w:t>
      </w:r>
      <w:r w:rsidR="00F02A7B" w:rsidRPr="00D95EAA">
        <w:rPr>
          <w:w w:val="105"/>
        </w:rPr>
        <w:t xml:space="preserve">726 observations in waves 12, 16, and 20, respectively. </w:t>
      </w:r>
    </w:p>
    <w:p w14:paraId="31EB0CC5" w14:textId="77777777" w:rsidR="00D95EAA" w:rsidRDefault="00D95EAA" w:rsidP="00D95EAA">
      <w:pPr>
        <w:pStyle w:val="ListParagraph"/>
        <w:numPr>
          <w:ilvl w:val="0"/>
          <w:numId w:val="45"/>
        </w:numPr>
        <w:rPr>
          <w:w w:val="105"/>
        </w:rPr>
      </w:pPr>
      <w:r>
        <w:rPr>
          <w:w w:val="105"/>
        </w:rPr>
        <w:t>W</w:t>
      </w:r>
      <w:r w:rsidR="00F02A7B" w:rsidRPr="00D95EAA">
        <w:rPr>
          <w:w w:val="105"/>
        </w:rPr>
        <w:t>e limit the sample to individuals aged 20–65, reducing the number of observations to 3</w:t>
      </w:r>
      <w:r w:rsidRPr="00D95EAA">
        <w:rPr>
          <w:w w:val="105"/>
        </w:rPr>
        <w:t>,</w:t>
      </w:r>
      <w:r w:rsidR="00F02A7B" w:rsidRPr="00D95EAA">
        <w:rPr>
          <w:w w:val="105"/>
        </w:rPr>
        <w:t>607, 3</w:t>
      </w:r>
      <w:r w:rsidRPr="00D95EAA">
        <w:rPr>
          <w:w w:val="105"/>
        </w:rPr>
        <w:t>,</w:t>
      </w:r>
      <w:r w:rsidR="00F02A7B" w:rsidRPr="00D95EAA">
        <w:rPr>
          <w:w w:val="105"/>
        </w:rPr>
        <w:t>881, and 4</w:t>
      </w:r>
      <w:r w:rsidRPr="00D95EAA">
        <w:rPr>
          <w:w w:val="105"/>
        </w:rPr>
        <w:t>,</w:t>
      </w:r>
      <w:r w:rsidR="00F02A7B" w:rsidRPr="00D95EAA">
        <w:rPr>
          <w:w w:val="105"/>
        </w:rPr>
        <w:t xml:space="preserve">091. </w:t>
      </w:r>
    </w:p>
    <w:p w14:paraId="0516CF2B" w14:textId="3D737DA0" w:rsidR="00D95EAA" w:rsidRDefault="00D95EAA" w:rsidP="00D95EAA">
      <w:pPr>
        <w:pStyle w:val="ListParagraph"/>
        <w:numPr>
          <w:ilvl w:val="0"/>
          <w:numId w:val="45"/>
        </w:numPr>
        <w:rPr>
          <w:w w:val="105"/>
        </w:rPr>
      </w:pPr>
      <w:r>
        <w:rPr>
          <w:w w:val="105"/>
        </w:rPr>
        <w:t>W</w:t>
      </w:r>
      <w:r w:rsidR="00F02A7B" w:rsidRPr="00D95EAA">
        <w:rPr>
          <w:w w:val="105"/>
        </w:rPr>
        <w:t>e exclude those who were not in the labour force (approximately 12.2%) and those who were unemployed (a</w:t>
      </w:r>
      <w:r w:rsidR="003E1B94" w:rsidRPr="00D95EAA">
        <w:rPr>
          <w:w w:val="105"/>
        </w:rPr>
        <w:t>round</w:t>
      </w:r>
      <w:r w:rsidR="00F02A7B" w:rsidRPr="00D95EAA">
        <w:rPr>
          <w:w w:val="105"/>
        </w:rPr>
        <w:t xml:space="preserve"> 2.5%) at the time of the survey, resulting in 3</w:t>
      </w:r>
      <w:r>
        <w:rPr>
          <w:w w:val="105"/>
        </w:rPr>
        <w:t>,</w:t>
      </w:r>
      <w:r w:rsidR="00F02A7B" w:rsidRPr="00D95EAA">
        <w:rPr>
          <w:w w:val="105"/>
        </w:rPr>
        <w:t>036, 3</w:t>
      </w:r>
      <w:r>
        <w:rPr>
          <w:w w:val="105"/>
        </w:rPr>
        <w:t>,</w:t>
      </w:r>
      <w:r w:rsidR="00F02A7B" w:rsidRPr="00D95EAA">
        <w:rPr>
          <w:w w:val="105"/>
        </w:rPr>
        <w:t>312, and 3</w:t>
      </w:r>
      <w:r>
        <w:rPr>
          <w:w w:val="105"/>
        </w:rPr>
        <w:t>,</w:t>
      </w:r>
      <w:r w:rsidR="00F02A7B" w:rsidRPr="00D95EAA">
        <w:rPr>
          <w:w w:val="105"/>
        </w:rPr>
        <w:t xml:space="preserve">506 observations. </w:t>
      </w:r>
    </w:p>
    <w:p w14:paraId="03B210E3" w14:textId="77777777" w:rsidR="00D95EAA" w:rsidRDefault="00D95EAA" w:rsidP="00D95EAA">
      <w:pPr>
        <w:pStyle w:val="ListParagraph"/>
        <w:numPr>
          <w:ilvl w:val="0"/>
          <w:numId w:val="45"/>
        </w:numPr>
        <w:rPr>
          <w:w w:val="105"/>
        </w:rPr>
      </w:pPr>
      <w:r>
        <w:rPr>
          <w:w w:val="105"/>
        </w:rPr>
        <w:t>W</w:t>
      </w:r>
      <w:r w:rsidR="00F02A7B" w:rsidRPr="00D95EAA">
        <w:rPr>
          <w:w w:val="105"/>
        </w:rPr>
        <w:t xml:space="preserve">e </w:t>
      </w:r>
      <w:r w:rsidR="00EC190B" w:rsidRPr="00D95EAA">
        <w:rPr>
          <w:w w:val="105"/>
        </w:rPr>
        <w:t>exclude</w:t>
      </w:r>
      <w:r w:rsidR="00F02A7B" w:rsidRPr="00D95EAA">
        <w:rPr>
          <w:w w:val="105"/>
        </w:rPr>
        <w:t xml:space="preserve"> individuals with missing data on key variables used in the analysis (as summarised in Tables 1 and 2 below). </w:t>
      </w:r>
    </w:p>
    <w:p w14:paraId="74091727" w14:textId="2DDB3041" w:rsidR="00544132" w:rsidRPr="00D95EAA" w:rsidRDefault="00F02A7B" w:rsidP="00D95EAA">
      <w:pPr>
        <w:rPr>
          <w:w w:val="105"/>
        </w:rPr>
      </w:pPr>
      <w:r w:rsidRPr="00D95EAA">
        <w:rPr>
          <w:w w:val="105"/>
        </w:rPr>
        <w:t>The final analytical sample comprises 9</w:t>
      </w:r>
      <w:r w:rsidR="00D95EAA">
        <w:rPr>
          <w:w w:val="105"/>
        </w:rPr>
        <w:t>,</w:t>
      </w:r>
      <w:r w:rsidRPr="00D95EAA">
        <w:rPr>
          <w:w w:val="105"/>
        </w:rPr>
        <w:t>810 observations</w:t>
      </w:r>
      <w:r w:rsidR="00C75367" w:rsidRPr="00D95EAA">
        <w:rPr>
          <w:w w:val="105"/>
        </w:rPr>
        <w:t xml:space="preserve"> for 4</w:t>
      </w:r>
      <w:r w:rsidR="00D95EAA">
        <w:rPr>
          <w:w w:val="105"/>
        </w:rPr>
        <w:t>,</w:t>
      </w:r>
      <w:r w:rsidR="00C75367" w:rsidRPr="00D95EAA">
        <w:rPr>
          <w:w w:val="105"/>
        </w:rPr>
        <w:t xml:space="preserve">910 individuals, including </w:t>
      </w:r>
      <w:r w:rsidRPr="00D95EAA">
        <w:rPr>
          <w:w w:val="105"/>
        </w:rPr>
        <w:t>3</w:t>
      </w:r>
      <w:r w:rsidR="00D95EAA">
        <w:rPr>
          <w:w w:val="105"/>
        </w:rPr>
        <w:t>,</w:t>
      </w:r>
      <w:r w:rsidRPr="00D95EAA">
        <w:rPr>
          <w:w w:val="105"/>
        </w:rPr>
        <w:t xml:space="preserve">020 </w:t>
      </w:r>
      <w:r w:rsidR="00C75367" w:rsidRPr="00D95EAA">
        <w:rPr>
          <w:w w:val="105"/>
        </w:rPr>
        <w:t xml:space="preserve">observations </w:t>
      </w:r>
      <w:r w:rsidRPr="00D95EAA">
        <w:rPr>
          <w:w w:val="105"/>
        </w:rPr>
        <w:t>from wave 12, 3</w:t>
      </w:r>
      <w:r w:rsidR="00D95EAA">
        <w:rPr>
          <w:w w:val="105"/>
        </w:rPr>
        <w:t>,</w:t>
      </w:r>
      <w:r w:rsidRPr="00D95EAA">
        <w:rPr>
          <w:w w:val="105"/>
        </w:rPr>
        <w:t>299 from wave 16, and 3</w:t>
      </w:r>
      <w:r w:rsidR="00D95EAA">
        <w:rPr>
          <w:w w:val="105"/>
        </w:rPr>
        <w:t>,</w:t>
      </w:r>
      <w:r w:rsidRPr="00D95EAA">
        <w:rPr>
          <w:w w:val="105"/>
        </w:rPr>
        <w:t>491 from wave 20.</w:t>
      </w:r>
    </w:p>
    <w:p w14:paraId="7922376F" w14:textId="6A0048FC" w:rsidR="0056017D" w:rsidRDefault="0056017D" w:rsidP="00BF48E1">
      <w:pPr>
        <w:rPr>
          <w:rFonts w:eastAsia="Arial" w:cs="Arial"/>
          <w:w w:val="105"/>
          <w:kern w:val="0"/>
          <w14:ligatures w14:val="none"/>
        </w:rPr>
      </w:pPr>
      <w:r w:rsidRPr="0056017D">
        <w:rPr>
          <w:rFonts w:eastAsia="Arial" w:cs="Arial"/>
          <w:w w:val="105"/>
          <w:kern w:val="0"/>
          <w14:ligatures w14:val="none"/>
        </w:rPr>
        <w:t xml:space="preserve">Table 1 presents the breakdown of the analytical sample by </w:t>
      </w:r>
      <w:r w:rsidR="0097512D">
        <w:rPr>
          <w:rFonts w:eastAsia="Arial" w:cs="Arial"/>
          <w:w w:val="105"/>
          <w:kern w:val="0"/>
          <w14:ligatures w14:val="none"/>
        </w:rPr>
        <w:t>socio-economic</w:t>
      </w:r>
      <w:r w:rsidRPr="0056017D">
        <w:rPr>
          <w:rFonts w:eastAsia="Arial" w:cs="Arial"/>
          <w:w w:val="105"/>
          <w:kern w:val="0"/>
          <w14:ligatures w14:val="none"/>
        </w:rPr>
        <w:t xml:space="preserve"> background</w:t>
      </w:r>
      <w:r w:rsidR="00FA25FE">
        <w:rPr>
          <w:rFonts w:eastAsia="Arial" w:cs="Arial"/>
          <w:w w:val="105"/>
          <w:kern w:val="0"/>
          <w14:ligatures w14:val="none"/>
        </w:rPr>
        <w:t>s</w:t>
      </w:r>
      <w:r w:rsidRPr="0056017D">
        <w:rPr>
          <w:rFonts w:eastAsia="Arial" w:cs="Arial"/>
          <w:w w:val="105"/>
          <w:kern w:val="0"/>
          <w14:ligatures w14:val="none"/>
        </w:rPr>
        <w:t>, revealing considerable variation in the representation of different groups within the HILDA data. Of the 9</w:t>
      </w:r>
      <w:r w:rsidR="00D95EAA">
        <w:rPr>
          <w:rFonts w:eastAsia="Arial" w:cs="Arial"/>
          <w:w w:val="105"/>
          <w:kern w:val="0"/>
          <w14:ligatures w14:val="none"/>
        </w:rPr>
        <w:t>,</w:t>
      </w:r>
      <w:r w:rsidRPr="0056017D">
        <w:rPr>
          <w:rFonts w:eastAsia="Arial" w:cs="Arial"/>
          <w:w w:val="105"/>
          <w:kern w:val="0"/>
          <w14:ligatures w14:val="none"/>
        </w:rPr>
        <w:t>810 observations in the final sample, only 112 (approximately 1%) identify as Aboriginal, Torres Strait Islander, or both. A total of 1</w:t>
      </w:r>
      <w:r w:rsidR="00D95EAA">
        <w:rPr>
          <w:rFonts w:eastAsia="Arial" w:cs="Arial"/>
          <w:w w:val="105"/>
          <w:kern w:val="0"/>
          <w14:ligatures w14:val="none"/>
        </w:rPr>
        <w:t>,</w:t>
      </w:r>
      <w:r w:rsidRPr="0056017D">
        <w:rPr>
          <w:rFonts w:eastAsia="Arial" w:cs="Arial"/>
          <w:w w:val="105"/>
          <w:kern w:val="0"/>
          <w14:ligatures w14:val="none"/>
        </w:rPr>
        <w:t>389 observations (14%) are from</w:t>
      </w:r>
      <w:r w:rsidR="00D95EAA">
        <w:rPr>
          <w:rFonts w:eastAsia="Arial" w:cs="Arial"/>
          <w:w w:val="105"/>
          <w:kern w:val="0"/>
          <w14:ligatures w14:val="none"/>
        </w:rPr>
        <w:t xml:space="preserve"> NESB</w:t>
      </w:r>
      <w:r w:rsidRPr="0056017D">
        <w:rPr>
          <w:rFonts w:eastAsia="Arial" w:cs="Arial"/>
          <w:w w:val="105"/>
          <w:kern w:val="0"/>
          <w14:ligatures w14:val="none"/>
        </w:rPr>
        <w:t>, while the remaining 8</w:t>
      </w:r>
      <w:r w:rsidR="00D95EAA">
        <w:rPr>
          <w:rFonts w:eastAsia="Arial" w:cs="Arial"/>
          <w:w w:val="105"/>
          <w:kern w:val="0"/>
          <w14:ligatures w14:val="none"/>
        </w:rPr>
        <w:t>,</w:t>
      </w:r>
      <w:r w:rsidRPr="0056017D">
        <w:rPr>
          <w:rFonts w:eastAsia="Arial" w:cs="Arial"/>
          <w:w w:val="105"/>
          <w:kern w:val="0"/>
          <w14:ligatures w14:val="none"/>
        </w:rPr>
        <w:t xml:space="preserve">421 </w:t>
      </w:r>
      <w:r w:rsidR="00BF236E">
        <w:rPr>
          <w:rFonts w:eastAsia="Arial" w:cs="Arial"/>
          <w:w w:val="105"/>
          <w:kern w:val="0"/>
          <w14:ligatures w14:val="none"/>
        </w:rPr>
        <w:t xml:space="preserve">(86%) </w:t>
      </w:r>
      <w:r w:rsidRPr="0056017D">
        <w:rPr>
          <w:rFonts w:eastAsia="Arial" w:cs="Arial"/>
          <w:w w:val="105"/>
          <w:kern w:val="0"/>
          <w14:ligatures w14:val="none"/>
        </w:rPr>
        <w:t xml:space="preserve">are from those with an English-speaking background. One-third of the sample experienced low </w:t>
      </w:r>
      <w:r w:rsidR="00EC190B">
        <w:rPr>
          <w:rFonts w:eastAsia="Arial" w:cs="Arial"/>
          <w:w w:val="105"/>
          <w:kern w:val="0"/>
          <w14:ligatures w14:val="none"/>
        </w:rPr>
        <w:t>SES</w:t>
      </w:r>
      <w:r w:rsidRPr="0056017D">
        <w:rPr>
          <w:rFonts w:eastAsia="Arial" w:cs="Arial"/>
          <w:w w:val="105"/>
          <w:kern w:val="0"/>
          <w14:ligatures w14:val="none"/>
        </w:rPr>
        <w:t xml:space="preserve"> during childhood, and 11% report that their father was unemployed for six months or more while they were growing up. Finally, </w:t>
      </w:r>
      <w:r w:rsidR="00EC190B">
        <w:rPr>
          <w:rFonts w:eastAsia="Arial" w:cs="Arial"/>
          <w:w w:val="105"/>
          <w:kern w:val="0"/>
          <w14:ligatures w14:val="none"/>
        </w:rPr>
        <w:t>3</w:t>
      </w:r>
      <w:r w:rsidRPr="0056017D">
        <w:rPr>
          <w:rFonts w:eastAsia="Arial" w:cs="Arial"/>
          <w:w w:val="105"/>
          <w:kern w:val="0"/>
          <w14:ligatures w14:val="none"/>
        </w:rPr>
        <w:t>56 individuals (about 4%) lived in a single-parent household at age 14.</w:t>
      </w:r>
    </w:p>
    <w:p w14:paraId="187954D4" w14:textId="77777777" w:rsidR="00D95EAA" w:rsidRDefault="00D95EAA">
      <w:pPr>
        <w:spacing w:line="259" w:lineRule="auto"/>
        <w:rPr>
          <w:i/>
          <w:iCs/>
          <w:color w:val="351C26" w:themeColor="text2"/>
        </w:rPr>
      </w:pPr>
      <w:r>
        <w:br w:type="page"/>
      </w:r>
    </w:p>
    <w:p w14:paraId="4CE1E703" w14:textId="753A9C07" w:rsidR="007F55C2" w:rsidRPr="00BF48E1" w:rsidRDefault="004E2624" w:rsidP="00BF48E1">
      <w:pPr>
        <w:pStyle w:val="Caption"/>
        <w:rPr>
          <w:rFonts w:cs="Arial"/>
        </w:rPr>
      </w:pPr>
      <w:bookmarkStart w:id="16" w:name="_Toc222998784"/>
      <w:r w:rsidRPr="00BF48E1">
        <w:lastRenderedPageBreak/>
        <w:t xml:space="preserve">Table </w:t>
      </w:r>
      <w:r w:rsidRPr="00BF48E1">
        <w:fldChar w:fldCharType="begin"/>
      </w:r>
      <w:r w:rsidRPr="00BF48E1">
        <w:instrText xml:space="preserve"> SEQ Table \* ARABIC </w:instrText>
      </w:r>
      <w:r w:rsidRPr="00BF48E1">
        <w:fldChar w:fldCharType="separate"/>
      </w:r>
      <w:r w:rsidR="00392C8C" w:rsidRPr="00BF48E1">
        <w:rPr>
          <w:noProof/>
        </w:rPr>
        <w:t>1</w:t>
      </w:r>
      <w:r w:rsidRPr="00BF48E1">
        <w:fldChar w:fldCharType="end"/>
      </w:r>
      <w:r w:rsidRPr="00BF48E1">
        <w:rPr>
          <w:rFonts w:cs="Arial"/>
        </w:rPr>
        <w:t xml:space="preserve">: </w:t>
      </w:r>
      <w:r w:rsidR="0056017D" w:rsidRPr="00BF48E1">
        <w:rPr>
          <w:rFonts w:cs="Arial"/>
        </w:rPr>
        <w:t xml:space="preserve">Breakdown of the analytical sample by </w:t>
      </w:r>
      <w:r w:rsidR="0097512D">
        <w:rPr>
          <w:rFonts w:cs="Arial"/>
        </w:rPr>
        <w:t>socio-economic</w:t>
      </w:r>
      <w:r w:rsidR="0056017D" w:rsidRPr="00BF48E1">
        <w:rPr>
          <w:rFonts w:cs="Arial"/>
        </w:rPr>
        <w:t xml:space="preserve"> background</w:t>
      </w:r>
      <w:bookmarkEnd w:id="16"/>
    </w:p>
    <w:tbl>
      <w:tblPr>
        <w:tblStyle w:val="TableGrid"/>
        <w:tblW w:w="0" w:type="auto"/>
        <w:jc w:val="center"/>
        <w:tblLook w:val="04A0" w:firstRow="1" w:lastRow="0" w:firstColumn="1" w:lastColumn="0" w:noHBand="0" w:noVBand="1"/>
      </w:tblPr>
      <w:tblGrid>
        <w:gridCol w:w="4264"/>
        <w:gridCol w:w="1134"/>
        <w:gridCol w:w="1623"/>
        <w:gridCol w:w="1843"/>
      </w:tblGrid>
      <w:tr w:rsidR="00085C73" w:rsidRPr="00D95EAA" w14:paraId="7153AD54" w14:textId="4B07DA8F" w:rsidTr="00D95EAA">
        <w:trPr>
          <w:jc w:val="center"/>
        </w:trPr>
        <w:tc>
          <w:tcPr>
            <w:tcW w:w="4264" w:type="dxa"/>
            <w:shd w:val="clear" w:color="auto" w:fill="78DED9" w:themeFill="accent1"/>
            <w:vAlign w:val="center"/>
          </w:tcPr>
          <w:p w14:paraId="116829EC" w14:textId="77777777" w:rsidR="00085C73" w:rsidRPr="00D95EAA" w:rsidRDefault="00085C73" w:rsidP="00D95EAA">
            <w:pPr>
              <w:rPr>
                <w:b/>
                <w:bCs/>
              </w:rPr>
            </w:pPr>
            <w:r w:rsidRPr="00D95EAA">
              <w:rPr>
                <w:b/>
                <w:bCs/>
              </w:rPr>
              <w:t>Variable</w:t>
            </w:r>
          </w:p>
        </w:tc>
        <w:tc>
          <w:tcPr>
            <w:tcW w:w="1134" w:type="dxa"/>
            <w:shd w:val="clear" w:color="auto" w:fill="78DED9" w:themeFill="accent1"/>
            <w:vAlign w:val="center"/>
          </w:tcPr>
          <w:p w14:paraId="641CEF51" w14:textId="567046A3" w:rsidR="00085C73" w:rsidRPr="00D95EAA" w:rsidRDefault="00085C73" w:rsidP="00D95EAA">
            <w:pPr>
              <w:rPr>
                <w:b/>
                <w:bCs/>
              </w:rPr>
            </w:pPr>
            <w:r w:rsidRPr="00D95EAA">
              <w:rPr>
                <w:b/>
                <w:bCs/>
              </w:rPr>
              <w:t>Group</w:t>
            </w:r>
          </w:p>
        </w:tc>
        <w:tc>
          <w:tcPr>
            <w:tcW w:w="1623" w:type="dxa"/>
            <w:shd w:val="clear" w:color="auto" w:fill="78DED9" w:themeFill="accent1"/>
            <w:vAlign w:val="center"/>
          </w:tcPr>
          <w:p w14:paraId="4515D330" w14:textId="51AAF3AA" w:rsidR="00085C73" w:rsidRPr="00D95EAA" w:rsidRDefault="00085C73" w:rsidP="00D95EAA">
            <w:pPr>
              <w:rPr>
                <w:b/>
                <w:bCs/>
              </w:rPr>
            </w:pPr>
            <w:r w:rsidRPr="00D95EAA">
              <w:rPr>
                <w:b/>
                <w:bCs/>
              </w:rPr>
              <w:t>Observations</w:t>
            </w:r>
          </w:p>
        </w:tc>
        <w:tc>
          <w:tcPr>
            <w:tcW w:w="1843" w:type="dxa"/>
            <w:shd w:val="clear" w:color="auto" w:fill="78DED9" w:themeFill="accent1"/>
          </w:tcPr>
          <w:p w14:paraId="07588A0D" w14:textId="705F6E9B" w:rsidR="00085C73" w:rsidRPr="00D95EAA" w:rsidRDefault="00085C73" w:rsidP="00D95EAA">
            <w:pPr>
              <w:rPr>
                <w:b/>
                <w:bCs/>
              </w:rPr>
            </w:pPr>
            <w:r w:rsidRPr="00D95EAA">
              <w:rPr>
                <w:b/>
                <w:bCs/>
              </w:rPr>
              <w:t>Proportion</w:t>
            </w:r>
            <w:r w:rsidR="005E2CBD" w:rsidRPr="00D95EAA">
              <w:rPr>
                <w:b/>
                <w:bCs/>
              </w:rPr>
              <w:t xml:space="preserve"> (%)</w:t>
            </w:r>
          </w:p>
        </w:tc>
      </w:tr>
      <w:tr w:rsidR="008867B5" w:rsidRPr="0016620E" w14:paraId="314BE54F" w14:textId="6AB4CFFD" w:rsidTr="004708B5">
        <w:trPr>
          <w:jc w:val="center"/>
        </w:trPr>
        <w:tc>
          <w:tcPr>
            <w:tcW w:w="8864" w:type="dxa"/>
            <w:gridSpan w:val="4"/>
            <w:vAlign w:val="center"/>
          </w:tcPr>
          <w:p w14:paraId="359C10C0" w14:textId="20142C1D" w:rsidR="008867B5" w:rsidRPr="0016620E" w:rsidRDefault="008867B5" w:rsidP="00D95EAA">
            <w:r>
              <w:rPr>
                <w:i/>
                <w:iCs/>
              </w:rPr>
              <w:t>Socio-economic background</w:t>
            </w:r>
          </w:p>
        </w:tc>
      </w:tr>
      <w:tr w:rsidR="008867B5" w:rsidRPr="0016620E" w14:paraId="1DD58C6C" w14:textId="3F3B688C" w:rsidTr="008867B5">
        <w:trPr>
          <w:jc w:val="center"/>
        </w:trPr>
        <w:tc>
          <w:tcPr>
            <w:tcW w:w="4264" w:type="dxa"/>
            <w:vMerge w:val="restart"/>
          </w:tcPr>
          <w:p w14:paraId="47A8E4E9" w14:textId="77777777" w:rsidR="008867B5" w:rsidRPr="0016620E" w:rsidRDefault="008867B5" w:rsidP="008867B5">
            <w:r w:rsidRPr="0016620E">
              <w:t>Indigenous</w:t>
            </w:r>
          </w:p>
        </w:tc>
        <w:tc>
          <w:tcPr>
            <w:tcW w:w="1134" w:type="dxa"/>
            <w:vAlign w:val="center"/>
          </w:tcPr>
          <w:p w14:paraId="356296FC" w14:textId="45271E1D" w:rsidR="008867B5" w:rsidRPr="0016620E" w:rsidRDefault="008867B5" w:rsidP="00D95EAA">
            <w:r>
              <w:t>Yes</w:t>
            </w:r>
          </w:p>
        </w:tc>
        <w:tc>
          <w:tcPr>
            <w:tcW w:w="1623" w:type="dxa"/>
            <w:vAlign w:val="center"/>
          </w:tcPr>
          <w:p w14:paraId="2247214F" w14:textId="73E9D25B" w:rsidR="008867B5" w:rsidRPr="0016620E" w:rsidRDefault="008867B5" w:rsidP="00D95EAA">
            <w:r>
              <w:t>112</w:t>
            </w:r>
          </w:p>
        </w:tc>
        <w:tc>
          <w:tcPr>
            <w:tcW w:w="1843" w:type="dxa"/>
          </w:tcPr>
          <w:p w14:paraId="652691AF" w14:textId="72EB4937" w:rsidR="008867B5" w:rsidRDefault="008867B5" w:rsidP="00D95EAA">
            <w:r>
              <w:t>1.14</w:t>
            </w:r>
          </w:p>
        </w:tc>
      </w:tr>
      <w:tr w:rsidR="008867B5" w:rsidRPr="0016620E" w14:paraId="26467FD3" w14:textId="13AFC3B7" w:rsidTr="008867B5">
        <w:trPr>
          <w:jc w:val="center"/>
        </w:trPr>
        <w:tc>
          <w:tcPr>
            <w:tcW w:w="4264" w:type="dxa"/>
            <w:vMerge/>
          </w:tcPr>
          <w:p w14:paraId="603B4B11" w14:textId="77777777" w:rsidR="008867B5" w:rsidRPr="0016620E" w:rsidRDefault="008867B5" w:rsidP="008867B5"/>
        </w:tc>
        <w:tc>
          <w:tcPr>
            <w:tcW w:w="1134" w:type="dxa"/>
            <w:vAlign w:val="center"/>
          </w:tcPr>
          <w:p w14:paraId="5DBBC1F9" w14:textId="7D95D9D4" w:rsidR="008867B5" w:rsidRPr="0016620E" w:rsidRDefault="008867B5" w:rsidP="00D95EAA">
            <w:r>
              <w:t>No</w:t>
            </w:r>
          </w:p>
        </w:tc>
        <w:tc>
          <w:tcPr>
            <w:tcW w:w="1623" w:type="dxa"/>
            <w:vAlign w:val="center"/>
          </w:tcPr>
          <w:p w14:paraId="070D5A1B" w14:textId="3A89FAFF" w:rsidR="008867B5" w:rsidRPr="0016620E" w:rsidRDefault="008867B5" w:rsidP="00D95EAA">
            <w:r>
              <w:t>9698</w:t>
            </w:r>
          </w:p>
        </w:tc>
        <w:tc>
          <w:tcPr>
            <w:tcW w:w="1843" w:type="dxa"/>
          </w:tcPr>
          <w:p w14:paraId="58F3EE7D" w14:textId="4E98F015" w:rsidR="008867B5" w:rsidRDefault="008867B5" w:rsidP="00D95EAA">
            <w:r>
              <w:t>98.86</w:t>
            </w:r>
          </w:p>
        </w:tc>
      </w:tr>
      <w:tr w:rsidR="008867B5" w:rsidRPr="0016620E" w14:paraId="6925A943" w14:textId="2111154B" w:rsidTr="008867B5">
        <w:trPr>
          <w:jc w:val="center"/>
        </w:trPr>
        <w:tc>
          <w:tcPr>
            <w:tcW w:w="4264" w:type="dxa"/>
            <w:vMerge w:val="restart"/>
          </w:tcPr>
          <w:p w14:paraId="2478D1F8" w14:textId="77777777" w:rsidR="008867B5" w:rsidRPr="0016620E" w:rsidRDefault="008867B5" w:rsidP="008867B5">
            <w:r w:rsidRPr="0016620E">
              <w:t>NESB</w:t>
            </w:r>
          </w:p>
        </w:tc>
        <w:tc>
          <w:tcPr>
            <w:tcW w:w="1134" w:type="dxa"/>
            <w:vAlign w:val="center"/>
          </w:tcPr>
          <w:p w14:paraId="4A1BDC8D" w14:textId="113D8FC3" w:rsidR="008867B5" w:rsidRPr="0016620E" w:rsidRDefault="008867B5" w:rsidP="00D95EAA">
            <w:r>
              <w:t>Yes</w:t>
            </w:r>
          </w:p>
        </w:tc>
        <w:tc>
          <w:tcPr>
            <w:tcW w:w="1623" w:type="dxa"/>
            <w:vAlign w:val="center"/>
          </w:tcPr>
          <w:p w14:paraId="29E8F5AD" w14:textId="4D303BAC" w:rsidR="008867B5" w:rsidRPr="0016620E" w:rsidRDefault="008867B5" w:rsidP="00D95EAA">
            <w:r>
              <w:t>1389</w:t>
            </w:r>
          </w:p>
        </w:tc>
        <w:tc>
          <w:tcPr>
            <w:tcW w:w="1843" w:type="dxa"/>
          </w:tcPr>
          <w:p w14:paraId="276A9698" w14:textId="23E47E66" w:rsidR="008867B5" w:rsidRDefault="008867B5" w:rsidP="00D95EAA">
            <w:r>
              <w:t>14.16</w:t>
            </w:r>
          </w:p>
        </w:tc>
      </w:tr>
      <w:tr w:rsidR="008867B5" w:rsidRPr="0016620E" w14:paraId="7AE8322F" w14:textId="3F200F79" w:rsidTr="008867B5">
        <w:trPr>
          <w:jc w:val="center"/>
        </w:trPr>
        <w:tc>
          <w:tcPr>
            <w:tcW w:w="4264" w:type="dxa"/>
            <w:vMerge/>
          </w:tcPr>
          <w:p w14:paraId="01498054" w14:textId="77777777" w:rsidR="008867B5" w:rsidRPr="0016620E" w:rsidRDefault="008867B5" w:rsidP="008867B5"/>
        </w:tc>
        <w:tc>
          <w:tcPr>
            <w:tcW w:w="1134" w:type="dxa"/>
            <w:vAlign w:val="center"/>
          </w:tcPr>
          <w:p w14:paraId="7BCCCA70" w14:textId="01C0E9E2" w:rsidR="008867B5" w:rsidRPr="0016620E" w:rsidRDefault="008867B5" w:rsidP="00D95EAA">
            <w:r>
              <w:t>No</w:t>
            </w:r>
          </w:p>
        </w:tc>
        <w:tc>
          <w:tcPr>
            <w:tcW w:w="1623" w:type="dxa"/>
            <w:vAlign w:val="center"/>
          </w:tcPr>
          <w:p w14:paraId="7A7F262B" w14:textId="2649E0B5" w:rsidR="008867B5" w:rsidRPr="0016620E" w:rsidRDefault="008867B5" w:rsidP="00D95EAA">
            <w:r>
              <w:t>8421</w:t>
            </w:r>
          </w:p>
        </w:tc>
        <w:tc>
          <w:tcPr>
            <w:tcW w:w="1843" w:type="dxa"/>
          </w:tcPr>
          <w:p w14:paraId="4BFE6F05" w14:textId="667C2BDE" w:rsidR="008867B5" w:rsidRDefault="008867B5" w:rsidP="00D95EAA">
            <w:r>
              <w:t>85.84</w:t>
            </w:r>
          </w:p>
        </w:tc>
      </w:tr>
      <w:tr w:rsidR="008867B5" w:rsidRPr="0016620E" w14:paraId="766E9592" w14:textId="7AF5F964" w:rsidTr="008867B5">
        <w:trPr>
          <w:jc w:val="center"/>
        </w:trPr>
        <w:tc>
          <w:tcPr>
            <w:tcW w:w="4264" w:type="dxa"/>
            <w:vMerge w:val="restart"/>
          </w:tcPr>
          <w:p w14:paraId="64DB711D" w14:textId="77777777" w:rsidR="008867B5" w:rsidRPr="0016620E" w:rsidRDefault="008867B5" w:rsidP="008867B5">
            <w:r>
              <w:rPr>
                <w:rFonts w:eastAsia="Arial"/>
                <w:w w:val="105"/>
                <w14:ligatures w14:val="none"/>
              </w:rPr>
              <w:t>L</w:t>
            </w:r>
            <w:r w:rsidRPr="00276F44">
              <w:rPr>
                <w:rFonts w:eastAsia="Arial"/>
                <w:w w:val="105"/>
                <w14:ligatures w14:val="none"/>
              </w:rPr>
              <w:t>ow</w:t>
            </w:r>
            <w:r>
              <w:rPr>
                <w:rFonts w:eastAsia="Arial"/>
                <w:w w:val="105"/>
                <w14:ligatures w14:val="none"/>
              </w:rPr>
              <w:t xml:space="preserve"> </w:t>
            </w:r>
            <w:r w:rsidRPr="00276F44">
              <w:rPr>
                <w:rFonts w:eastAsia="Arial"/>
                <w:w w:val="105"/>
                <w14:ligatures w14:val="none"/>
              </w:rPr>
              <w:t>SES</w:t>
            </w:r>
            <w:r>
              <w:rPr>
                <w:rFonts w:eastAsia="Arial"/>
                <w:w w:val="105"/>
                <w14:ligatures w14:val="none"/>
              </w:rPr>
              <w:t xml:space="preserve"> in childhood</w:t>
            </w:r>
          </w:p>
        </w:tc>
        <w:tc>
          <w:tcPr>
            <w:tcW w:w="1134" w:type="dxa"/>
            <w:vAlign w:val="center"/>
          </w:tcPr>
          <w:p w14:paraId="518F5674" w14:textId="0A5A0310" w:rsidR="008867B5" w:rsidRPr="0016620E" w:rsidRDefault="008867B5" w:rsidP="00D95EAA">
            <w:r>
              <w:t>Yes</w:t>
            </w:r>
          </w:p>
        </w:tc>
        <w:tc>
          <w:tcPr>
            <w:tcW w:w="1623" w:type="dxa"/>
            <w:vAlign w:val="center"/>
          </w:tcPr>
          <w:p w14:paraId="02F46FB8" w14:textId="7B0E4C7B" w:rsidR="008867B5" w:rsidRPr="0016620E" w:rsidRDefault="008867B5" w:rsidP="00D95EAA">
            <w:r>
              <w:t>3285</w:t>
            </w:r>
          </w:p>
        </w:tc>
        <w:tc>
          <w:tcPr>
            <w:tcW w:w="1843" w:type="dxa"/>
          </w:tcPr>
          <w:p w14:paraId="496D64B8" w14:textId="5FF967F0" w:rsidR="008867B5" w:rsidRDefault="008867B5" w:rsidP="00D95EAA">
            <w:r>
              <w:t>33.49</w:t>
            </w:r>
          </w:p>
        </w:tc>
      </w:tr>
      <w:tr w:rsidR="008867B5" w:rsidRPr="0016620E" w14:paraId="725AD732" w14:textId="04BDB632" w:rsidTr="008867B5">
        <w:trPr>
          <w:jc w:val="center"/>
        </w:trPr>
        <w:tc>
          <w:tcPr>
            <w:tcW w:w="4264" w:type="dxa"/>
            <w:vMerge/>
          </w:tcPr>
          <w:p w14:paraId="65210F87" w14:textId="77777777" w:rsidR="008867B5" w:rsidRDefault="008867B5" w:rsidP="008867B5">
            <w:pPr>
              <w:rPr>
                <w:rFonts w:eastAsia="Arial"/>
                <w:w w:val="105"/>
                <w14:ligatures w14:val="none"/>
              </w:rPr>
            </w:pPr>
          </w:p>
        </w:tc>
        <w:tc>
          <w:tcPr>
            <w:tcW w:w="1134" w:type="dxa"/>
            <w:vAlign w:val="center"/>
          </w:tcPr>
          <w:p w14:paraId="405DACF9" w14:textId="3A3423C7" w:rsidR="008867B5" w:rsidRPr="0016620E" w:rsidRDefault="008867B5" w:rsidP="00D95EAA">
            <w:r>
              <w:t>No</w:t>
            </w:r>
          </w:p>
        </w:tc>
        <w:tc>
          <w:tcPr>
            <w:tcW w:w="1623" w:type="dxa"/>
            <w:vAlign w:val="center"/>
          </w:tcPr>
          <w:p w14:paraId="64C19AC1" w14:textId="1497C844" w:rsidR="008867B5" w:rsidRPr="0016620E" w:rsidRDefault="008867B5" w:rsidP="00D95EAA">
            <w:r>
              <w:t>6525</w:t>
            </w:r>
          </w:p>
        </w:tc>
        <w:tc>
          <w:tcPr>
            <w:tcW w:w="1843" w:type="dxa"/>
          </w:tcPr>
          <w:p w14:paraId="7D035D59" w14:textId="0DF269C6" w:rsidR="008867B5" w:rsidRDefault="008867B5" w:rsidP="00D95EAA">
            <w:r>
              <w:t>66.51</w:t>
            </w:r>
          </w:p>
        </w:tc>
      </w:tr>
      <w:tr w:rsidR="008867B5" w:rsidRPr="0016620E" w14:paraId="34DCCEAB" w14:textId="05212096" w:rsidTr="008867B5">
        <w:trPr>
          <w:jc w:val="center"/>
        </w:trPr>
        <w:tc>
          <w:tcPr>
            <w:tcW w:w="4264" w:type="dxa"/>
            <w:vMerge w:val="restart"/>
          </w:tcPr>
          <w:p w14:paraId="0B6CF6EF" w14:textId="77777777" w:rsidR="008867B5" w:rsidRPr="0016620E" w:rsidRDefault="008867B5" w:rsidP="008867B5">
            <w:r w:rsidRPr="0016620E">
              <w:t>Father unemployed for 6+ months</w:t>
            </w:r>
          </w:p>
        </w:tc>
        <w:tc>
          <w:tcPr>
            <w:tcW w:w="1134" w:type="dxa"/>
            <w:vAlign w:val="center"/>
          </w:tcPr>
          <w:p w14:paraId="6E49E0CD" w14:textId="19BC053D" w:rsidR="008867B5" w:rsidRPr="0016620E" w:rsidRDefault="008867B5" w:rsidP="00D95EAA">
            <w:r>
              <w:t>Yes</w:t>
            </w:r>
          </w:p>
        </w:tc>
        <w:tc>
          <w:tcPr>
            <w:tcW w:w="1623" w:type="dxa"/>
            <w:vAlign w:val="center"/>
          </w:tcPr>
          <w:p w14:paraId="2341F83C" w14:textId="0726E308" w:rsidR="008867B5" w:rsidRPr="0016620E" w:rsidRDefault="008867B5" w:rsidP="00D95EAA">
            <w:r>
              <w:t>1087</w:t>
            </w:r>
          </w:p>
        </w:tc>
        <w:tc>
          <w:tcPr>
            <w:tcW w:w="1843" w:type="dxa"/>
          </w:tcPr>
          <w:p w14:paraId="62EBDAB4" w14:textId="1C2950F2" w:rsidR="008867B5" w:rsidRDefault="008867B5" w:rsidP="00D95EAA">
            <w:r>
              <w:t>11.08</w:t>
            </w:r>
          </w:p>
        </w:tc>
      </w:tr>
      <w:tr w:rsidR="008867B5" w:rsidRPr="0016620E" w14:paraId="198C6D83" w14:textId="0D321EC9" w:rsidTr="008867B5">
        <w:trPr>
          <w:jc w:val="center"/>
        </w:trPr>
        <w:tc>
          <w:tcPr>
            <w:tcW w:w="4264" w:type="dxa"/>
            <w:vMerge/>
          </w:tcPr>
          <w:p w14:paraId="785B93F1" w14:textId="77777777" w:rsidR="008867B5" w:rsidRPr="0016620E" w:rsidRDefault="008867B5" w:rsidP="008867B5"/>
        </w:tc>
        <w:tc>
          <w:tcPr>
            <w:tcW w:w="1134" w:type="dxa"/>
            <w:vAlign w:val="center"/>
          </w:tcPr>
          <w:p w14:paraId="6C4781E7" w14:textId="5D21AB55" w:rsidR="008867B5" w:rsidRPr="0016620E" w:rsidRDefault="008867B5" w:rsidP="00D95EAA">
            <w:r>
              <w:t>No</w:t>
            </w:r>
          </w:p>
        </w:tc>
        <w:tc>
          <w:tcPr>
            <w:tcW w:w="1623" w:type="dxa"/>
            <w:vAlign w:val="center"/>
          </w:tcPr>
          <w:p w14:paraId="0E4F76C7" w14:textId="43B42E31" w:rsidR="008867B5" w:rsidRPr="0016620E" w:rsidRDefault="008867B5" w:rsidP="00D95EAA">
            <w:r>
              <w:t>8723</w:t>
            </w:r>
          </w:p>
        </w:tc>
        <w:tc>
          <w:tcPr>
            <w:tcW w:w="1843" w:type="dxa"/>
          </w:tcPr>
          <w:p w14:paraId="56D3AE01" w14:textId="33733999" w:rsidR="008867B5" w:rsidRDefault="008867B5" w:rsidP="00D95EAA">
            <w:r>
              <w:t>88.92</w:t>
            </w:r>
          </w:p>
        </w:tc>
      </w:tr>
      <w:tr w:rsidR="008867B5" w:rsidRPr="0016620E" w14:paraId="568C5D6A" w14:textId="11C743EB" w:rsidTr="008867B5">
        <w:trPr>
          <w:jc w:val="center"/>
        </w:trPr>
        <w:tc>
          <w:tcPr>
            <w:tcW w:w="4264" w:type="dxa"/>
            <w:vMerge w:val="restart"/>
          </w:tcPr>
          <w:p w14:paraId="15F14ACB" w14:textId="77777777" w:rsidR="008867B5" w:rsidRPr="0016620E" w:rsidRDefault="008867B5" w:rsidP="008867B5">
            <w:r w:rsidRPr="0016620E">
              <w:t>Single-parent family</w:t>
            </w:r>
          </w:p>
        </w:tc>
        <w:tc>
          <w:tcPr>
            <w:tcW w:w="1134" w:type="dxa"/>
            <w:vAlign w:val="center"/>
          </w:tcPr>
          <w:p w14:paraId="64CF0AF6" w14:textId="51462FEB" w:rsidR="008867B5" w:rsidRPr="0016620E" w:rsidRDefault="008867B5" w:rsidP="00D95EAA">
            <w:r>
              <w:t>Yes</w:t>
            </w:r>
          </w:p>
        </w:tc>
        <w:tc>
          <w:tcPr>
            <w:tcW w:w="1623" w:type="dxa"/>
            <w:vAlign w:val="center"/>
          </w:tcPr>
          <w:p w14:paraId="75E46890" w14:textId="6F544A0A" w:rsidR="008867B5" w:rsidRPr="0016620E" w:rsidRDefault="008867B5" w:rsidP="00D95EAA">
            <w:r>
              <w:t>356</w:t>
            </w:r>
          </w:p>
        </w:tc>
        <w:tc>
          <w:tcPr>
            <w:tcW w:w="1843" w:type="dxa"/>
          </w:tcPr>
          <w:p w14:paraId="248542E6" w14:textId="5AC4A1F3" w:rsidR="008867B5" w:rsidRDefault="008867B5" w:rsidP="00D95EAA">
            <w:r>
              <w:t>3.63</w:t>
            </w:r>
          </w:p>
        </w:tc>
      </w:tr>
      <w:tr w:rsidR="008867B5" w:rsidRPr="0016620E" w14:paraId="3B676013" w14:textId="276431B2" w:rsidTr="00D95EAA">
        <w:trPr>
          <w:jc w:val="center"/>
        </w:trPr>
        <w:tc>
          <w:tcPr>
            <w:tcW w:w="4264" w:type="dxa"/>
            <w:vMerge/>
            <w:vAlign w:val="center"/>
          </w:tcPr>
          <w:p w14:paraId="5CFBE5BE" w14:textId="77777777" w:rsidR="008867B5" w:rsidRPr="0016620E" w:rsidRDefault="008867B5" w:rsidP="00D95EAA"/>
        </w:tc>
        <w:tc>
          <w:tcPr>
            <w:tcW w:w="1134" w:type="dxa"/>
            <w:vAlign w:val="center"/>
          </w:tcPr>
          <w:p w14:paraId="46A99745" w14:textId="0CA92629" w:rsidR="008867B5" w:rsidRPr="0016620E" w:rsidRDefault="008867B5" w:rsidP="00D95EAA">
            <w:r>
              <w:t>No</w:t>
            </w:r>
          </w:p>
        </w:tc>
        <w:tc>
          <w:tcPr>
            <w:tcW w:w="1623" w:type="dxa"/>
            <w:vAlign w:val="center"/>
          </w:tcPr>
          <w:p w14:paraId="731D0575" w14:textId="5C89FFD2" w:rsidR="008867B5" w:rsidRPr="0016620E" w:rsidRDefault="008867B5" w:rsidP="00D95EAA">
            <w:r>
              <w:t>9454</w:t>
            </w:r>
          </w:p>
        </w:tc>
        <w:tc>
          <w:tcPr>
            <w:tcW w:w="1843" w:type="dxa"/>
          </w:tcPr>
          <w:p w14:paraId="49D33FB9" w14:textId="27AAE6A0" w:rsidR="008867B5" w:rsidRDefault="008867B5" w:rsidP="00D95EAA">
            <w:r>
              <w:t>96.37</w:t>
            </w:r>
          </w:p>
        </w:tc>
      </w:tr>
    </w:tbl>
    <w:p w14:paraId="661A620F" w14:textId="4D0CBA10" w:rsidR="007F55C2" w:rsidRPr="00D95EAA" w:rsidRDefault="007F55C2" w:rsidP="00D95EAA">
      <w:pPr>
        <w:spacing w:before="60" w:line="240" w:lineRule="auto"/>
        <w:ind w:right="851"/>
        <w:rPr>
          <w:rFonts w:eastAsia="Arial" w:cs="Arial"/>
          <w:i/>
          <w:iCs/>
          <w:w w:val="105"/>
          <w:kern w:val="0"/>
          <w:sz w:val="18"/>
          <w:szCs w:val="18"/>
          <w14:ligatures w14:val="none"/>
        </w:rPr>
      </w:pPr>
      <w:r w:rsidRPr="00D95EAA">
        <w:rPr>
          <w:rFonts w:eastAsia="Arial" w:cs="Arial"/>
          <w:i/>
          <w:iCs/>
          <w:w w:val="105"/>
          <w:kern w:val="0"/>
          <w:sz w:val="18"/>
          <w:szCs w:val="18"/>
          <w14:ligatures w14:val="none"/>
        </w:rPr>
        <w:t xml:space="preserve">Source of data: HILDA waves 12, 16, and 20. </w:t>
      </w:r>
    </w:p>
    <w:p w14:paraId="4B49A465" w14:textId="40ED211D" w:rsidR="0056017D" w:rsidRPr="00BE77EB" w:rsidRDefault="0056017D" w:rsidP="00BF48E1">
      <w:r w:rsidRPr="0056017D">
        <w:rPr>
          <w:w w:val="105"/>
        </w:rPr>
        <w:t xml:space="preserve">Table 2 presents summary statistics for the workers in our analytical sample. The average age is 41 years, with women comprising 57% of the sample and men 43%. On average, respondents have 2.2 siblings, and 74% were born in Australia. Regarding marital status, 77% are married, 17% have never been married, and the remaining 7% are divorced, separated, or widowed. The average household size is three, and approximately 77% of </w:t>
      </w:r>
      <w:r w:rsidR="0004659D">
        <w:rPr>
          <w:w w:val="105"/>
        </w:rPr>
        <w:t xml:space="preserve">the individuals in </w:t>
      </w:r>
      <w:r w:rsidRPr="0056017D">
        <w:rPr>
          <w:w w:val="105"/>
        </w:rPr>
        <w:t>the sample reside in a major Australian city.</w:t>
      </w:r>
    </w:p>
    <w:p w14:paraId="0F25A5A9" w14:textId="527F00CE" w:rsidR="00346366" w:rsidRPr="00BF48E1" w:rsidRDefault="00B234E9" w:rsidP="00BF48E1">
      <w:pPr>
        <w:pStyle w:val="Caption"/>
        <w:rPr>
          <w:rFonts w:cs="Arial"/>
        </w:rPr>
      </w:pPr>
      <w:bookmarkStart w:id="17" w:name="_Toc222998785"/>
      <w:r w:rsidRPr="00BF48E1">
        <w:t xml:space="preserve">Table </w:t>
      </w:r>
      <w:r w:rsidRPr="00BF48E1">
        <w:fldChar w:fldCharType="begin"/>
      </w:r>
      <w:r w:rsidRPr="00BF48E1">
        <w:instrText xml:space="preserve"> SEQ Table \* ARABIC </w:instrText>
      </w:r>
      <w:r w:rsidRPr="00BF48E1">
        <w:fldChar w:fldCharType="separate"/>
      </w:r>
      <w:r w:rsidR="00392C8C" w:rsidRPr="00BF48E1">
        <w:rPr>
          <w:noProof/>
        </w:rPr>
        <w:t>2</w:t>
      </w:r>
      <w:r w:rsidRPr="00BF48E1">
        <w:fldChar w:fldCharType="end"/>
      </w:r>
      <w:r w:rsidRPr="00BF48E1">
        <w:t xml:space="preserve">: </w:t>
      </w:r>
      <w:r w:rsidR="00246465" w:rsidRPr="00BF48E1">
        <w:rPr>
          <w:rFonts w:cs="Arial"/>
        </w:rPr>
        <w:t>Descriptive statistics of individual</w:t>
      </w:r>
      <w:r w:rsidR="003A782B" w:rsidRPr="00BF48E1">
        <w:rPr>
          <w:rFonts w:cs="Arial"/>
        </w:rPr>
        <w:t>s</w:t>
      </w:r>
      <w:r w:rsidR="00246465" w:rsidRPr="00BF48E1">
        <w:rPr>
          <w:rFonts w:cs="Arial"/>
        </w:rPr>
        <w:t xml:space="preserve"> in the analytical sample</w:t>
      </w:r>
      <w:bookmarkEnd w:id="17"/>
    </w:p>
    <w:tbl>
      <w:tblPr>
        <w:tblStyle w:val="TableGrid"/>
        <w:tblW w:w="0" w:type="auto"/>
        <w:jc w:val="center"/>
        <w:tblLook w:val="04A0" w:firstRow="1" w:lastRow="0" w:firstColumn="1" w:lastColumn="0" w:noHBand="0" w:noVBand="1"/>
      </w:tblPr>
      <w:tblGrid>
        <w:gridCol w:w="6390"/>
        <w:gridCol w:w="1134"/>
        <w:gridCol w:w="1276"/>
      </w:tblGrid>
      <w:tr w:rsidR="00346366" w:rsidRPr="008867B5" w14:paraId="4FA88AF0" w14:textId="77777777" w:rsidTr="008867B5">
        <w:trPr>
          <w:jc w:val="center"/>
        </w:trPr>
        <w:tc>
          <w:tcPr>
            <w:tcW w:w="6390" w:type="dxa"/>
            <w:shd w:val="clear" w:color="auto" w:fill="78DED9" w:themeFill="accent1"/>
            <w:vAlign w:val="center"/>
          </w:tcPr>
          <w:p w14:paraId="3250F1F4" w14:textId="77777777" w:rsidR="00346366" w:rsidRPr="008867B5" w:rsidRDefault="00346366" w:rsidP="008867B5">
            <w:pPr>
              <w:rPr>
                <w:b/>
                <w:bCs/>
              </w:rPr>
            </w:pPr>
            <w:r w:rsidRPr="008867B5">
              <w:rPr>
                <w:b/>
                <w:bCs/>
              </w:rPr>
              <w:t>Variable</w:t>
            </w:r>
          </w:p>
        </w:tc>
        <w:tc>
          <w:tcPr>
            <w:tcW w:w="1134" w:type="dxa"/>
            <w:shd w:val="clear" w:color="auto" w:fill="78DED9" w:themeFill="accent1"/>
            <w:vAlign w:val="center"/>
          </w:tcPr>
          <w:p w14:paraId="665EE1E6" w14:textId="77777777" w:rsidR="00346366" w:rsidRPr="008867B5" w:rsidRDefault="00346366" w:rsidP="008867B5">
            <w:pPr>
              <w:rPr>
                <w:b/>
                <w:bCs/>
              </w:rPr>
            </w:pPr>
            <w:r w:rsidRPr="008867B5">
              <w:rPr>
                <w:b/>
                <w:bCs/>
              </w:rPr>
              <w:t>Mean</w:t>
            </w:r>
          </w:p>
        </w:tc>
        <w:tc>
          <w:tcPr>
            <w:tcW w:w="1276" w:type="dxa"/>
            <w:shd w:val="clear" w:color="auto" w:fill="78DED9" w:themeFill="accent1"/>
            <w:vAlign w:val="center"/>
          </w:tcPr>
          <w:p w14:paraId="610D2099" w14:textId="77777777" w:rsidR="00346366" w:rsidRPr="008867B5" w:rsidRDefault="00346366" w:rsidP="008867B5">
            <w:pPr>
              <w:rPr>
                <w:b/>
                <w:bCs/>
              </w:rPr>
            </w:pPr>
            <w:r w:rsidRPr="008867B5">
              <w:rPr>
                <w:b/>
                <w:bCs/>
              </w:rPr>
              <w:t>Std. dev.</w:t>
            </w:r>
          </w:p>
        </w:tc>
      </w:tr>
      <w:tr w:rsidR="00346366" w:rsidRPr="0016620E" w14:paraId="3B0F0B91" w14:textId="77777777" w:rsidTr="008867B5">
        <w:trPr>
          <w:jc w:val="center"/>
        </w:trPr>
        <w:tc>
          <w:tcPr>
            <w:tcW w:w="8800" w:type="dxa"/>
            <w:gridSpan w:val="3"/>
            <w:vAlign w:val="center"/>
          </w:tcPr>
          <w:p w14:paraId="5C36BD75" w14:textId="122E1DEF" w:rsidR="00346366" w:rsidRPr="0016620E" w:rsidRDefault="00AF3107" w:rsidP="008867B5">
            <w:pPr>
              <w:rPr>
                <w:i/>
                <w:iCs/>
              </w:rPr>
            </w:pPr>
            <w:r w:rsidRPr="0016620E">
              <w:rPr>
                <w:i/>
                <w:iCs/>
              </w:rPr>
              <w:t>Demographic</w:t>
            </w:r>
            <w:r w:rsidR="005E4F3C" w:rsidRPr="0016620E">
              <w:rPr>
                <w:i/>
                <w:iCs/>
              </w:rPr>
              <w:t xml:space="preserve"> characteristics</w:t>
            </w:r>
          </w:p>
        </w:tc>
      </w:tr>
      <w:tr w:rsidR="00346366" w:rsidRPr="0016620E" w14:paraId="500F7FA6" w14:textId="77777777" w:rsidTr="008867B5">
        <w:trPr>
          <w:jc w:val="center"/>
        </w:trPr>
        <w:tc>
          <w:tcPr>
            <w:tcW w:w="6390" w:type="dxa"/>
            <w:vAlign w:val="center"/>
          </w:tcPr>
          <w:p w14:paraId="4B3BA041" w14:textId="77777777" w:rsidR="00346366" w:rsidRPr="0016620E" w:rsidRDefault="00346366" w:rsidP="008867B5">
            <w:r w:rsidRPr="0016620E">
              <w:t>Age (years)</w:t>
            </w:r>
          </w:p>
        </w:tc>
        <w:tc>
          <w:tcPr>
            <w:tcW w:w="1134" w:type="dxa"/>
            <w:vAlign w:val="center"/>
          </w:tcPr>
          <w:p w14:paraId="497FAAA4" w14:textId="77777777" w:rsidR="00346366" w:rsidRPr="0016620E" w:rsidRDefault="00346366" w:rsidP="008867B5">
            <w:r w:rsidRPr="0016620E">
              <w:t>40.67</w:t>
            </w:r>
          </w:p>
        </w:tc>
        <w:tc>
          <w:tcPr>
            <w:tcW w:w="1276" w:type="dxa"/>
            <w:vAlign w:val="center"/>
          </w:tcPr>
          <w:p w14:paraId="41C224ED" w14:textId="77777777" w:rsidR="00346366" w:rsidRPr="0016620E" w:rsidRDefault="00346366" w:rsidP="008867B5">
            <w:r w:rsidRPr="0016620E">
              <w:t>11.61</w:t>
            </w:r>
          </w:p>
        </w:tc>
      </w:tr>
      <w:tr w:rsidR="00346366" w:rsidRPr="0016620E" w14:paraId="26C1D82A" w14:textId="77777777" w:rsidTr="008867B5">
        <w:trPr>
          <w:jc w:val="center"/>
        </w:trPr>
        <w:tc>
          <w:tcPr>
            <w:tcW w:w="6390" w:type="dxa"/>
            <w:vAlign w:val="center"/>
          </w:tcPr>
          <w:p w14:paraId="7DA0DE30" w14:textId="77777777" w:rsidR="00346366" w:rsidRPr="0016620E" w:rsidRDefault="00346366" w:rsidP="008867B5">
            <w:r w:rsidRPr="0016620E">
              <w:t>Female</w:t>
            </w:r>
          </w:p>
        </w:tc>
        <w:tc>
          <w:tcPr>
            <w:tcW w:w="1134" w:type="dxa"/>
            <w:vAlign w:val="center"/>
          </w:tcPr>
          <w:p w14:paraId="1F78E44E" w14:textId="77777777" w:rsidR="00346366" w:rsidRPr="0016620E" w:rsidRDefault="00346366" w:rsidP="008867B5">
            <w:r w:rsidRPr="0016620E">
              <w:t>0.57</w:t>
            </w:r>
          </w:p>
        </w:tc>
        <w:tc>
          <w:tcPr>
            <w:tcW w:w="1276" w:type="dxa"/>
            <w:vAlign w:val="center"/>
          </w:tcPr>
          <w:p w14:paraId="7BDB4A64" w14:textId="77777777" w:rsidR="00346366" w:rsidRPr="0016620E" w:rsidRDefault="00346366" w:rsidP="008867B5"/>
        </w:tc>
      </w:tr>
      <w:tr w:rsidR="00346366" w:rsidRPr="0016620E" w14:paraId="6D5A9195" w14:textId="77777777" w:rsidTr="008867B5">
        <w:trPr>
          <w:jc w:val="center"/>
        </w:trPr>
        <w:tc>
          <w:tcPr>
            <w:tcW w:w="6390" w:type="dxa"/>
            <w:vAlign w:val="center"/>
          </w:tcPr>
          <w:p w14:paraId="758E8438" w14:textId="77777777" w:rsidR="00346366" w:rsidRPr="0016620E" w:rsidRDefault="00346366" w:rsidP="008867B5">
            <w:r w:rsidRPr="0016620E">
              <w:t>Number of siblings</w:t>
            </w:r>
          </w:p>
        </w:tc>
        <w:tc>
          <w:tcPr>
            <w:tcW w:w="1134" w:type="dxa"/>
            <w:vAlign w:val="center"/>
          </w:tcPr>
          <w:p w14:paraId="777344B0" w14:textId="77777777" w:rsidR="00346366" w:rsidRPr="0016620E" w:rsidRDefault="00346366" w:rsidP="008867B5">
            <w:r w:rsidRPr="0016620E">
              <w:t>2.23</w:t>
            </w:r>
          </w:p>
        </w:tc>
        <w:tc>
          <w:tcPr>
            <w:tcW w:w="1276" w:type="dxa"/>
            <w:vAlign w:val="center"/>
          </w:tcPr>
          <w:p w14:paraId="1C1F06F4" w14:textId="77777777" w:rsidR="00346366" w:rsidRPr="0016620E" w:rsidRDefault="00346366" w:rsidP="008867B5">
            <w:r w:rsidRPr="0016620E">
              <w:t>1.60</w:t>
            </w:r>
          </w:p>
        </w:tc>
      </w:tr>
      <w:tr w:rsidR="00346366" w:rsidRPr="0016620E" w14:paraId="2A43B5F3" w14:textId="77777777" w:rsidTr="008867B5">
        <w:trPr>
          <w:jc w:val="center"/>
        </w:trPr>
        <w:tc>
          <w:tcPr>
            <w:tcW w:w="6390" w:type="dxa"/>
            <w:vAlign w:val="center"/>
          </w:tcPr>
          <w:p w14:paraId="46900441" w14:textId="77777777" w:rsidR="00346366" w:rsidRPr="0016620E" w:rsidRDefault="00346366" w:rsidP="008867B5">
            <w:r w:rsidRPr="0016620E">
              <w:t>Born in Australia</w:t>
            </w:r>
          </w:p>
        </w:tc>
        <w:tc>
          <w:tcPr>
            <w:tcW w:w="1134" w:type="dxa"/>
            <w:vAlign w:val="center"/>
          </w:tcPr>
          <w:p w14:paraId="1E0006A9" w14:textId="77777777" w:rsidR="00346366" w:rsidRPr="0016620E" w:rsidRDefault="00346366" w:rsidP="008867B5">
            <w:r w:rsidRPr="0016620E">
              <w:t>0.74</w:t>
            </w:r>
          </w:p>
        </w:tc>
        <w:tc>
          <w:tcPr>
            <w:tcW w:w="1276" w:type="dxa"/>
            <w:vAlign w:val="center"/>
          </w:tcPr>
          <w:p w14:paraId="020C3B18" w14:textId="77777777" w:rsidR="00346366" w:rsidRPr="0016620E" w:rsidRDefault="00346366" w:rsidP="008867B5"/>
        </w:tc>
      </w:tr>
      <w:tr w:rsidR="00346366" w:rsidRPr="0016620E" w14:paraId="7FA7701E" w14:textId="77777777" w:rsidTr="008867B5">
        <w:trPr>
          <w:jc w:val="center"/>
        </w:trPr>
        <w:tc>
          <w:tcPr>
            <w:tcW w:w="6390" w:type="dxa"/>
            <w:vAlign w:val="center"/>
          </w:tcPr>
          <w:p w14:paraId="02A807E5" w14:textId="34427B9F" w:rsidR="00346366" w:rsidRPr="0016620E" w:rsidRDefault="00346366" w:rsidP="008867B5">
            <w:r w:rsidRPr="0016620E">
              <w:t>Married</w:t>
            </w:r>
            <w:r w:rsidR="007A3584" w:rsidRPr="0016620E">
              <w:t xml:space="preserve"> (including in a de facto relationship)</w:t>
            </w:r>
          </w:p>
        </w:tc>
        <w:tc>
          <w:tcPr>
            <w:tcW w:w="1134" w:type="dxa"/>
            <w:vAlign w:val="center"/>
          </w:tcPr>
          <w:p w14:paraId="034393CB" w14:textId="77777777" w:rsidR="00346366" w:rsidRPr="0016620E" w:rsidRDefault="00346366" w:rsidP="008867B5">
            <w:r w:rsidRPr="0016620E">
              <w:t>0.77</w:t>
            </w:r>
          </w:p>
        </w:tc>
        <w:tc>
          <w:tcPr>
            <w:tcW w:w="1276" w:type="dxa"/>
            <w:vAlign w:val="center"/>
          </w:tcPr>
          <w:p w14:paraId="52897DAE" w14:textId="77777777" w:rsidR="00346366" w:rsidRPr="0016620E" w:rsidRDefault="00346366" w:rsidP="008867B5"/>
        </w:tc>
      </w:tr>
      <w:tr w:rsidR="00346366" w:rsidRPr="0016620E" w14:paraId="454D325F" w14:textId="77777777" w:rsidTr="008867B5">
        <w:trPr>
          <w:trHeight w:val="80"/>
          <w:jc w:val="center"/>
        </w:trPr>
        <w:tc>
          <w:tcPr>
            <w:tcW w:w="6390" w:type="dxa"/>
            <w:vAlign w:val="center"/>
          </w:tcPr>
          <w:p w14:paraId="55852762" w14:textId="77777777" w:rsidR="00346366" w:rsidRPr="0016620E" w:rsidRDefault="00346366" w:rsidP="008867B5">
            <w:r w:rsidRPr="0016620E">
              <w:t>Divorced, separated, or widowed</w:t>
            </w:r>
          </w:p>
        </w:tc>
        <w:tc>
          <w:tcPr>
            <w:tcW w:w="1134" w:type="dxa"/>
            <w:vAlign w:val="center"/>
          </w:tcPr>
          <w:p w14:paraId="7044B76F" w14:textId="77777777" w:rsidR="00346366" w:rsidRPr="0016620E" w:rsidRDefault="00346366" w:rsidP="008867B5">
            <w:r w:rsidRPr="0016620E">
              <w:t>0.07</w:t>
            </w:r>
          </w:p>
        </w:tc>
        <w:tc>
          <w:tcPr>
            <w:tcW w:w="1276" w:type="dxa"/>
            <w:vAlign w:val="center"/>
          </w:tcPr>
          <w:p w14:paraId="173E1F8D" w14:textId="77777777" w:rsidR="00346366" w:rsidRPr="0016620E" w:rsidRDefault="00346366" w:rsidP="008867B5"/>
        </w:tc>
      </w:tr>
      <w:tr w:rsidR="00346366" w:rsidRPr="0016620E" w14:paraId="08592C33" w14:textId="77777777" w:rsidTr="008867B5">
        <w:trPr>
          <w:jc w:val="center"/>
        </w:trPr>
        <w:tc>
          <w:tcPr>
            <w:tcW w:w="6390" w:type="dxa"/>
            <w:vAlign w:val="center"/>
          </w:tcPr>
          <w:p w14:paraId="3D9251A9" w14:textId="77777777" w:rsidR="00346366" w:rsidRPr="0016620E" w:rsidRDefault="00346366" w:rsidP="008867B5">
            <w:r w:rsidRPr="0016620E">
              <w:t>Never married</w:t>
            </w:r>
          </w:p>
        </w:tc>
        <w:tc>
          <w:tcPr>
            <w:tcW w:w="1134" w:type="dxa"/>
            <w:vAlign w:val="center"/>
          </w:tcPr>
          <w:p w14:paraId="3153907E" w14:textId="77777777" w:rsidR="00346366" w:rsidRPr="0016620E" w:rsidRDefault="00346366" w:rsidP="008867B5">
            <w:r w:rsidRPr="0016620E">
              <w:t>0.17</w:t>
            </w:r>
          </w:p>
        </w:tc>
        <w:tc>
          <w:tcPr>
            <w:tcW w:w="1276" w:type="dxa"/>
            <w:vAlign w:val="center"/>
          </w:tcPr>
          <w:p w14:paraId="6DDB1247" w14:textId="77777777" w:rsidR="00346366" w:rsidRPr="0016620E" w:rsidRDefault="00346366" w:rsidP="008867B5"/>
        </w:tc>
      </w:tr>
      <w:tr w:rsidR="00346366" w:rsidRPr="0016620E" w14:paraId="5E3C943A" w14:textId="77777777" w:rsidTr="008867B5">
        <w:trPr>
          <w:jc w:val="center"/>
        </w:trPr>
        <w:tc>
          <w:tcPr>
            <w:tcW w:w="6390" w:type="dxa"/>
            <w:vAlign w:val="center"/>
          </w:tcPr>
          <w:p w14:paraId="6001647C" w14:textId="77777777" w:rsidR="00346366" w:rsidRPr="0016620E" w:rsidRDefault="00346366" w:rsidP="008867B5">
            <w:r w:rsidRPr="0016620E">
              <w:t>Household size</w:t>
            </w:r>
          </w:p>
        </w:tc>
        <w:tc>
          <w:tcPr>
            <w:tcW w:w="1134" w:type="dxa"/>
            <w:vAlign w:val="center"/>
          </w:tcPr>
          <w:p w14:paraId="3078DF96" w14:textId="77777777" w:rsidR="00346366" w:rsidRPr="0016620E" w:rsidRDefault="00346366" w:rsidP="008867B5">
            <w:r w:rsidRPr="0016620E">
              <w:t>2.98</w:t>
            </w:r>
          </w:p>
        </w:tc>
        <w:tc>
          <w:tcPr>
            <w:tcW w:w="1276" w:type="dxa"/>
            <w:vAlign w:val="center"/>
          </w:tcPr>
          <w:p w14:paraId="28263E9B" w14:textId="77777777" w:rsidR="00346366" w:rsidRPr="0016620E" w:rsidRDefault="00346366" w:rsidP="008867B5">
            <w:r w:rsidRPr="0016620E">
              <w:t>1.33</w:t>
            </w:r>
          </w:p>
        </w:tc>
      </w:tr>
      <w:tr w:rsidR="00346366" w:rsidRPr="0016620E" w14:paraId="4DF0FB92" w14:textId="77777777" w:rsidTr="008867B5">
        <w:trPr>
          <w:jc w:val="center"/>
        </w:trPr>
        <w:tc>
          <w:tcPr>
            <w:tcW w:w="6390" w:type="dxa"/>
            <w:vAlign w:val="center"/>
          </w:tcPr>
          <w:p w14:paraId="550F5FB1" w14:textId="1E4C8691" w:rsidR="00346366" w:rsidRPr="0016620E" w:rsidRDefault="00346366" w:rsidP="008867B5">
            <w:r w:rsidRPr="0016620E">
              <w:t>Living in a major city</w:t>
            </w:r>
          </w:p>
        </w:tc>
        <w:tc>
          <w:tcPr>
            <w:tcW w:w="1134" w:type="dxa"/>
            <w:vAlign w:val="center"/>
          </w:tcPr>
          <w:p w14:paraId="49D6F559" w14:textId="77777777" w:rsidR="00346366" w:rsidRPr="0016620E" w:rsidRDefault="00346366" w:rsidP="008867B5">
            <w:r w:rsidRPr="0016620E">
              <w:t>0.77</w:t>
            </w:r>
          </w:p>
        </w:tc>
        <w:tc>
          <w:tcPr>
            <w:tcW w:w="1276" w:type="dxa"/>
            <w:vAlign w:val="center"/>
          </w:tcPr>
          <w:p w14:paraId="568F2E53" w14:textId="77777777" w:rsidR="00346366" w:rsidRPr="0016620E" w:rsidRDefault="00346366" w:rsidP="008867B5"/>
        </w:tc>
      </w:tr>
      <w:tr w:rsidR="008867B5" w:rsidRPr="0016620E" w14:paraId="3894B46A" w14:textId="77777777" w:rsidTr="008867B5">
        <w:trPr>
          <w:jc w:val="center"/>
        </w:trPr>
        <w:tc>
          <w:tcPr>
            <w:tcW w:w="8800" w:type="dxa"/>
            <w:gridSpan w:val="3"/>
            <w:vAlign w:val="center"/>
          </w:tcPr>
          <w:p w14:paraId="7AC02692" w14:textId="7AEC3D5B" w:rsidR="008867B5" w:rsidRPr="0016620E" w:rsidRDefault="008867B5" w:rsidP="008867B5">
            <w:r>
              <w:rPr>
                <w:i/>
                <w:iCs/>
              </w:rPr>
              <w:t>Labour market outcomes</w:t>
            </w:r>
          </w:p>
        </w:tc>
      </w:tr>
      <w:tr w:rsidR="00F01FE3" w:rsidRPr="0016620E" w14:paraId="44535EC7" w14:textId="77777777" w:rsidTr="008867B5">
        <w:trPr>
          <w:jc w:val="center"/>
        </w:trPr>
        <w:tc>
          <w:tcPr>
            <w:tcW w:w="6390" w:type="dxa"/>
            <w:vAlign w:val="center"/>
          </w:tcPr>
          <w:p w14:paraId="3BDA0646" w14:textId="783FC0DE" w:rsidR="00F01FE3" w:rsidRPr="0016620E" w:rsidRDefault="00F01FE3" w:rsidP="008867B5">
            <w:r>
              <w:t>Full-time employment</w:t>
            </w:r>
          </w:p>
        </w:tc>
        <w:tc>
          <w:tcPr>
            <w:tcW w:w="1134" w:type="dxa"/>
            <w:vAlign w:val="center"/>
          </w:tcPr>
          <w:p w14:paraId="362F7503" w14:textId="40D704DA" w:rsidR="00F01FE3" w:rsidRPr="0016620E" w:rsidRDefault="00F01FE3" w:rsidP="008867B5">
            <w:r>
              <w:t>0.71</w:t>
            </w:r>
          </w:p>
        </w:tc>
        <w:tc>
          <w:tcPr>
            <w:tcW w:w="1276" w:type="dxa"/>
            <w:vAlign w:val="center"/>
          </w:tcPr>
          <w:p w14:paraId="55A8B5CD" w14:textId="77777777" w:rsidR="00F01FE3" w:rsidRPr="0016620E" w:rsidRDefault="00F01FE3" w:rsidP="008867B5"/>
        </w:tc>
      </w:tr>
      <w:tr w:rsidR="00F01FE3" w:rsidRPr="0016620E" w14:paraId="77013A77" w14:textId="77777777" w:rsidTr="008867B5">
        <w:trPr>
          <w:jc w:val="center"/>
        </w:trPr>
        <w:tc>
          <w:tcPr>
            <w:tcW w:w="6390" w:type="dxa"/>
            <w:vAlign w:val="center"/>
          </w:tcPr>
          <w:p w14:paraId="4D67C1F2" w14:textId="7749C12F" w:rsidR="00F01FE3" w:rsidRPr="0016620E" w:rsidRDefault="00F01FE3" w:rsidP="008867B5">
            <w:r>
              <w:t>Permanent</w:t>
            </w:r>
            <w:r w:rsidR="00C62FDA">
              <w:t xml:space="preserve"> or </w:t>
            </w:r>
            <w:r>
              <w:t>ongoing employment</w:t>
            </w:r>
          </w:p>
        </w:tc>
        <w:tc>
          <w:tcPr>
            <w:tcW w:w="1134" w:type="dxa"/>
            <w:vAlign w:val="center"/>
          </w:tcPr>
          <w:p w14:paraId="20884FF6" w14:textId="5DE52DE8" w:rsidR="00F01FE3" w:rsidRPr="0016620E" w:rsidRDefault="00F01FE3" w:rsidP="008867B5">
            <w:r>
              <w:t>0.66</w:t>
            </w:r>
          </w:p>
        </w:tc>
        <w:tc>
          <w:tcPr>
            <w:tcW w:w="1276" w:type="dxa"/>
            <w:vAlign w:val="center"/>
          </w:tcPr>
          <w:p w14:paraId="28704B30" w14:textId="77777777" w:rsidR="00F01FE3" w:rsidRPr="0016620E" w:rsidRDefault="00F01FE3" w:rsidP="008867B5"/>
        </w:tc>
      </w:tr>
      <w:tr w:rsidR="00F01FE3" w:rsidRPr="0016620E" w14:paraId="59596AB2" w14:textId="77777777" w:rsidTr="008867B5">
        <w:trPr>
          <w:jc w:val="center"/>
        </w:trPr>
        <w:tc>
          <w:tcPr>
            <w:tcW w:w="6390" w:type="dxa"/>
            <w:vAlign w:val="center"/>
          </w:tcPr>
          <w:p w14:paraId="052CD2C2" w14:textId="63852461" w:rsidR="00F01FE3" w:rsidRPr="0016620E" w:rsidRDefault="00F01FE3" w:rsidP="008867B5">
            <w:r>
              <w:t>H</w:t>
            </w:r>
            <w:r w:rsidRPr="00B35DDE">
              <w:t>aving a managerial</w:t>
            </w:r>
            <w:r w:rsidR="00C62FDA">
              <w:t xml:space="preserve"> or </w:t>
            </w:r>
            <w:r w:rsidRPr="00B35DDE">
              <w:t>professional job</w:t>
            </w:r>
          </w:p>
        </w:tc>
        <w:tc>
          <w:tcPr>
            <w:tcW w:w="1134" w:type="dxa"/>
            <w:vAlign w:val="center"/>
          </w:tcPr>
          <w:p w14:paraId="239E02C4" w14:textId="0E5F4AE1" w:rsidR="00F01FE3" w:rsidRPr="0016620E" w:rsidRDefault="00F01FE3" w:rsidP="008867B5">
            <w:r>
              <w:t>0.77</w:t>
            </w:r>
          </w:p>
        </w:tc>
        <w:tc>
          <w:tcPr>
            <w:tcW w:w="1276" w:type="dxa"/>
            <w:vAlign w:val="center"/>
          </w:tcPr>
          <w:p w14:paraId="7FDCEC12" w14:textId="77777777" w:rsidR="00F01FE3" w:rsidRPr="0016620E" w:rsidRDefault="00F01FE3" w:rsidP="008867B5"/>
        </w:tc>
      </w:tr>
      <w:tr w:rsidR="00F01FE3" w:rsidRPr="0016620E" w14:paraId="32050C18" w14:textId="77777777" w:rsidTr="008867B5">
        <w:trPr>
          <w:jc w:val="center"/>
        </w:trPr>
        <w:tc>
          <w:tcPr>
            <w:tcW w:w="6390" w:type="dxa"/>
            <w:vAlign w:val="center"/>
          </w:tcPr>
          <w:p w14:paraId="565F07C1" w14:textId="78C86231" w:rsidR="00F01FE3" w:rsidRPr="0016620E" w:rsidRDefault="00F01FE3" w:rsidP="008867B5">
            <w:r>
              <w:t>Weekly earnings (2020 AUD)</w:t>
            </w:r>
          </w:p>
        </w:tc>
        <w:tc>
          <w:tcPr>
            <w:tcW w:w="1134" w:type="dxa"/>
            <w:vAlign w:val="center"/>
          </w:tcPr>
          <w:p w14:paraId="16B94FD5" w14:textId="266BBEBF" w:rsidR="00F01FE3" w:rsidRPr="0016620E" w:rsidRDefault="00F01FE3" w:rsidP="008867B5">
            <w:r>
              <w:t>1642.02</w:t>
            </w:r>
          </w:p>
        </w:tc>
        <w:tc>
          <w:tcPr>
            <w:tcW w:w="1276" w:type="dxa"/>
            <w:vAlign w:val="center"/>
          </w:tcPr>
          <w:p w14:paraId="5E385440" w14:textId="0E817BC8" w:rsidR="00F01FE3" w:rsidRPr="0016620E" w:rsidRDefault="00F01FE3" w:rsidP="008867B5">
            <w:r>
              <w:t>1309.09</w:t>
            </w:r>
          </w:p>
        </w:tc>
      </w:tr>
      <w:tr w:rsidR="00F01FE3" w:rsidRPr="0016620E" w14:paraId="3E3EEDC2" w14:textId="77777777" w:rsidTr="008867B5">
        <w:trPr>
          <w:jc w:val="center"/>
        </w:trPr>
        <w:tc>
          <w:tcPr>
            <w:tcW w:w="6390" w:type="dxa"/>
            <w:vAlign w:val="center"/>
          </w:tcPr>
          <w:p w14:paraId="06ADBD54" w14:textId="023C2E32" w:rsidR="00F01FE3" w:rsidRPr="0016620E" w:rsidRDefault="00F01FE3" w:rsidP="008867B5">
            <w:r w:rsidRPr="00B35DDE">
              <w:t>Job satisfaction</w:t>
            </w:r>
          </w:p>
        </w:tc>
        <w:tc>
          <w:tcPr>
            <w:tcW w:w="1134" w:type="dxa"/>
            <w:vAlign w:val="center"/>
          </w:tcPr>
          <w:p w14:paraId="5244F35D" w14:textId="59C4DCB3" w:rsidR="00F01FE3" w:rsidRPr="0016620E" w:rsidRDefault="00F01FE3" w:rsidP="008867B5">
            <w:r>
              <w:t>7.66</w:t>
            </w:r>
          </w:p>
        </w:tc>
        <w:tc>
          <w:tcPr>
            <w:tcW w:w="1276" w:type="dxa"/>
            <w:vAlign w:val="center"/>
          </w:tcPr>
          <w:p w14:paraId="3A392B4D" w14:textId="7053A322" w:rsidR="00F01FE3" w:rsidRPr="0016620E" w:rsidRDefault="00F01FE3" w:rsidP="008867B5">
            <w:r>
              <w:t>1.46</w:t>
            </w:r>
          </w:p>
        </w:tc>
      </w:tr>
      <w:tr w:rsidR="00F01FE3" w:rsidRPr="0016620E" w14:paraId="76D7C0AC" w14:textId="77777777" w:rsidTr="008867B5">
        <w:trPr>
          <w:jc w:val="center"/>
        </w:trPr>
        <w:tc>
          <w:tcPr>
            <w:tcW w:w="6390" w:type="dxa"/>
            <w:vAlign w:val="center"/>
          </w:tcPr>
          <w:p w14:paraId="4E8CEF8B" w14:textId="77777777" w:rsidR="00F01FE3" w:rsidRPr="00D90196" w:rsidRDefault="00F01FE3" w:rsidP="008867B5">
            <w:r w:rsidRPr="00D90196">
              <w:t>Observations</w:t>
            </w:r>
          </w:p>
        </w:tc>
        <w:tc>
          <w:tcPr>
            <w:tcW w:w="1134" w:type="dxa"/>
            <w:vAlign w:val="center"/>
          </w:tcPr>
          <w:p w14:paraId="0FCE88D5" w14:textId="624B5674" w:rsidR="00F01FE3" w:rsidRPr="00D90196" w:rsidRDefault="00F01FE3" w:rsidP="008867B5">
            <w:r w:rsidRPr="00D90196">
              <w:t>9810</w:t>
            </w:r>
          </w:p>
        </w:tc>
        <w:tc>
          <w:tcPr>
            <w:tcW w:w="1276" w:type="dxa"/>
            <w:vAlign w:val="center"/>
          </w:tcPr>
          <w:p w14:paraId="01641073" w14:textId="77777777" w:rsidR="00F01FE3" w:rsidRPr="0016620E" w:rsidRDefault="00F01FE3" w:rsidP="008867B5">
            <w:pPr>
              <w:rPr>
                <w:i/>
                <w:iCs/>
              </w:rPr>
            </w:pPr>
          </w:p>
        </w:tc>
      </w:tr>
    </w:tbl>
    <w:p w14:paraId="4E078FD4" w14:textId="0503F7D1" w:rsidR="00346366" w:rsidRPr="008867B5" w:rsidRDefault="00346366" w:rsidP="008867B5">
      <w:pPr>
        <w:spacing w:before="60" w:line="240" w:lineRule="auto"/>
        <w:ind w:left="142" w:right="851"/>
        <w:rPr>
          <w:rFonts w:eastAsia="Arial" w:cs="Arial"/>
          <w:i/>
          <w:iCs/>
          <w:w w:val="105"/>
          <w:kern w:val="0"/>
          <w:sz w:val="18"/>
          <w:szCs w:val="18"/>
          <w14:ligatures w14:val="none"/>
        </w:rPr>
      </w:pPr>
      <w:r w:rsidRPr="008867B5">
        <w:rPr>
          <w:rFonts w:eastAsia="Arial" w:cs="Arial"/>
          <w:i/>
          <w:iCs/>
          <w:w w:val="105"/>
          <w:kern w:val="0"/>
          <w:sz w:val="18"/>
          <w:szCs w:val="18"/>
          <w14:ligatures w14:val="none"/>
        </w:rPr>
        <w:t>Source of data: HILDA waves 12, 16, and 20. Standard deviations are presented for continuous variables</w:t>
      </w:r>
      <w:r w:rsidR="005567B6" w:rsidRPr="008867B5">
        <w:rPr>
          <w:rFonts w:eastAsia="Arial" w:cs="Arial"/>
          <w:i/>
          <w:iCs/>
          <w:w w:val="105"/>
          <w:kern w:val="0"/>
          <w:sz w:val="18"/>
          <w:szCs w:val="18"/>
          <w14:ligatures w14:val="none"/>
        </w:rPr>
        <w:t>.</w:t>
      </w:r>
    </w:p>
    <w:p w14:paraId="2BC0562E" w14:textId="263B9F9A" w:rsidR="001C7B54" w:rsidRPr="0016620E" w:rsidRDefault="00DA70D9" w:rsidP="00BF48E1">
      <w:r w:rsidRPr="00DA70D9">
        <w:rPr>
          <w:w w:val="105"/>
        </w:rPr>
        <w:t xml:space="preserve">In terms of labour market performance, approximately 71% of the workers in our sample are employed full-time, </w:t>
      </w:r>
      <w:r w:rsidR="0084187A">
        <w:rPr>
          <w:w w:val="105"/>
        </w:rPr>
        <w:t>and</w:t>
      </w:r>
      <w:r w:rsidRPr="00DA70D9">
        <w:rPr>
          <w:w w:val="105"/>
        </w:rPr>
        <w:t xml:space="preserve"> 66%</w:t>
      </w:r>
      <w:r w:rsidR="007422C2">
        <w:rPr>
          <w:w w:val="105"/>
        </w:rPr>
        <w:t xml:space="preserve"> have a</w:t>
      </w:r>
      <w:r w:rsidRPr="00DA70D9">
        <w:rPr>
          <w:w w:val="105"/>
        </w:rPr>
        <w:t xml:space="preserve"> permanent or </w:t>
      </w:r>
      <w:r w:rsidR="0084187A">
        <w:rPr>
          <w:w w:val="105"/>
        </w:rPr>
        <w:t xml:space="preserve">ongoing </w:t>
      </w:r>
      <w:r w:rsidR="007422C2">
        <w:rPr>
          <w:w w:val="105"/>
        </w:rPr>
        <w:t>job</w:t>
      </w:r>
      <w:r w:rsidRPr="00DA70D9">
        <w:rPr>
          <w:w w:val="105"/>
        </w:rPr>
        <w:t>. The majority of university graduates</w:t>
      </w:r>
      <w:r w:rsidR="006C7F8D">
        <w:rPr>
          <w:w w:val="105"/>
        </w:rPr>
        <w:t xml:space="preserve"> (</w:t>
      </w:r>
      <w:r w:rsidRPr="00DA70D9">
        <w:rPr>
          <w:w w:val="105"/>
        </w:rPr>
        <w:t>around 77%</w:t>
      </w:r>
      <w:r w:rsidR="006C7F8D">
        <w:rPr>
          <w:w w:val="105"/>
        </w:rPr>
        <w:t>)</w:t>
      </w:r>
      <w:r w:rsidRPr="00DA70D9">
        <w:rPr>
          <w:w w:val="105"/>
        </w:rPr>
        <w:t xml:space="preserve"> work in managerial or professional occupations. </w:t>
      </w:r>
      <w:r w:rsidRPr="00DA70D9">
        <w:rPr>
          <w:w w:val="105"/>
        </w:rPr>
        <w:lastRenderedPageBreak/>
        <w:t xml:space="preserve">Their average gross weekly earnings </w:t>
      </w:r>
      <w:r w:rsidR="00F32DA5">
        <w:rPr>
          <w:w w:val="105"/>
        </w:rPr>
        <w:t>are</w:t>
      </w:r>
      <w:r w:rsidRPr="00DA70D9">
        <w:rPr>
          <w:w w:val="105"/>
        </w:rPr>
        <w:t xml:space="preserve"> </w:t>
      </w:r>
      <w:r w:rsidR="009D3A79">
        <w:rPr>
          <w:w w:val="105"/>
        </w:rPr>
        <w:t>$</w:t>
      </w:r>
      <w:r w:rsidRPr="00DA70D9">
        <w:rPr>
          <w:w w:val="105"/>
        </w:rPr>
        <w:t>1</w:t>
      </w:r>
      <w:r w:rsidR="008867B5">
        <w:rPr>
          <w:w w:val="105"/>
        </w:rPr>
        <w:t>,</w:t>
      </w:r>
      <w:r w:rsidRPr="00DA70D9">
        <w:rPr>
          <w:w w:val="105"/>
        </w:rPr>
        <w:t xml:space="preserve">642. </w:t>
      </w:r>
      <w:r w:rsidR="00AA1897">
        <w:rPr>
          <w:w w:val="105"/>
        </w:rPr>
        <w:t>Finally</w:t>
      </w:r>
      <w:r w:rsidR="00AE1460" w:rsidRPr="00AE1460">
        <w:rPr>
          <w:w w:val="105"/>
        </w:rPr>
        <w:t>, on a scale of 0</w:t>
      </w:r>
      <w:r w:rsidR="008867B5">
        <w:rPr>
          <w:w w:val="105"/>
        </w:rPr>
        <w:t>–</w:t>
      </w:r>
      <w:r w:rsidR="00AE1460" w:rsidRPr="00AE1460">
        <w:rPr>
          <w:w w:val="105"/>
        </w:rPr>
        <w:t>10, the average score for job satisfaction is 7.7</w:t>
      </w:r>
      <w:r w:rsidRPr="00DA70D9">
        <w:rPr>
          <w:w w:val="105"/>
        </w:rPr>
        <w:t>, reflecting the typical left-skew observed in worker-related well-being measures</w:t>
      </w:r>
      <w:r w:rsidR="001C7B54" w:rsidRPr="009844DC">
        <w:rPr>
          <w:w w:val="105"/>
        </w:rPr>
        <w:t xml:space="preserve"> (Green, 2010).</w:t>
      </w:r>
      <w:r w:rsidR="00531254">
        <w:rPr>
          <w:rStyle w:val="FootnoteReference"/>
          <w:rFonts w:cs="Arial"/>
        </w:rPr>
        <w:footnoteReference w:id="6"/>
      </w:r>
    </w:p>
    <w:p w14:paraId="52D98B73" w14:textId="47662F1A" w:rsidR="00346366" w:rsidRPr="0016620E" w:rsidRDefault="00582757" w:rsidP="004D121F">
      <w:pPr>
        <w:pStyle w:val="Heading2"/>
      </w:pPr>
      <w:bookmarkStart w:id="18" w:name="_Ref184722519"/>
      <w:bookmarkStart w:id="19" w:name="_Toc222998767"/>
      <w:r w:rsidRPr="0016620E">
        <w:t>Empirical methods</w:t>
      </w:r>
      <w:bookmarkEnd w:id="18"/>
      <w:bookmarkEnd w:id="19"/>
    </w:p>
    <w:p w14:paraId="616A46F2" w14:textId="5866AF96" w:rsidR="00021288" w:rsidRDefault="007D0737" w:rsidP="00BF48E1">
      <w:pPr>
        <w:rPr>
          <w:w w:val="105"/>
        </w:rPr>
      </w:pPr>
      <w:r w:rsidRPr="00224E42">
        <w:rPr>
          <w:w w:val="105"/>
        </w:rPr>
        <w:t xml:space="preserve">We will </w:t>
      </w:r>
      <w:r w:rsidR="00631165">
        <w:rPr>
          <w:w w:val="105"/>
        </w:rPr>
        <w:t>use</w:t>
      </w:r>
      <w:r w:rsidR="00631165" w:rsidRPr="00224E42">
        <w:rPr>
          <w:w w:val="105"/>
        </w:rPr>
        <w:t xml:space="preserve"> </w:t>
      </w:r>
      <w:r w:rsidRPr="00224E42">
        <w:rPr>
          <w:w w:val="105"/>
        </w:rPr>
        <w:t>different approaches to answer</w:t>
      </w:r>
      <w:r w:rsidR="00582757" w:rsidRPr="00224E42">
        <w:rPr>
          <w:w w:val="105"/>
        </w:rPr>
        <w:t xml:space="preserve"> </w:t>
      </w:r>
      <w:r w:rsidR="00BE3284">
        <w:rPr>
          <w:w w:val="105"/>
        </w:rPr>
        <w:t xml:space="preserve">the </w:t>
      </w:r>
      <w:r w:rsidR="00582757" w:rsidRPr="00224E42">
        <w:rPr>
          <w:w w:val="105"/>
        </w:rPr>
        <w:t>three research question</w:t>
      </w:r>
      <w:r w:rsidR="00BA0830" w:rsidRPr="00224E42">
        <w:rPr>
          <w:w w:val="105"/>
        </w:rPr>
        <w:t>s</w:t>
      </w:r>
      <w:r w:rsidR="00021288">
        <w:rPr>
          <w:w w:val="105"/>
        </w:rPr>
        <w:t>.</w:t>
      </w:r>
    </w:p>
    <w:p w14:paraId="58B9E2A9" w14:textId="3F6450B1" w:rsidR="00582757" w:rsidRPr="00224E42" w:rsidRDefault="00E01C9C" w:rsidP="00BF48E1">
      <w:pPr>
        <w:rPr>
          <w:w w:val="105"/>
        </w:rPr>
      </w:pPr>
      <w:r w:rsidRPr="00B506F2">
        <w:rPr>
          <w:b/>
          <w:bCs/>
          <w:w w:val="105"/>
        </w:rPr>
        <w:t xml:space="preserve">Question </w:t>
      </w:r>
      <w:r w:rsidR="00582757" w:rsidRPr="00B506F2">
        <w:rPr>
          <w:b/>
          <w:bCs/>
          <w:w w:val="105"/>
        </w:rPr>
        <w:t>(1)</w:t>
      </w:r>
      <w:r w:rsidRPr="00B506F2">
        <w:rPr>
          <w:b/>
          <w:bCs/>
          <w:w w:val="105"/>
        </w:rPr>
        <w:t>:</w:t>
      </w:r>
      <w:r w:rsidR="00582757" w:rsidRPr="00B506F2">
        <w:rPr>
          <w:b/>
          <w:bCs/>
          <w:w w:val="105"/>
        </w:rPr>
        <w:t xml:space="preserve"> </w:t>
      </w:r>
      <w:r w:rsidR="005876A0" w:rsidRPr="005876A0">
        <w:rPr>
          <w:b/>
          <w:bCs/>
          <w:w w:val="105"/>
        </w:rPr>
        <w:t>What are the patterns in graduates</w:t>
      </w:r>
      <w:r w:rsidR="00ED61FF">
        <w:rPr>
          <w:b/>
          <w:bCs/>
          <w:w w:val="105"/>
        </w:rPr>
        <w:t>’</w:t>
      </w:r>
      <w:r w:rsidR="005876A0" w:rsidRPr="005876A0">
        <w:rPr>
          <w:b/>
          <w:bCs/>
          <w:w w:val="105"/>
        </w:rPr>
        <w:t xml:space="preserve"> field</w:t>
      </w:r>
      <w:r w:rsidR="00F46CFA">
        <w:rPr>
          <w:b/>
          <w:bCs/>
          <w:w w:val="105"/>
        </w:rPr>
        <w:t>s</w:t>
      </w:r>
      <w:r w:rsidR="005876A0" w:rsidRPr="005876A0">
        <w:rPr>
          <w:b/>
          <w:bCs/>
          <w:w w:val="105"/>
        </w:rPr>
        <w:t xml:space="preserve"> of study and their subsequent labour market performance?</w:t>
      </w:r>
    </w:p>
    <w:p w14:paraId="52A1FC77" w14:textId="40B6769C" w:rsidR="001A59B8" w:rsidRDefault="001A59B8" w:rsidP="00BF48E1">
      <w:pPr>
        <w:rPr>
          <w:w w:val="105"/>
        </w:rPr>
      </w:pPr>
      <w:r w:rsidRPr="001A59B8">
        <w:rPr>
          <w:w w:val="105"/>
        </w:rPr>
        <w:t xml:space="preserve">To answer this question, we will use cross-tabulations. This descriptive analysis will provide insights into the stylised facts about patterns </w:t>
      </w:r>
      <w:r w:rsidR="00900F38">
        <w:rPr>
          <w:w w:val="105"/>
        </w:rPr>
        <w:t>in</w:t>
      </w:r>
      <w:r w:rsidRPr="001A59B8">
        <w:rPr>
          <w:w w:val="105"/>
        </w:rPr>
        <w:t xml:space="preserve"> subject choice and labour market outcomes after graduation.</w:t>
      </w:r>
    </w:p>
    <w:p w14:paraId="480D8E7E" w14:textId="766AE2C2" w:rsidR="009753A2" w:rsidRPr="00B506F2" w:rsidRDefault="00E01C9C" w:rsidP="00BF48E1">
      <w:pPr>
        <w:rPr>
          <w:b/>
          <w:bCs/>
          <w:w w:val="105"/>
        </w:rPr>
      </w:pPr>
      <w:r w:rsidRPr="00B506F2">
        <w:rPr>
          <w:b/>
          <w:bCs/>
          <w:w w:val="105"/>
        </w:rPr>
        <w:t xml:space="preserve">Question </w:t>
      </w:r>
      <w:r w:rsidR="009753A2" w:rsidRPr="00B506F2">
        <w:rPr>
          <w:b/>
          <w:bCs/>
          <w:w w:val="105"/>
        </w:rPr>
        <w:t>(2)</w:t>
      </w:r>
      <w:r w:rsidRPr="00B506F2">
        <w:rPr>
          <w:b/>
          <w:bCs/>
          <w:w w:val="105"/>
        </w:rPr>
        <w:t>:</w:t>
      </w:r>
      <w:r w:rsidR="009753A2" w:rsidRPr="00B506F2">
        <w:rPr>
          <w:b/>
          <w:bCs/>
          <w:w w:val="105"/>
        </w:rPr>
        <w:t xml:space="preserve"> </w:t>
      </w:r>
      <w:r w:rsidR="005876A0" w:rsidRPr="005876A0">
        <w:rPr>
          <w:b/>
          <w:bCs/>
          <w:w w:val="105"/>
        </w:rPr>
        <w:t xml:space="preserve">How do multidimensional </w:t>
      </w:r>
      <w:r w:rsidR="0097512D">
        <w:rPr>
          <w:b/>
          <w:bCs/>
          <w:w w:val="105"/>
        </w:rPr>
        <w:t>socio-economic</w:t>
      </w:r>
      <w:r w:rsidR="00F629E8" w:rsidRPr="00BE77EB">
        <w:rPr>
          <w:b/>
          <w:bCs/>
          <w:w w:val="105"/>
        </w:rPr>
        <w:t xml:space="preserve"> backgrounds </w:t>
      </w:r>
      <w:r w:rsidR="005876A0" w:rsidRPr="005876A0">
        <w:rPr>
          <w:b/>
          <w:bCs/>
          <w:w w:val="105"/>
        </w:rPr>
        <w:t xml:space="preserve">influence </w:t>
      </w:r>
      <w:r w:rsidR="006F737B" w:rsidRPr="006F737B">
        <w:rPr>
          <w:b/>
          <w:bCs/>
          <w:w w:val="105"/>
        </w:rPr>
        <w:t>the choice of field</w:t>
      </w:r>
      <w:r w:rsidR="009F47D3">
        <w:rPr>
          <w:b/>
          <w:bCs/>
          <w:w w:val="105"/>
        </w:rPr>
        <w:t>s</w:t>
      </w:r>
      <w:r w:rsidR="006F737B" w:rsidRPr="006F737B">
        <w:rPr>
          <w:b/>
          <w:bCs/>
          <w:w w:val="105"/>
        </w:rPr>
        <w:t xml:space="preserve"> of study</w:t>
      </w:r>
      <w:r w:rsidR="005876A0" w:rsidRPr="005876A0">
        <w:rPr>
          <w:b/>
          <w:bCs/>
          <w:w w:val="105"/>
        </w:rPr>
        <w:t xml:space="preserve"> in tertiary education?</w:t>
      </w:r>
    </w:p>
    <w:p w14:paraId="77A7268C" w14:textId="43BB77F1" w:rsidR="005A12F0" w:rsidRPr="00224E42" w:rsidRDefault="003B2D3F" w:rsidP="00BF48E1">
      <w:pPr>
        <w:rPr>
          <w:w w:val="105"/>
        </w:rPr>
      </w:pPr>
      <w:r>
        <w:rPr>
          <w:w w:val="105"/>
        </w:rPr>
        <w:t>W</w:t>
      </w:r>
      <w:r w:rsidR="005A12F0" w:rsidRPr="00224E42">
        <w:rPr>
          <w:w w:val="105"/>
        </w:rPr>
        <w:t xml:space="preserve">e </w:t>
      </w:r>
      <w:r>
        <w:rPr>
          <w:w w:val="105"/>
        </w:rPr>
        <w:t>specify</w:t>
      </w:r>
      <w:r w:rsidR="005A12F0" w:rsidRPr="00224E42">
        <w:rPr>
          <w:w w:val="105"/>
        </w:rPr>
        <w:t xml:space="preserve"> the following linear probability model (LPM) to analyse individuals’ choice of </w:t>
      </w:r>
      <w:r w:rsidR="00860A65" w:rsidRPr="00224E42">
        <w:rPr>
          <w:w w:val="105"/>
        </w:rPr>
        <w:t>field</w:t>
      </w:r>
      <w:r w:rsidR="009F47D3">
        <w:rPr>
          <w:w w:val="105"/>
        </w:rPr>
        <w:t>s</w:t>
      </w:r>
      <w:r w:rsidR="00066F8A" w:rsidRPr="00224E42">
        <w:rPr>
          <w:w w:val="105"/>
        </w:rPr>
        <w:t xml:space="preserve"> of study:</w:t>
      </w:r>
    </w:p>
    <w:p w14:paraId="648E22C9" w14:textId="7D8A2170" w:rsidR="008867B5" w:rsidRPr="0016620E" w:rsidRDefault="005A12F0" w:rsidP="008867B5">
      <w:pPr>
        <w:rPr>
          <w:lang w:eastAsia="en-AU"/>
        </w:rPr>
      </w:pPr>
      <m:oMath>
        <m:r>
          <w:rPr>
            <w:rFonts w:ascii="Cambria Math" w:hAnsi="Cambria Math"/>
            <w:lang w:eastAsia="en-AU"/>
          </w:rPr>
          <m:t>Fiel</m:t>
        </m:r>
        <m:sSub>
          <m:sSubPr>
            <m:ctrlPr>
              <w:rPr>
                <w:rFonts w:ascii="Cambria Math" w:hAnsi="Cambria Math"/>
                <w:i/>
                <w:lang w:eastAsia="en-AU"/>
              </w:rPr>
            </m:ctrlPr>
          </m:sSubPr>
          <m:e>
            <m:r>
              <w:rPr>
                <w:rFonts w:ascii="Cambria Math" w:hAnsi="Cambria Math"/>
                <w:lang w:eastAsia="en-AU"/>
              </w:rPr>
              <m:t>d</m:t>
            </m:r>
          </m:e>
          <m:sub>
            <m:r>
              <w:rPr>
                <w:rFonts w:ascii="Cambria Math" w:hAnsi="Cambria Math"/>
                <w:lang w:eastAsia="en-AU"/>
              </w:rPr>
              <m:t>i</m:t>
            </m:r>
          </m:sub>
        </m:sSub>
        <m:r>
          <w:rPr>
            <w:rFonts w:ascii="Cambria Math" w:hAnsi="Cambria Math"/>
            <w:lang w:eastAsia="en-AU"/>
          </w:rPr>
          <m:t>=α+Disadvatange</m:t>
        </m:r>
        <m:sSubSup>
          <m:sSubSupPr>
            <m:ctrlPr>
              <w:rPr>
                <w:rFonts w:ascii="Cambria Math" w:hAnsi="Cambria Math"/>
                <w:i/>
                <w:lang w:eastAsia="en-AU"/>
              </w:rPr>
            </m:ctrlPr>
          </m:sSubSupPr>
          <m:e>
            <m:r>
              <w:rPr>
                <w:rFonts w:ascii="Cambria Math" w:hAnsi="Cambria Math"/>
                <w:lang w:eastAsia="en-AU"/>
              </w:rPr>
              <m:t>s</m:t>
            </m:r>
          </m:e>
          <m:sub>
            <m:r>
              <w:rPr>
                <w:rFonts w:ascii="Cambria Math" w:hAnsi="Cambria Math"/>
                <w:lang w:eastAsia="en-AU"/>
              </w:rPr>
              <m:t>i</m:t>
            </m:r>
          </m:sub>
          <m:sup>
            <m:r>
              <w:rPr>
                <w:rFonts w:ascii="Cambria Math" w:hAnsi="Cambria Math"/>
                <w:lang w:eastAsia="en-AU"/>
              </w:rPr>
              <m:t>'</m:t>
            </m:r>
          </m:sup>
        </m:sSubSup>
        <m:r>
          <w:rPr>
            <w:rFonts w:ascii="Cambria Math" w:hAnsi="Cambria Math"/>
            <w:lang w:eastAsia="en-AU"/>
          </w:rPr>
          <m:t>β+</m:t>
        </m:r>
        <m:sSubSup>
          <m:sSubSupPr>
            <m:ctrlPr>
              <w:rPr>
                <w:rFonts w:ascii="Cambria Math" w:hAnsi="Cambria Math"/>
                <w:i/>
                <w:lang w:eastAsia="en-AU"/>
              </w:rPr>
            </m:ctrlPr>
          </m:sSubSupPr>
          <m:e>
            <m:r>
              <w:rPr>
                <w:rFonts w:ascii="Cambria Math" w:hAnsi="Cambria Math"/>
                <w:lang w:eastAsia="en-AU"/>
              </w:rPr>
              <m:t>X</m:t>
            </m:r>
          </m:e>
          <m:sub>
            <m:r>
              <w:rPr>
                <w:rFonts w:ascii="Cambria Math" w:hAnsi="Cambria Math"/>
                <w:lang w:eastAsia="en-AU"/>
              </w:rPr>
              <m:t>i</m:t>
            </m:r>
          </m:sub>
          <m:sup>
            <m:r>
              <w:rPr>
                <w:rFonts w:ascii="Cambria Math" w:hAnsi="Cambria Math"/>
                <w:lang w:eastAsia="en-AU"/>
              </w:rPr>
              <m:t>'</m:t>
            </m:r>
          </m:sup>
        </m:sSubSup>
        <m:r>
          <w:rPr>
            <w:rFonts w:ascii="Cambria Math" w:hAnsi="Cambria Math"/>
            <w:lang w:eastAsia="en-AU"/>
          </w:rPr>
          <m:t>γ+</m:t>
        </m:r>
        <m:sSub>
          <m:sSubPr>
            <m:ctrlPr>
              <w:rPr>
                <w:rFonts w:ascii="Cambria Math" w:hAnsi="Cambria Math"/>
                <w:i/>
                <w:lang w:eastAsia="en-AU"/>
              </w:rPr>
            </m:ctrlPr>
          </m:sSubPr>
          <m:e>
            <m:r>
              <w:rPr>
                <w:rFonts w:ascii="Cambria Math" w:hAnsi="Cambria Math"/>
                <w:lang w:eastAsia="en-AU"/>
              </w:rPr>
              <m:t>∊</m:t>
            </m:r>
          </m:e>
          <m:sub>
            <m:r>
              <w:rPr>
                <w:rFonts w:ascii="Cambria Math" w:hAnsi="Cambria Math"/>
                <w:lang w:eastAsia="en-AU"/>
              </w:rPr>
              <m:t>i</m:t>
            </m:r>
          </m:sub>
        </m:sSub>
      </m:oMath>
      <w:r w:rsidR="00582757" w:rsidRPr="0016620E">
        <w:rPr>
          <w:lang w:eastAsia="en-AU"/>
        </w:rPr>
        <w:t xml:space="preserve">  </w:t>
      </w:r>
      <w:r w:rsidR="00582757" w:rsidRPr="0016620E">
        <w:rPr>
          <w:lang w:eastAsia="en-AU"/>
        </w:rPr>
        <w:tab/>
      </w:r>
      <w:r w:rsidR="00582757" w:rsidRPr="0016620E">
        <w:rPr>
          <w:lang w:eastAsia="en-AU"/>
        </w:rPr>
        <w:tab/>
      </w:r>
      <w:r w:rsidR="00582757" w:rsidRPr="0016620E">
        <w:rPr>
          <w:lang w:eastAsia="en-AU"/>
        </w:rPr>
        <w:tab/>
      </w:r>
      <w:r w:rsidR="00582757" w:rsidRPr="0016620E">
        <w:rPr>
          <w:lang w:eastAsia="en-AU"/>
        </w:rPr>
        <w:tab/>
      </w:r>
      <w:r w:rsidR="00582757" w:rsidRPr="0016620E">
        <w:rPr>
          <w:lang w:eastAsia="en-AU"/>
        </w:rPr>
        <w:tab/>
      </w:r>
      <w:r w:rsidR="00224E42">
        <w:rPr>
          <w:lang w:eastAsia="en-AU"/>
        </w:rPr>
        <w:tab/>
      </w:r>
      <w:r w:rsidR="00582757" w:rsidRPr="0016620E">
        <w:rPr>
          <w:lang w:eastAsia="en-AU"/>
        </w:rPr>
        <w:tab/>
        <w:t>(1)</w:t>
      </w:r>
    </w:p>
    <w:p w14:paraId="0F305D5B" w14:textId="475B5147" w:rsidR="00C4230F" w:rsidRDefault="00C4230F" w:rsidP="00BF48E1">
      <w:pPr>
        <w:rPr>
          <w:w w:val="105"/>
        </w:rPr>
      </w:pPr>
      <w:r w:rsidRPr="00224E42">
        <w:rPr>
          <w:w w:val="105"/>
        </w:rPr>
        <w:t xml:space="preserve">where </w:t>
      </w:r>
      <m:oMath>
        <m:r>
          <w:rPr>
            <w:rFonts w:ascii="Cambria Math" w:hAnsi="Cambria Math"/>
            <w:w w:val="105"/>
          </w:rPr>
          <m:t>Fiel</m:t>
        </m:r>
        <m:sSub>
          <m:sSubPr>
            <m:ctrlPr>
              <w:rPr>
                <w:rFonts w:ascii="Cambria Math" w:hAnsi="Cambria Math"/>
                <w:w w:val="105"/>
              </w:rPr>
            </m:ctrlPr>
          </m:sSubPr>
          <m:e>
            <m:r>
              <w:rPr>
                <w:rFonts w:ascii="Cambria Math" w:hAnsi="Cambria Math"/>
                <w:w w:val="105"/>
              </w:rPr>
              <m:t>d</m:t>
            </m:r>
          </m:e>
          <m:sub>
            <m:r>
              <w:rPr>
                <w:rFonts w:ascii="Cambria Math" w:hAnsi="Cambria Math"/>
                <w:w w:val="105"/>
              </w:rPr>
              <m:t>i</m:t>
            </m:r>
          </m:sub>
        </m:sSub>
      </m:oMath>
      <w:r w:rsidRPr="00224E42">
        <w:rPr>
          <w:w w:val="105"/>
        </w:rPr>
        <w:t xml:space="preserve"> represents </w:t>
      </w:r>
      <w:r w:rsidR="002A056E">
        <w:rPr>
          <w:w w:val="105"/>
        </w:rPr>
        <w:t>one of the following two dummy variables:</w:t>
      </w:r>
      <w:r w:rsidR="00D02772">
        <w:rPr>
          <w:w w:val="105"/>
        </w:rPr>
        <w:t xml:space="preserve"> </w:t>
      </w:r>
      <w:r w:rsidRPr="00224E42">
        <w:rPr>
          <w:w w:val="105"/>
        </w:rPr>
        <w:t>(1) whether the field of study is high-paying</w:t>
      </w:r>
      <w:r w:rsidR="002A056E">
        <w:rPr>
          <w:w w:val="105"/>
        </w:rPr>
        <w:t>, and</w:t>
      </w:r>
      <w:r w:rsidRPr="00224E42">
        <w:rPr>
          <w:w w:val="105"/>
        </w:rPr>
        <w:t xml:space="preserve"> (2) whether the field of study is low-paying.</w:t>
      </w:r>
      <w:r w:rsidRPr="00B506F2">
        <w:rPr>
          <w:w w:val="105"/>
          <w:vertAlign w:val="superscript"/>
        </w:rPr>
        <w:footnoteReference w:id="7"/>
      </w:r>
      <w:r w:rsidRPr="00B506F2">
        <w:rPr>
          <w:w w:val="105"/>
          <w:vertAlign w:val="superscript"/>
        </w:rPr>
        <w:t xml:space="preserve"> </w:t>
      </w:r>
      <w:r w:rsidRPr="00224E42">
        <w:rPr>
          <w:w w:val="105"/>
        </w:rPr>
        <w:t xml:space="preserve">These two dummy variables </w:t>
      </w:r>
      <w:r w:rsidR="00E304F6">
        <w:rPr>
          <w:w w:val="105"/>
        </w:rPr>
        <w:t>are</w:t>
      </w:r>
      <w:r w:rsidRPr="00224E42">
        <w:rPr>
          <w:w w:val="105"/>
        </w:rPr>
        <w:t xml:space="preserve"> </w:t>
      </w:r>
      <w:r w:rsidR="00C5155C">
        <w:rPr>
          <w:w w:val="105"/>
        </w:rPr>
        <w:t>creat</w:t>
      </w:r>
      <w:r w:rsidR="00C5155C" w:rsidRPr="00224E42">
        <w:rPr>
          <w:w w:val="105"/>
        </w:rPr>
        <w:t xml:space="preserve">ed </w:t>
      </w:r>
      <w:r w:rsidRPr="00224E42">
        <w:rPr>
          <w:w w:val="105"/>
        </w:rPr>
        <w:t xml:space="preserve">based on the earnings information in HILDA waves 12, 16, and 20. </w:t>
      </w:r>
      <m:oMath>
        <m:r>
          <w:rPr>
            <w:rFonts w:ascii="Cambria Math" w:hAnsi="Cambria Math"/>
            <w:w w:val="105"/>
          </w:rPr>
          <m:t>Disadvatange</m:t>
        </m:r>
        <m:sSub>
          <m:sSubPr>
            <m:ctrlPr>
              <w:rPr>
                <w:rFonts w:ascii="Cambria Math" w:hAnsi="Cambria Math"/>
                <w:w w:val="105"/>
              </w:rPr>
            </m:ctrlPr>
          </m:sSubPr>
          <m:e>
            <m:r>
              <w:rPr>
                <w:rFonts w:ascii="Cambria Math" w:hAnsi="Cambria Math"/>
                <w:w w:val="105"/>
              </w:rPr>
              <m:t>s</m:t>
            </m:r>
          </m:e>
          <m:sub>
            <m:r>
              <w:rPr>
                <w:rFonts w:ascii="Cambria Math" w:hAnsi="Cambria Math"/>
                <w:w w:val="105"/>
              </w:rPr>
              <m:t>i</m:t>
            </m:r>
          </m:sub>
        </m:sSub>
      </m:oMath>
      <w:r w:rsidRPr="00224E42">
        <w:rPr>
          <w:w w:val="105"/>
        </w:rPr>
        <w:t xml:space="preserve"> is a vector </w:t>
      </w:r>
      <w:r w:rsidR="00E304F6">
        <w:rPr>
          <w:w w:val="105"/>
        </w:rPr>
        <w:t xml:space="preserve">of variables </w:t>
      </w:r>
      <w:r w:rsidRPr="00224E42">
        <w:rPr>
          <w:w w:val="105"/>
        </w:rPr>
        <w:t xml:space="preserve">representing multidimensional </w:t>
      </w:r>
      <w:r w:rsidR="0097512D">
        <w:rPr>
          <w:w w:val="105"/>
        </w:rPr>
        <w:t>socio-economic</w:t>
      </w:r>
      <w:r w:rsidR="00F629E8">
        <w:rPr>
          <w:w w:val="105"/>
        </w:rPr>
        <w:t xml:space="preserve"> </w:t>
      </w:r>
      <w:r w:rsidR="00F629E8" w:rsidRPr="00BD38F3">
        <w:rPr>
          <w:w w:val="105"/>
        </w:rPr>
        <w:t>backgrounds</w:t>
      </w:r>
      <w:r w:rsidRPr="00224E42">
        <w:rPr>
          <w:w w:val="105"/>
        </w:rPr>
        <w:t xml:space="preserve">, including (1) Aboriginal or Torres Strait Islander origin, (2) </w:t>
      </w:r>
      <w:r w:rsidR="008867B5">
        <w:rPr>
          <w:w w:val="105"/>
        </w:rPr>
        <w:t>NESB</w:t>
      </w:r>
      <w:r w:rsidRPr="00224E42">
        <w:rPr>
          <w:w w:val="105"/>
        </w:rPr>
        <w:t xml:space="preserve">, (3) low </w:t>
      </w:r>
      <w:r w:rsidR="008867B5">
        <w:rPr>
          <w:w w:val="105"/>
        </w:rPr>
        <w:t>SES</w:t>
      </w:r>
      <w:r w:rsidRPr="00224E42">
        <w:rPr>
          <w:w w:val="105"/>
        </w:rPr>
        <w:t xml:space="preserve"> in childhood</w:t>
      </w:r>
      <w:r w:rsidR="00ED61FF">
        <w:rPr>
          <w:w w:val="105"/>
        </w:rPr>
        <w:t>,</w:t>
      </w:r>
      <w:r w:rsidRPr="00224E42">
        <w:rPr>
          <w:w w:val="105"/>
        </w:rPr>
        <w:t xml:space="preserve"> (4) father unemployed for</w:t>
      </w:r>
      <w:r w:rsidR="00905D51">
        <w:rPr>
          <w:w w:val="105"/>
        </w:rPr>
        <w:t xml:space="preserve"> six</w:t>
      </w:r>
      <w:r w:rsidR="001A59B8">
        <w:rPr>
          <w:w w:val="105"/>
        </w:rPr>
        <w:t xml:space="preserve"> months or more</w:t>
      </w:r>
      <w:r w:rsidRPr="00224E42">
        <w:rPr>
          <w:w w:val="105"/>
        </w:rPr>
        <w:t xml:space="preserve"> when growing up, and (5) living in </w:t>
      </w:r>
      <w:r w:rsidR="0048265D">
        <w:rPr>
          <w:w w:val="105"/>
        </w:rPr>
        <w:t xml:space="preserve">a </w:t>
      </w:r>
      <w:r w:rsidRPr="00224E42">
        <w:rPr>
          <w:w w:val="105"/>
        </w:rPr>
        <w:t xml:space="preserve">single-parent family </w:t>
      </w:r>
      <w:r w:rsidR="00754D43">
        <w:rPr>
          <w:w w:val="105"/>
        </w:rPr>
        <w:t>at age</w:t>
      </w:r>
      <w:r w:rsidRPr="00224E42">
        <w:rPr>
          <w:w w:val="105"/>
        </w:rPr>
        <w:t xml:space="preserve"> 14. </w:t>
      </w:r>
      <m:oMath>
        <m:sSub>
          <m:sSubPr>
            <m:ctrlPr>
              <w:rPr>
                <w:rFonts w:ascii="Cambria Math" w:hAnsi="Cambria Math"/>
                <w:w w:val="105"/>
              </w:rPr>
            </m:ctrlPr>
          </m:sSubPr>
          <m:e>
            <m:r>
              <w:rPr>
                <w:rFonts w:ascii="Cambria Math" w:hAnsi="Cambria Math"/>
                <w:w w:val="105"/>
              </w:rPr>
              <m:t>X</m:t>
            </m:r>
          </m:e>
          <m:sub>
            <m:r>
              <w:rPr>
                <w:rFonts w:ascii="Cambria Math" w:hAnsi="Cambria Math"/>
                <w:w w:val="105"/>
              </w:rPr>
              <m:t>i</m:t>
            </m:r>
          </m:sub>
        </m:sSub>
      </m:oMath>
      <w:r w:rsidRPr="00224E42">
        <w:rPr>
          <w:w w:val="105"/>
        </w:rPr>
        <w:t xml:space="preserve"> denotes the vector of control variables including dummy variables</w:t>
      </w:r>
      <w:r w:rsidR="00754D43">
        <w:rPr>
          <w:w w:val="105"/>
        </w:rPr>
        <w:t xml:space="preserve"> for </w:t>
      </w:r>
      <w:r w:rsidRPr="00224E42">
        <w:rPr>
          <w:w w:val="105"/>
        </w:rPr>
        <w:t xml:space="preserve">year of birth, gender, whether born in Australia, number of siblings, whether living in a major city, and dummies for </w:t>
      </w:r>
      <w:r w:rsidR="00601006">
        <w:rPr>
          <w:w w:val="105"/>
        </w:rPr>
        <w:t>s</w:t>
      </w:r>
      <w:r w:rsidRPr="00224E42">
        <w:rPr>
          <w:w w:val="105"/>
        </w:rPr>
        <w:t xml:space="preserve">tate of residence and HILDA waves. </w:t>
      </w:r>
      <w:r w:rsidR="00220374">
        <w:rPr>
          <w:w w:val="105"/>
        </w:rPr>
        <w:t>E</w:t>
      </w:r>
      <w:r w:rsidRPr="00224E42">
        <w:rPr>
          <w:w w:val="105"/>
        </w:rPr>
        <w:t xml:space="preserve">quation (1) </w:t>
      </w:r>
      <w:r w:rsidR="00220374">
        <w:rPr>
          <w:w w:val="105"/>
        </w:rPr>
        <w:t xml:space="preserve">is estimated </w:t>
      </w:r>
      <w:r w:rsidR="001A59B8">
        <w:rPr>
          <w:w w:val="105"/>
        </w:rPr>
        <w:t>using</w:t>
      </w:r>
      <w:r w:rsidR="001A59B8" w:rsidRPr="00224E42">
        <w:rPr>
          <w:w w:val="105"/>
        </w:rPr>
        <w:t xml:space="preserve"> </w:t>
      </w:r>
      <w:r w:rsidRPr="00224E42">
        <w:rPr>
          <w:w w:val="105"/>
        </w:rPr>
        <w:t>ordinary least squares (OLS) regressions</w:t>
      </w:r>
      <w:r w:rsidR="009F5913">
        <w:rPr>
          <w:w w:val="105"/>
        </w:rPr>
        <w:t>;</w:t>
      </w:r>
      <w:r w:rsidRPr="00224E42">
        <w:rPr>
          <w:w w:val="105"/>
        </w:rPr>
        <w:t xml:space="preserve"> the estimated coefficients of the variables of interest represent their marginal effects and are therefore </w:t>
      </w:r>
      <w:r w:rsidR="00B55C1C">
        <w:rPr>
          <w:w w:val="105"/>
        </w:rPr>
        <w:t>straightforward</w:t>
      </w:r>
      <w:r w:rsidRPr="00224E42">
        <w:rPr>
          <w:w w:val="105"/>
        </w:rPr>
        <w:t xml:space="preserve"> to interpret</w:t>
      </w:r>
      <w:r w:rsidRPr="0016620E">
        <w:rPr>
          <w:lang w:eastAsia="en-AU"/>
        </w:rPr>
        <w:t>.</w:t>
      </w:r>
      <w:r w:rsidRPr="0016620E">
        <w:rPr>
          <w:rStyle w:val="FootnoteReference"/>
          <w:rFonts w:cs="Arial"/>
          <w:lang w:eastAsia="en-AU"/>
        </w:rPr>
        <w:footnoteReference w:id="8"/>
      </w:r>
      <w:r w:rsidRPr="0016620E">
        <w:rPr>
          <w:lang w:eastAsia="en-AU"/>
        </w:rPr>
        <w:t xml:space="preserve"> </w:t>
      </w:r>
      <w:r w:rsidRPr="00224E42">
        <w:rPr>
          <w:w w:val="105"/>
        </w:rPr>
        <w:t xml:space="preserve">The </w:t>
      </w:r>
      <w:r w:rsidR="003A61EA">
        <w:rPr>
          <w:w w:val="105"/>
        </w:rPr>
        <w:t xml:space="preserve">equation is estimated </w:t>
      </w:r>
      <w:r w:rsidR="001A59B8">
        <w:rPr>
          <w:w w:val="105"/>
        </w:rPr>
        <w:t>using</w:t>
      </w:r>
      <w:r w:rsidR="001A59B8" w:rsidRPr="00224E42">
        <w:rPr>
          <w:w w:val="105"/>
        </w:rPr>
        <w:t xml:space="preserve"> </w:t>
      </w:r>
      <w:r w:rsidRPr="00224E42">
        <w:rPr>
          <w:w w:val="105"/>
        </w:rPr>
        <w:t>the cross-sectional sample of 4910 workers.</w:t>
      </w:r>
      <w:r w:rsidRPr="001330E4">
        <w:rPr>
          <w:w w:val="105"/>
          <w:vertAlign w:val="superscript"/>
        </w:rPr>
        <w:footnoteReference w:id="9"/>
      </w:r>
      <w:r w:rsidRPr="00224E42">
        <w:rPr>
          <w:w w:val="105"/>
        </w:rPr>
        <w:t xml:space="preserve"> T</w:t>
      </w:r>
      <w:r w:rsidR="00834E06">
        <w:rPr>
          <w:w w:val="105"/>
        </w:rPr>
        <w:t xml:space="preserve">he </w:t>
      </w:r>
      <w:r w:rsidR="00D71502">
        <w:rPr>
          <w:w w:val="105"/>
        </w:rPr>
        <w:t xml:space="preserve">estimated vector </w:t>
      </w:r>
      <m:oMath>
        <m:r>
          <w:rPr>
            <w:rFonts w:ascii="Cambria Math" w:hAnsi="Cambria Math"/>
            <w:w w:val="105"/>
          </w:rPr>
          <m:t>β</m:t>
        </m:r>
      </m:oMath>
      <w:r w:rsidRPr="00224E42">
        <w:rPr>
          <w:w w:val="105"/>
        </w:rPr>
        <w:t xml:space="preserve"> in Equation (1) indicate</w:t>
      </w:r>
      <w:r w:rsidR="00B23B90">
        <w:rPr>
          <w:w w:val="105"/>
        </w:rPr>
        <w:t>s</w:t>
      </w:r>
      <w:r w:rsidRPr="00224E42">
        <w:rPr>
          <w:w w:val="105"/>
        </w:rPr>
        <w:t xml:space="preserve"> the role of multidimensional </w:t>
      </w:r>
      <w:r w:rsidR="0097512D">
        <w:rPr>
          <w:w w:val="105"/>
        </w:rPr>
        <w:t>socio-economic</w:t>
      </w:r>
      <w:r w:rsidR="00F629E8">
        <w:rPr>
          <w:w w:val="105"/>
        </w:rPr>
        <w:t xml:space="preserve"> </w:t>
      </w:r>
      <w:r w:rsidR="00F629E8" w:rsidRPr="00BD38F3">
        <w:rPr>
          <w:w w:val="105"/>
        </w:rPr>
        <w:t>backgrounds</w:t>
      </w:r>
      <w:r w:rsidR="00F629E8">
        <w:rPr>
          <w:w w:val="105"/>
        </w:rPr>
        <w:t xml:space="preserve"> </w:t>
      </w:r>
      <w:r w:rsidRPr="00224E42">
        <w:rPr>
          <w:w w:val="105"/>
        </w:rPr>
        <w:t xml:space="preserve">in </w:t>
      </w:r>
      <w:r w:rsidR="008867B5">
        <w:rPr>
          <w:w w:val="105"/>
        </w:rPr>
        <w:t xml:space="preserve">an </w:t>
      </w:r>
      <w:r w:rsidRPr="00224E42">
        <w:rPr>
          <w:w w:val="105"/>
        </w:rPr>
        <w:t>individual</w:t>
      </w:r>
      <w:r w:rsidR="008867B5">
        <w:rPr>
          <w:w w:val="105"/>
        </w:rPr>
        <w:t>’</w:t>
      </w:r>
      <w:r w:rsidRPr="00224E42">
        <w:rPr>
          <w:w w:val="105"/>
        </w:rPr>
        <w:t>s choice of field</w:t>
      </w:r>
      <w:r w:rsidR="00CB1A5D">
        <w:rPr>
          <w:w w:val="105"/>
        </w:rPr>
        <w:t>s</w:t>
      </w:r>
      <w:r w:rsidRPr="00224E42">
        <w:rPr>
          <w:w w:val="105"/>
        </w:rPr>
        <w:t xml:space="preserve"> of study at university. </w:t>
      </w:r>
    </w:p>
    <w:p w14:paraId="0A15DC50" w14:textId="1549ED8F" w:rsidR="003B2D3F" w:rsidRPr="00B506F2" w:rsidRDefault="00E01C9C" w:rsidP="00BF48E1">
      <w:pPr>
        <w:rPr>
          <w:b/>
          <w:bCs/>
          <w:w w:val="105"/>
        </w:rPr>
      </w:pPr>
      <w:r w:rsidRPr="00B506F2">
        <w:rPr>
          <w:b/>
          <w:bCs/>
          <w:w w:val="105"/>
        </w:rPr>
        <w:lastRenderedPageBreak/>
        <w:t xml:space="preserve">Question </w:t>
      </w:r>
      <w:r w:rsidR="003B2D3F" w:rsidRPr="00B506F2">
        <w:rPr>
          <w:b/>
          <w:bCs/>
          <w:w w:val="105"/>
        </w:rPr>
        <w:t>(3)</w:t>
      </w:r>
      <w:r w:rsidRPr="00B506F2">
        <w:rPr>
          <w:b/>
          <w:bCs/>
          <w:w w:val="105"/>
        </w:rPr>
        <w:t>:</w:t>
      </w:r>
      <w:r w:rsidR="003B2D3F" w:rsidRPr="00B506F2">
        <w:rPr>
          <w:b/>
          <w:bCs/>
          <w:w w:val="105"/>
        </w:rPr>
        <w:t xml:space="preserve"> </w:t>
      </w:r>
      <w:r w:rsidR="005876A0" w:rsidRPr="005876A0">
        <w:rPr>
          <w:b/>
          <w:bCs/>
          <w:w w:val="105"/>
        </w:rPr>
        <w:t>How does the choice of university field</w:t>
      </w:r>
      <w:r w:rsidR="00CB1A5D">
        <w:rPr>
          <w:b/>
          <w:bCs/>
          <w:w w:val="105"/>
        </w:rPr>
        <w:t>s</w:t>
      </w:r>
      <w:r w:rsidR="005876A0" w:rsidRPr="005876A0">
        <w:rPr>
          <w:b/>
          <w:bCs/>
          <w:w w:val="105"/>
        </w:rPr>
        <w:t xml:space="preserve"> of study contribute to differences in employment and earnings outcomes among Australians from different </w:t>
      </w:r>
      <w:r w:rsidR="0097512D">
        <w:rPr>
          <w:b/>
          <w:bCs/>
          <w:w w:val="105"/>
        </w:rPr>
        <w:t>socio-economic</w:t>
      </w:r>
      <w:r w:rsidR="00AB5A0C">
        <w:rPr>
          <w:b/>
          <w:bCs/>
          <w:w w:val="105"/>
        </w:rPr>
        <w:t xml:space="preserve"> </w:t>
      </w:r>
      <w:r w:rsidR="005876A0" w:rsidRPr="005876A0">
        <w:rPr>
          <w:b/>
          <w:bCs/>
          <w:w w:val="105"/>
        </w:rPr>
        <w:t>backgrounds?</w:t>
      </w:r>
    </w:p>
    <w:p w14:paraId="7CA0DC75" w14:textId="502B357B" w:rsidR="009B3753" w:rsidRPr="00224E42" w:rsidRDefault="00446AF4" w:rsidP="00BF48E1">
      <w:pPr>
        <w:rPr>
          <w:w w:val="105"/>
        </w:rPr>
      </w:pPr>
      <w:r>
        <w:rPr>
          <w:w w:val="105"/>
        </w:rPr>
        <w:t>W</w:t>
      </w:r>
      <w:r w:rsidR="009B3753" w:rsidRPr="00224E42">
        <w:rPr>
          <w:w w:val="105"/>
        </w:rPr>
        <w:t xml:space="preserve">e first examine how multidimensional </w:t>
      </w:r>
      <w:r w:rsidR="0097512D">
        <w:rPr>
          <w:w w:val="105"/>
        </w:rPr>
        <w:t>socio-economic</w:t>
      </w:r>
      <w:r w:rsidR="00DE5B37">
        <w:rPr>
          <w:w w:val="105"/>
        </w:rPr>
        <w:t xml:space="preserve"> </w:t>
      </w:r>
      <w:r w:rsidR="00DE5B37" w:rsidRPr="00BD38F3">
        <w:rPr>
          <w:w w:val="105"/>
        </w:rPr>
        <w:t>backgrounds</w:t>
      </w:r>
      <w:r w:rsidR="00DE5B37">
        <w:rPr>
          <w:w w:val="105"/>
        </w:rPr>
        <w:t xml:space="preserve"> </w:t>
      </w:r>
      <w:r w:rsidR="009B3753" w:rsidRPr="00224E42">
        <w:rPr>
          <w:w w:val="105"/>
        </w:rPr>
        <w:t>are associated with post-graduation labour market outcomes using the following linear specification:</w:t>
      </w:r>
    </w:p>
    <w:p w14:paraId="42366618" w14:textId="3EA8340F" w:rsidR="009B3753" w:rsidRPr="00224E42" w:rsidRDefault="009B3753" w:rsidP="00BF48E1">
      <w:pPr>
        <w:rPr>
          <w:w w:val="105"/>
        </w:rPr>
      </w:pPr>
      <m:oMath>
        <m:r>
          <w:rPr>
            <w:rFonts w:ascii="Cambria Math" w:hAnsi="Cambria Math"/>
            <w:w w:val="105"/>
          </w:rPr>
          <m:t>Outcom</m:t>
        </m:r>
        <m:sSub>
          <m:sSubPr>
            <m:ctrlPr>
              <w:rPr>
                <w:rFonts w:ascii="Cambria Math" w:hAnsi="Cambria Math"/>
                <w:w w:val="105"/>
              </w:rPr>
            </m:ctrlPr>
          </m:sSubPr>
          <m:e>
            <m:r>
              <w:rPr>
                <w:rFonts w:ascii="Cambria Math" w:hAnsi="Cambria Math"/>
                <w:w w:val="105"/>
              </w:rPr>
              <m:t>e</m:t>
            </m:r>
          </m:e>
          <m:sub>
            <m:r>
              <w:rPr>
                <w:rFonts w:ascii="Cambria Math" w:hAnsi="Cambria Math"/>
                <w:w w:val="105"/>
              </w:rPr>
              <m:t>it</m:t>
            </m:r>
          </m:sub>
        </m:sSub>
        <m:r>
          <m:rPr>
            <m:sty m:val="p"/>
          </m:rPr>
          <w:rPr>
            <w:rFonts w:ascii="Cambria Math" w:hAnsi="Cambria Math"/>
            <w:w w:val="105"/>
          </w:rPr>
          <m:t>=</m:t>
        </m:r>
        <m:sSub>
          <m:sSubPr>
            <m:ctrlPr>
              <w:rPr>
                <w:rFonts w:ascii="Cambria Math" w:hAnsi="Cambria Math"/>
                <w:w w:val="105"/>
              </w:rPr>
            </m:ctrlPr>
          </m:sSubPr>
          <m:e>
            <m:r>
              <w:rPr>
                <w:rFonts w:ascii="Cambria Math" w:hAnsi="Cambria Math"/>
                <w:w w:val="105"/>
              </w:rPr>
              <m:t>α</m:t>
            </m:r>
          </m:e>
          <m:sub>
            <m:r>
              <m:rPr>
                <m:sty m:val="p"/>
              </m:rPr>
              <w:rPr>
                <w:rFonts w:ascii="Cambria Math" w:hAnsi="Cambria Math"/>
                <w:w w:val="105"/>
              </w:rPr>
              <m:t>1</m:t>
            </m:r>
          </m:sub>
        </m:sSub>
        <m:r>
          <m:rPr>
            <m:sty m:val="p"/>
          </m:rPr>
          <w:rPr>
            <w:rFonts w:ascii="Cambria Math" w:hAnsi="Cambria Math"/>
            <w:w w:val="105"/>
          </w:rPr>
          <m:t xml:space="preserve">+ </m:t>
        </m:r>
        <m:r>
          <w:rPr>
            <w:rFonts w:ascii="Cambria Math" w:hAnsi="Cambria Math"/>
            <w:w w:val="105"/>
          </w:rPr>
          <m:t>Disadvatange</m:t>
        </m:r>
        <m:sSubSup>
          <m:sSubSupPr>
            <m:ctrlPr>
              <w:rPr>
                <w:rFonts w:ascii="Cambria Math" w:hAnsi="Cambria Math"/>
                <w:w w:val="105"/>
              </w:rPr>
            </m:ctrlPr>
          </m:sSubSupPr>
          <m:e>
            <m:r>
              <w:rPr>
                <w:rFonts w:ascii="Cambria Math" w:hAnsi="Cambria Math"/>
                <w:w w:val="105"/>
              </w:rPr>
              <m:t>s</m:t>
            </m:r>
          </m:e>
          <m:sub>
            <m:r>
              <w:rPr>
                <w:rFonts w:ascii="Cambria Math" w:hAnsi="Cambria Math"/>
                <w:w w:val="105"/>
              </w:rPr>
              <m:t>i</m:t>
            </m:r>
          </m:sub>
          <m:sup>
            <m:r>
              <m:rPr>
                <m:sty m:val="p"/>
              </m:rPr>
              <w:rPr>
                <w:rFonts w:ascii="Cambria Math" w:hAnsi="Cambria Math"/>
                <w:w w:val="105"/>
              </w:rPr>
              <m:t>'</m:t>
            </m:r>
          </m:sup>
        </m:sSubSup>
        <m:sSub>
          <m:sSubPr>
            <m:ctrlPr>
              <w:rPr>
                <w:rFonts w:ascii="Cambria Math" w:hAnsi="Cambria Math"/>
                <w:w w:val="105"/>
              </w:rPr>
            </m:ctrlPr>
          </m:sSubPr>
          <m:e>
            <m:r>
              <w:rPr>
                <w:rFonts w:ascii="Cambria Math" w:hAnsi="Cambria Math"/>
                <w:w w:val="105"/>
              </w:rPr>
              <m:t>β</m:t>
            </m:r>
          </m:e>
          <m:sub>
            <m:r>
              <m:rPr>
                <m:sty m:val="p"/>
              </m:rPr>
              <w:rPr>
                <w:rFonts w:ascii="Cambria Math" w:hAnsi="Cambria Math"/>
                <w:w w:val="105"/>
              </w:rPr>
              <m:t>1</m:t>
            </m:r>
          </m:sub>
        </m:sSub>
        <m:r>
          <m:rPr>
            <m:sty m:val="p"/>
          </m:rPr>
          <w:rPr>
            <w:rFonts w:ascii="Cambria Math" w:hAnsi="Cambria Math"/>
            <w:w w:val="105"/>
          </w:rPr>
          <m:t>+</m:t>
        </m:r>
        <m:sSub>
          <m:sSubPr>
            <m:ctrlPr>
              <w:rPr>
                <w:rFonts w:ascii="Cambria Math" w:hAnsi="Cambria Math"/>
                <w:w w:val="105"/>
              </w:rPr>
            </m:ctrlPr>
          </m:sSubPr>
          <m:e>
            <m:r>
              <w:rPr>
                <w:rFonts w:ascii="Cambria Math" w:hAnsi="Cambria Math"/>
                <w:w w:val="105"/>
              </w:rPr>
              <m:t>X</m:t>
            </m:r>
          </m:e>
          <m:sub>
            <m:r>
              <w:rPr>
                <w:rFonts w:ascii="Cambria Math" w:hAnsi="Cambria Math"/>
                <w:w w:val="105"/>
              </w:rPr>
              <m:t>it</m:t>
            </m:r>
          </m:sub>
        </m:sSub>
        <m:r>
          <w:rPr>
            <w:rFonts w:ascii="Cambria Math" w:hAnsi="Cambria Math"/>
            <w:w w:val="105"/>
          </w:rPr>
          <m:t>'</m:t>
        </m:r>
        <m:sSub>
          <m:sSubPr>
            <m:ctrlPr>
              <w:rPr>
                <w:rFonts w:ascii="Cambria Math" w:hAnsi="Cambria Math"/>
                <w:w w:val="105"/>
              </w:rPr>
            </m:ctrlPr>
          </m:sSubPr>
          <m:e>
            <m:r>
              <w:rPr>
                <w:rFonts w:ascii="Cambria Math" w:hAnsi="Cambria Math"/>
                <w:w w:val="105"/>
              </w:rPr>
              <m:t>γ</m:t>
            </m:r>
          </m:e>
          <m:sub>
            <m:r>
              <m:rPr>
                <m:sty m:val="p"/>
              </m:rPr>
              <w:rPr>
                <w:rFonts w:ascii="Cambria Math" w:hAnsi="Cambria Math"/>
                <w:w w:val="105"/>
              </w:rPr>
              <m:t>1</m:t>
            </m:r>
          </m:sub>
        </m:sSub>
        <m:r>
          <m:rPr>
            <m:sty m:val="p"/>
          </m:rPr>
          <w:rPr>
            <w:rFonts w:ascii="Cambria Math" w:hAnsi="Cambria Math"/>
            <w:w w:val="105"/>
          </w:rPr>
          <m:t>+</m:t>
        </m:r>
        <m:sSub>
          <m:sSubPr>
            <m:ctrlPr>
              <w:rPr>
                <w:rFonts w:ascii="Cambria Math" w:hAnsi="Cambria Math"/>
                <w:w w:val="105"/>
              </w:rPr>
            </m:ctrlPr>
          </m:sSubPr>
          <m:e>
            <m:r>
              <w:rPr>
                <w:rFonts w:ascii="Cambria Math" w:hAnsi="Cambria Math"/>
                <w:w w:val="105"/>
              </w:rPr>
              <m:t>μ</m:t>
            </m:r>
          </m:e>
          <m:sub>
            <m:r>
              <w:rPr>
                <w:rFonts w:ascii="Cambria Math" w:hAnsi="Cambria Math"/>
                <w:w w:val="105"/>
              </w:rPr>
              <m:t>i</m:t>
            </m:r>
          </m:sub>
        </m:sSub>
        <m:r>
          <m:rPr>
            <m:sty m:val="p"/>
          </m:rPr>
          <w:rPr>
            <w:rFonts w:ascii="Cambria Math" w:hAnsi="Cambria Math"/>
            <w:w w:val="105"/>
          </w:rPr>
          <m:t>+</m:t>
        </m:r>
        <m:sSub>
          <m:sSubPr>
            <m:ctrlPr>
              <w:rPr>
                <w:rFonts w:ascii="Cambria Math" w:hAnsi="Cambria Math"/>
                <w:w w:val="105"/>
              </w:rPr>
            </m:ctrlPr>
          </m:sSubPr>
          <m:e>
            <m:r>
              <w:rPr>
                <w:rFonts w:ascii="Cambria Math" w:hAnsi="Cambria Math"/>
                <w:w w:val="105"/>
              </w:rPr>
              <m:t>ϵ</m:t>
            </m:r>
          </m:e>
          <m:sub>
            <m:r>
              <w:rPr>
                <w:rFonts w:ascii="Cambria Math" w:hAnsi="Cambria Math"/>
                <w:w w:val="105"/>
              </w:rPr>
              <m:t>it</m:t>
            </m:r>
          </m:sub>
        </m:sSub>
      </m:oMath>
      <w:r w:rsidRPr="00224E42">
        <w:rPr>
          <w:w w:val="105"/>
        </w:rPr>
        <w:t xml:space="preserve">               </w:t>
      </w:r>
      <w:r w:rsidR="00224E42">
        <w:rPr>
          <w:w w:val="105"/>
        </w:rPr>
        <w:tab/>
      </w:r>
      <w:r w:rsidRPr="00224E42">
        <w:rPr>
          <w:w w:val="105"/>
        </w:rPr>
        <w:t xml:space="preserve">    </w:t>
      </w:r>
      <w:r w:rsidRPr="00224E42">
        <w:rPr>
          <w:w w:val="105"/>
        </w:rPr>
        <w:tab/>
      </w:r>
      <w:r w:rsidRPr="00224E42">
        <w:rPr>
          <w:w w:val="105"/>
        </w:rPr>
        <w:tab/>
        <w:t>(2)</w:t>
      </w:r>
    </w:p>
    <w:p w14:paraId="3BF78EA5" w14:textId="7C1398AB" w:rsidR="009B3753" w:rsidRPr="00224E42" w:rsidRDefault="009B3753" w:rsidP="00BF48E1">
      <w:pPr>
        <w:rPr>
          <w:w w:val="105"/>
        </w:rPr>
      </w:pPr>
      <w:r w:rsidRPr="00224E42">
        <w:rPr>
          <w:w w:val="105"/>
        </w:rPr>
        <w:t xml:space="preserve">In Equation (2), </w:t>
      </w:r>
      <m:oMath>
        <m:r>
          <w:rPr>
            <w:rFonts w:ascii="Cambria Math" w:hAnsi="Cambria Math"/>
            <w:w w:val="105"/>
          </w:rPr>
          <m:t>Outcom</m:t>
        </m:r>
        <m:sSub>
          <m:sSubPr>
            <m:ctrlPr>
              <w:rPr>
                <w:rFonts w:ascii="Cambria Math" w:hAnsi="Cambria Math"/>
                <w:w w:val="105"/>
              </w:rPr>
            </m:ctrlPr>
          </m:sSubPr>
          <m:e>
            <m:r>
              <w:rPr>
                <w:rFonts w:ascii="Cambria Math" w:hAnsi="Cambria Math"/>
                <w:w w:val="105"/>
              </w:rPr>
              <m:t>e</m:t>
            </m:r>
          </m:e>
          <m:sub>
            <m:r>
              <w:rPr>
                <w:rFonts w:ascii="Cambria Math" w:hAnsi="Cambria Math"/>
                <w:w w:val="105"/>
              </w:rPr>
              <m:t>it</m:t>
            </m:r>
          </m:sub>
        </m:sSub>
      </m:oMath>
      <w:r w:rsidRPr="00224E42">
        <w:rPr>
          <w:w w:val="105"/>
        </w:rPr>
        <w:t xml:space="preserve"> represents one of the following five dependent variables: (1) whether employed full-time</w:t>
      </w:r>
      <w:r w:rsidR="0019345D">
        <w:rPr>
          <w:w w:val="105"/>
        </w:rPr>
        <w:t>,</w:t>
      </w:r>
      <w:r w:rsidRPr="00224E42">
        <w:rPr>
          <w:w w:val="105"/>
        </w:rPr>
        <w:t xml:space="preserve"> (2) whether employed on a permanent or ongoing basis</w:t>
      </w:r>
      <w:r w:rsidR="0019345D">
        <w:rPr>
          <w:w w:val="105"/>
        </w:rPr>
        <w:t>,</w:t>
      </w:r>
      <w:r w:rsidRPr="00224E42">
        <w:rPr>
          <w:w w:val="105"/>
        </w:rPr>
        <w:t xml:space="preserve"> (3) whether employed in a managerial or professional occupation</w:t>
      </w:r>
      <w:r w:rsidR="0019345D">
        <w:rPr>
          <w:w w:val="105"/>
        </w:rPr>
        <w:t>,</w:t>
      </w:r>
      <w:r w:rsidRPr="00224E42">
        <w:rPr>
          <w:w w:val="105"/>
        </w:rPr>
        <w:t xml:space="preserve"> (4) logarithmic weekly earnings</w:t>
      </w:r>
      <w:r w:rsidR="0019345D">
        <w:rPr>
          <w:w w:val="105"/>
        </w:rPr>
        <w:t xml:space="preserve">, </w:t>
      </w:r>
      <w:r w:rsidRPr="00224E42">
        <w:rPr>
          <w:w w:val="105"/>
        </w:rPr>
        <w:t xml:space="preserve">and (5) job satisfaction (standardised to have a mean of zero and a standard deviation of one). The control variables, denoted by </w:t>
      </w:r>
      <m:oMath>
        <m:sSub>
          <m:sSubPr>
            <m:ctrlPr>
              <w:rPr>
                <w:rFonts w:ascii="Cambria Math" w:hAnsi="Cambria Math"/>
                <w:w w:val="105"/>
              </w:rPr>
            </m:ctrlPr>
          </m:sSubPr>
          <m:e>
            <m:r>
              <w:rPr>
                <w:rFonts w:ascii="Cambria Math" w:hAnsi="Cambria Math"/>
                <w:w w:val="105"/>
              </w:rPr>
              <m:t>X</m:t>
            </m:r>
          </m:e>
          <m:sub>
            <m:r>
              <w:rPr>
                <w:rFonts w:ascii="Cambria Math" w:hAnsi="Cambria Math"/>
                <w:w w:val="105"/>
              </w:rPr>
              <m:t>it</m:t>
            </m:r>
          </m:sub>
        </m:sSub>
      </m:oMath>
      <w:r w:rsidRPr="00224E42">
        <w:rPr>
          <w:w w:val="105"/>
        </w:rPr>
        <w:t xml:space="preserve">, include age, age squared, gender, dummies for marital status, whether born in Australia, whether living in a major city, and dummies for state of residence and HILDA waves. Individual heterogeneity, </w:t>
      </w:r>
      <m:oMath>
        <m:sSub>
          <m:sSubPr>
            <m:ctrlPr>
              <w:rPr>
                <w:rFonts w:ascii="Cambria Math" w:hAnsi="Cambria Math"/>
                <w:w w:val="105"/>
              </w:rPr>
            </m:ctrlPr>
          </m:sSubPr>
          <m:e>
            <m:r>
              <w:rPr>
                <w:rFonts w:ascii="Cambria Math" w:hAnsi="Cambria Math"/>
                <w:w w:val="105"/>
              </w:rPr>
              <m:t>μ</m:t>
            </m:r>
          </m:e>
          <m:sub>
            <m:r>
              <w:rPr>
                <w:rFonts w:ascii="Cambria Math" w:hAnsi="Cambria Math"/>
                <w:w w:val="105"/>
              </w:rPr>
              <m:t>i</m:t>
            </m:r>
          </m:sub>
        </m:sSub>
      </m:oMath>
      <w:r w:rsidRPr="00224E42">
        <w:rPr>
          <w:w w:val="105"/>
        </w:rPr>
        <w:t>, captures the impact of the unobserved time-invariant factors specific to each individual. In our panel data of 9</w:t>
      </w:r>
      <w:r w:rsidR="008867B5">
        <w:rPr>
          <w:w w:val="105"/>
        </w:rPr>
        <w:t>,</w:t>
      </w:r>
      <w:r w:rsidRPr="00224E42">
        <w:rPr>
          <w:w w:val="105"/>
        </w:rPr>
        <w:t>810 observations for 4</w:t>
      </w:r>
      <w:r w:rsidR="008867B5">
        <w:rPr>
          <w:w w:val="105"/>
        </w:rPr>
        <w:t>,</w:t>
      </w:r>
      <w:r w:rsidRPr="00224E42">
        <w:rPr>
          <w:w w:val="105"/>
        </w:rPr>
        <w:t>910 workers, we have repeated measures of labour market outcomes for most of the workers. Therefore, Equation (2) is estimated using random effects (RE) panel regressions</w:t>
      </w:r>
      <w:r w:rsidRPr="0016620E">
        <w:rPr>
          <w:lang w:eastAsia="en-AU"/>
        </w:rPr>
        <w:t>.</w:t>
      </w:r>
      <w:r w:rsidRPr="0016620E">
        <w:rPr>
          <w:rStyle w:val="FootnoteReference"/>
          <w:rFonts w:cs="Arial"/>
          <w:lang w:eastAsia="en-AU"/>
        </w:rPr>
        <w:footnoteReference w:id="10"/>
      </w:r>
      <w:r w:rsidRPr="0016620E">
        <w:rPr>
          <w:lang w:eastAsia="en-AU"/>
        </w:rPr>
        <w:t xml:space="preserve"> </w:t>
      </w:r>
      <w:r w:rsidRPr="00224E42">
        <w:rPr>
          <w:w w:val="105"/>
        </w:rPr>
        <w:t xml:space="preserve">To account for serial correlation across HILDA waves, standard errors are adjusted for clustering at the individual level. The estimated vector of </w:t>
      </w:r>
      <m:oMath>
        <m:sSub>
          <m:sSubPr>
            <m:ctrlPr>
              <w:rPr>
                <w:rFonts w:ascii="Cambria Math" w:hAnsi="Cambria Math"/>
                <w:w w:val="105"/>
              </w:rPr>
            </m:ctrlPr>
          </m:sSubPr>
          <m:e>
            <m:r>
              <w:rPr>
                <w:rFonts w:ascii="Cambria Math" w:hAnsi="Cambria Math"/>
                <w:w w:val="105"/>
              </w:rPr>
              <m:t>β</m:t>
            </m:r>
          </m:e>
          <m:sub>
            <m:r>
              <m:rPr>
                <m:sty m:val="p"/>
              </m:rPr>
              <w:rPr>
                <w:rFonts w:ascii="Cambria Math" w:hAnsi="Cambria Math"/>
                <w:w w:val="105"/>
              </w:rPr>
              <m:t>1</m:t>
            </m:r>
          </m:sub>
        </m:sSub>
      </m:oMath>
      <w:r w:rsidRPr="00224E42">
        <w:rPr>
          <w:w w:val="105"/>
        </w:rPr>
        <w:t xml:space="preserve"> then shows the </w:t>
      </w:r>
      <w:r w:rsidR="00D6233F">
        <w:rPr>
          <w:w w:val="105"/>
        </w:rPr>
        <w:t xml:space="preserve">effects </w:t>
      </w:r>
      <w:r w:rsidRPr="00224E42">
        <w:rPr>
          <w:w w:val="105"/>
        </w:rPr>
        <w:t xml:space="preserve">of childhood </w:t>
      </w:r>
      <w:r w:rsidR="0097512D">
        <w:rPr>
          <w:w w:val="105"/>
        </w:rPr>
        <w:t>socio-economic</w:t>
      </w:r>
      <w:r w:rsidR="00807E0D" w:rsidRPr="00BC1650">
        <w:rPr>
          <w:w w:val="105"/>
        </w:rPr>
        <w:t xml:space="preserve"> background</w:t>
      </w:r>
      <w:r w:rsidR="00807E0D">
        <w:rPr>
          <w:w w:val="105"/>
        </w:rPr>
        <w:t xml:space="preserve">s </w:t>
      </w:r>
      <w:r w:rsidRPr="00224E42">
        <w:rPr>
          <w:w w:val="105"/>
        </w:rPr>
        <w:t>on post-university labour market performance.</w:t>
      </w:r>
    </w:p>
    <w:p w14:paraId="2328274F" w14:textId="16D4DA59" w:rsidR="009B3753" w:rsidRPr="00224E42" w:rsidRDefault="009B3753" w:rsidP="00BF48E1">
      <w:pPr>
        <w:rPr>
          <w:w w:val="105"/>
        </w:rPr>
      </w:pPr>
      <w:r w:rsidRPr="00224E42">
        <w:rPr>
          <w:w w:val="105"/>
        </w:rPr>
        <w:t xml:space="preserve">To examine how fields of study mediate the relationship between </w:t>
      </w:r>
      <w:r w:rsidR="0097512D">
        <w:rPr>
          <w:w w:val="105"/>
        </w:rPr>
        <w:t>socio-economic</w:t>
      </w:r>
      <w:r w:rsidR="0028303A">
        <w:rPr>
          <w:w w:val="105"/>
        </w:rPr>
        <w:t xml:space="preserve"> </w:t>
      </w:r>
      <w:r w:rsidR="0028303A" w:rsidRPr="00BD38F3">
        <w:rPr>
          <w:w w:val="105"/>
        </w:rPr>
        <w:t>backgrounds</w:t>
      </w:r>
      <w:r w:rsidRPr="00224E42">
        <w:rPr>
          <w:w w:val="105"/>
        </w:rPr>
        <w:t xml:space="preserve"> and employment and earnings outcomes, we estimate the following equation using RE panel regressions:</w:t>
      </w:r>
    </w:p>
    <w:p w14:paraId="5678D398" w14:textId="51D25300" w:rsidR="009B3753" w:rsidRPr="00224E42" w:rsidRDefault="009B3753" w:rsidP="00BF48E1">
      <w:pPr>
        <w:rPr>
          <w:w w:val="105"/>
        </w:rPr>
      </w:pPr>
      <m:oMath>
        <m:r>
          <w:rPr>
            <w:rFonts w:ascii="Cambria Math" w:hAnsi="Cambria Math"/>
            <w:w w:val="105"/>
          </w:rPr>
          <m:t>Outcom</m:t>
        </m:r>
        <m:sSub>
          <m:sSubPr>
            <m:ctrlPr>
              <w:rPr>
                <w:rFonts w:ascii="Cambria Math" w:hAnsi="Cambria Math"/>
                <w:w w:val="105"/>
              </w:rPr>
            </m:ctrlPr>
          </m:sSubPr>
          <m:e>
            <m:r>
              <w:rPr>
                <w:rFonts w:ascii="Cambria Math" w:hAnsi="Cambria Math"/>
                <w:w w:val="105"/>
              </w:rPr>
              <m:t>e</m:t>
            </m:r>
          </m:e>
          <m:sub>
            <m:r>
              <w:rPr>
                <w:rFonts w:ascii="Cambria Math" w:hAnsi="Cambria Math"/>
                <w:w w:val="105"/>
              </w:rPr>
              <m:t>it</m:t>
            </m:r>
          </m:sub>
        </m:sSub>
        <m:r>
          <m:rPr>
            <m:sty m:val="p"/>
          </m:rPr>
          <w:rPr>
            <w:rFonts w:ascii="Cambria Math" w:hAnsi="Cambria Math"/>
            <w:w w:val="105"/>
          </w:rPr>
          <m:t>=</m:t>
        </m:r>
        <m:sSub>
          <m:sSubPr>
            <m:ctrlPr>
              <w:rPr>
                <w:rFonts w:ascii="Cambria Math" w:hAnsi="Cambria Math"/>
                <w:w w:val="105"/>
              </w:rPr>
            </m:ctrlPr>
          </m:sSubPr>
          <m:e>
            <m:r>
              <w:rPr>
                <w:rFonts w:ascii="Cambria Math" w:hAnsi="Cambria Math"/>
                <w:w w:val="105"/>
              </w:rPr>
              <m:t>α</m:t>
            </m:r>
          </m:e>
          <m:sub>
            <m:r>
              <m:rPr>
                <m:sty m:val="p"/>
              </m:rPr>
              <w:rPr>
                <w:rFonts w:ascii="Cambria Math" w:hAnsi="Cambria Math"/>
                <w:w w:val="105"/>
              </w:rPr>
              <m:t>2</m:t>
            </m:r>
          </m:sub>
        </m:sSub>
        <m:r>
          <m:rPr>
            <m:sty m:val="p"/>
          </m:rPr>
          <w:rPr>
            <w:rFonts w:ascii="Cambria Math" w:hAnsi="Cambria Math"/>
            <w:w w:val="105"/>
          </w:rPr>
          <m:t xml:space="preserve">+ </m:t>
        </m:r>
        <m:r>
          <w:rPr>
            <w:rFonts w:ascii="Cambria Math" w:hAnsi="Cambria Math"/>
            <w:w w:val="105"/>
          </w:rPr>
          <m:t>Disadvatange</m:t>
        </m:r>
        <m:sSubSup>
          <m:sSubSupPr>
            <m:ctrlPr>
              <w:rPr>
                <w:rFonts w:ascii="Cambria Math" w:hAnsi="Cambria Math"/>
                <w:w w:val="105"/>
              </w:rPr>
            </m:ctrlPr>
          </m:sSubSupPr>
          <m:e>
            <m:r>
              <w:rPr>
                <w:rFonts w:ascii="Cambria Math" w:hAnsi="Cambria Math"/>
                <w:w w:val="105"/>
              </w:rPr>
              <m:t>s</m:t>
            </m:r>
          </m:e>
          <m:sub>
            <m:r>
              <w:rPr>
                <w:rFonts w:ascii="Cambria Math" w:hAnsi="Cambria Math"/>
                <w:w w:val="105"/>
              </w:rPr>
              <m:t>i</m:t>
            </m:r>
          </m:sub>
          <m:sup>
            <m:r>
              <m:rPr>
                <m:sty m:val="p"/>
              </m:rPr>
              <w:rPr>
                <w:rFonts w:ascii="Cambria Math" w:hAnsi="Cambria Math"/>
                <w:w w:val="105"/>
              </w:rPr>
              <m:t>'</m:t>
            </m:r>
          </m:sup>
        </m:sSubSup>
        <m:sSub>
          <m:sSubPr>
            <m:ctrlPr>
              <w:rPr>
                <w:rFonts w:ascii="Cambria Math" w:hAnsi="Cambria Math"/>
                <w:w w:val="105"/>
              </w:rPr>
            </m:ctrlPr>
          </m:sSubPr>
          <m:e>
            <m:r>
              <w:rPr>
                <w:rFonts w:ascii="Cambria Math" w:hAnsi="Cambria Math"/>
                <w:w w:val="105"/>
              </w:rPr>
              <m:t>β</m:t>
            </m:r>
          </m:e>
          <m:sub>
            <m:r>
              <m:rPr>
                <m:sty m:val="p"/>
              </m:rPr>
              <w:rPr>
                <w:rFonts w:ascii="Cambria Math" w:hAnsi="Cambria Math"/>
                <w:w w:val="105"/>
              </w:rPr>
              <m:t>2</m:t>
            </m:r>
          </m:sub>
        </m:sSub>
        <m:r>
          <m:rPr>
            <m:sty m:val="p"/>
          </m:rPr>
          <w:rPr>
            <w:rFonts w:ascii="Cambria Math" w:hAnsi="Cambria Math"/>
            <w:w w:val="105"/>
          </w:rPr>
          <m:t>+</m:t>
        </m:r>
        <m:r>
          <w:rPr>
            <w:rFonts w:ascii="Cambria Math" w:hAnsi="Cambria Math"/>
            <w:w w:val="105"/>
          </w:rPr>
          <m:t>Fiel</m:t>
        </m:r>
        <m:sSubSup>
          <m:sSubSupPr>
            <m:ctrlPr>
              <w:rPr>
                <w:rFonts w:ascii="Cambria Math" w:hAnsi="Cambria Math"/>
                <w:w w:val="105"/>
              </w:rPr>
            </m:ctrlPr>
          </m:sSubSupPr>
          <m:e>
            <m:r>
              <w:rPr>
                <w:rFonts w:ascii="Cambria Math" w:hAnsi="Cambria Math"/>
                <w:w w:val="105"/>
              </w:rPr>
              <m:t>d</m:t>
            </m:r>
          </m:e>
          <m:sub>
            <m:r>
              <w:rPr>
                <w:rFonts w:ascii="Cambria Math" w:hAnsi="Cambria Math"/>
                <w:w w:val="105"/>
              </w:rPr>
              <m:t>i</m:t>
            </m:r>
          </m:sub>
          <m:sup>
            <m:r>
              <m:rPr>
                <m:sty m:val="p"/>
              </m:rPr>
              <w:rPr>
                <w:rFonts w:ascii="Cambria Math" w:hAnsi="Cambria Math"/>
                <w:w w:val="105"/>
              </w:rPr>
              <m:t>'</m:t>
            </m:r>
          </m:sup>
        </m:sSubSup>
        <m:r>
          <w:rPr>
            <w:rFonts w:ascii="Cambria Math" w:hAnsi="Cambria Math"/>
            <w:w w:val="105"/>
          </w:rPr>
          <m:t>λ</m:t>
        </m:r>
        <m:r>
          <m:rPr>
            <m:sty m:val="p"/>
          </m:rPr>
          <w:rPr>
            <w:rFonts w:ascii="Cambria Math" w:hAnsi="Cambria Math"/>
            <w:w w:val="105"/>
          </w:rPr>
          <m:t>+</m:t>
        </m:r>
        <m:sSub>
          <m:sSubPr>
            <m:ctrlPr>
              <w:rPr>
                <w:rFonts w:ascii="Cambria Math" w:hAnsi="Cambria Math"/>
                <w:w w:val="105"/>
              </w:rPr>
            </m:ctrlPr>
          </m:sSubPr>
          <m:e>
            <m:r>
              <w:rPr>
                <w:rFonts w:ascii="Cambria Math" w:hAnsi="Cambria Math"/>
                <w:w w:val="105"/>
              </w:rPr>
              <m:t>X</m:t>
            </m:r>
          </m:e>
          <m:sub>
            <m:r>
              <w:rPr>
                <w:rFonts w:ascii="Cambria Math" w:hAnsi="Cambria Math"/>
                <w:w w:val="105"/>
              </w:rPr>
              <m:t>it</m:t>
            </m:r>
          </m:sub>
        </m:sSub>
        <m:sSub>
          <m:sSubPr>
            <m:ctrlPr>
              <w:rPr>
                <w:rFonts w:ascii="Cambria Math" w:hAnsi="Cambria Math"/>
                <w:w w:val="105"/>
              </w:rPr>
            </m:ctrlPr>
          </m:sSubPr>
          <m:e>
            <m:r>
              <w:rPr>
                <w:rFonts w:ascii="Cambria Math" w:hAnsi="Cambria Math"/>
                <w:w w:val="105"/>
              </w:rPr>
              <m:t>γ</m:t>
            </m:r>
          </m:e>
          <m:sub>
            <m:r>
              <m:rPr>
                <m:sty m:val="p"/>
              </m:rPr>
              <w:rPr>
                <w:rFonts w:ascii="Cambria Math" w:hAnsi="Cambria Math"/>
                <w:w w:val="105"/>
              </w:rPr>
              <m:t>2</m:t>
            </m:r>
          </m:sub>
        </m:sSub>
        <m:r>
          <m:rPr>
            <m:sty m:val="p"/>
          </m:rPr>
          <w:rPr>
            <w:rFonts w:ascii="Cambria Math" w:hAnsi="Cambria Math"/>
            <w:w w:val="105"/>
          </w:rPr>
          <m:t>+</m:t>
        </m:r>
        <m:sSub>
          <m:sSubPr>
            <m:ctrlPr>
              <w:rPr>
                <w:rFonts w:ascii="Cambria Math" w:hAnsi="Cambria Math"/>
                <w:w w:val="105"/>
              </w:rPr>
            </m:ctrlPr>
          </m:sSubPr>
          <m:e>
            <m:r>
              <w:rPr>
                <w:rFonts w:ascii="Cambria Math" w:hAnsi="Cambria Math"/>
                <w:w w:val="105"/>
              </w:rPr>
              <m:t>μ</m:t>
            </m:r>
          </m:e>
          <m:sub>
            <m:r>
              <w:rPr>
                <w:rFonts w:ascii="Cambria Math" w:hAnsi="Cambria Math"/>
                <w:w w:val="105"/>
              </w:rPr>
              <m:t>i</m:t>
            </m:r>
          </m:sub>
        </m:sSub>
        <m:r>
          <m:rPr>
            <m:sty m:val="p"/>
          </m:rPr>
          <w:rPr>
            <w:rFonts w:ascii="Cambria Math" w:hAnsi="Cambria Math"/>
            <w:w w:val="105"/>
          </w:rPr>
          <m:t>+</m:t>
        </m:r>
        <m:sSub>
          <m:sSubPr>
            <m:ctrlPr>
              <w:rPr>
                <w:rFonts w:ascii="Cambria Math" w:hAnsi="Cambria Math"/>
                <w:w w:val="105"/>
              </w:rPr>
            </m:ctrlPr>
          </m:sSubPr>
          <m:e>
            <m:r>
              <w:rPr>
                <w:rFonts w:ascii="Cambria Math" w:hAnsi="Cambria Math"/>
                <w:w w:val="105"/>
              </w:rPr>
              <m:t>ϵ</m:t>
            </m:r>
          </m:e>
          <m:sub>
            <m:r>
              <w:rPr>
                <w:rFonts w:ascii="Cambria Math" w:hAnsi="Cambria Math"/>
                <w:w w:val="105"/>
              </w:rPr>
              <m:t>it</m:t>
            </m:r>
          </m:sub>
        </m:sSub>
      </m:oMath>
      <w:r w:rsidRPr="00224E42">
        <w:rPr>
          <w:w w:val="105"/>
        </w:rPr>
        <w:t xml:space="preserve">       </w:t>
      </w:r>
      <w:r w:rsidR="00224E42">
        <w:rPr>
          <w:w w:val="105"/>
        </w:rPr>
        <w:t xml:space="preserve">             </w:t>
      </w:r>
      <w:r w:rsidRPr="00224E42">
        <w:rPr>
          <w:w w:val="105"/>
        </w:rPr>
        <w:t xml:space="preserve">      </w:t>
      </w:r>
      <w:r w:rsidR="00224E42">
        <w:rPr>
          <w:w w:val="105"/>
        </w:rPr>
        <w:t xml:space="preserve"> </w:t>
      </w:r>
      <w:r w:rsidRPr="00224E42">
        <w:rPr>
          <w:w w:val="105"/>
        </w:rPr>
        <w:t xml:space="preserve">      (3)</w:t>
      </w:r>
    </w:p>
    <w:p w14:paraId="1EBD9F2B" w14:textId="775896A0" w:rsidR="009D6D47" w:rsidRPr="0016620E" w:rsidRDefault="009B3753" w:rsidP="0095055E">
      <w:r w:rsidRPr="00224E42">
        <w:rPr>
          <w:w w:val="105"/>
        </w:rPr>
        <w:t xml:space="preserve">Compared to Equation (2), Equation (3) further includes the vector of </w:t>
      </w:r>
      <m:oMath>
        <m:r>
          <w:rPr>
            <w:rFonts w:ascii="Cambria Math" w:hAnsi="Cambria Math"/>
            <w:w w:val="105"/>
          </w:rPr>
          <m:t>Fiel</m:t>
        </m:r>
        <m:sSub>
          <m:sSubPr>
            <m:ctrlPr>
              <w:rPr>
                <w:rFonts w:ascii="Cambria Math" w:hAnsi="Cambria Math"/>
                <w:w w:val="105"/>
              </w:rPr>
            </m:ctrlPr>
          </m:sSubPr>
          <m:e>
            <m:r>
              <w:rPr>
                <w:rFonts w:ascii="Cambria Math" w:hAnsi="Cambria Math"/>
                <w:w w:val="105"/>
              </w:rPr>
              <m:t>d</m:t>
            </m:r>
          </m:e>
          <m:sub>
            <m:r>
              <w:rPr>
                <w:rFonts w:ascii="Cambria Math" w:hAnsi="Cambria Math"/>
                <w:w w:val="105"/>
              </w:rPr>
              <m:t>i</m:t>
            </m:r>
          </m:sub>
        </m:sSub>
        <m:r>
          <m:rPr>
            <m:sty m:val="p"/>
          </m:rPr>
          <w:rPr>
            <w:rFonts w:ascii="Cambria Math" w:hAnsi="Cambria Math"/>
            <w:w w:val="105"/>
          </w:rPr>
          <m:t xml:space="preserve"> </m:t>
        </m:r>
      </m:oMath>
      <w:r w:rsidRPr="00224E42">
        <w:rPr>
          <w:w w:val="105"/>
        </w:rPr>
        <w:t>as an additional set of explanatory variables, which denotes the 15 detailed fields of study described in Section</w:t>
      </w:r>
      <w:r w:rsidR="00A924F8">
        <w:rPr>
          <w:w w:val="105"/>
        </w:rPr>
        <w:t xml:space="preserve"> 5.1</w:t>
      </w:r>
      <w:r w:rsidRPr="00224E42">
        <w:rPr>
          <w:w w:val="105"/>
        </w:rPr>
        <w:t>. A comparison of</w:t>
      </w:r>
      <w:r w:rsidR="00743CCB">
        <w:rPr>
          <w:w w:val="105"/>
        </w:rPr>
        <w:t xml:space="preserve"> the estimated vectors of</w:t>
      </w:r>
      <w:r w:rsidRPr="00224E42">
        <w:rPr>
          <w:w w:val="105"/>
        </w:rPr>
        <w:t xml:space="preserve"> </w:t>
      </w:r>
      <m:oMath>
        <m:sSub>
          <m:sSubPr>
            <m:ctrlPr>
              <w:rPr>
                <w:rFonts w:ascii="Cambria Math" w:hAnsi="Cambria Math"/>
                <w:w w:val="105"/>
              </w:rPr>
            </m:ctrlPr>
          </m:sSubPr>
          <m:e>
            <m:r>
              <w:rPr>
                <w:rFonts w:ascii="Cambria Math" w:hAnsi="Cambria Math"/>
                <w:w w:val="105"/>
              </w:rPr>
              <m:t>β</m:t>
            </m:r>
          </m:e>
          <m:sub>
            <m:r>
              <m:rPr>
                <m:sty m:val="p"/>
              </m:rPr>
              <w:rPr>
                <w:rFonts w:ascii="Cambria Math" w:hAnsi="Cambria Math"/>
                <w:w w:val="105"/>
              </w:rPr>
              <m:t>1</m:t>
            </m:r>
          </m:sub>
        </m:sSub>
      </m:oMath>
      <w:r w:rsidRPr="00224E42">
        <w:rPr>
          <w:w w:val="105"/>
        </w:rPr>
        <w:t xml:space="preserve">and </w:t>
      </w:r>
      <m:oMath>
        <m:sSub>
          <m:sSubPr>
            <m:ctrlPr>
              <w:rPr>
                <w:rFonts w:ascii="Cambria Math" w:hAnsi="Cambria Math"/>
                <w:w w:val="105"/>
              </w:rPr>
            </m:ctrlPr>
          </m:sSubPr>
          <m:e>
            <m:r>
              <w:rPr>
                <w:rFonts w:ascii="Cambria Math" w:hAnsi="Cambria Math"/>
                <w:w w:val="105"/>
              </w:rPr>
              <m:t>β</m:t>
            </m:r>
          </m:e>
          <m:sub>
            <m:r>
              <m:rPr>
                <m:sty m:val="p"/>
              </m:rPr>
              <w:rPr>
                <w:rFonts w:ascii="Cambria Math" w:hAnsi="Cambria Math"/>
                <w:w w:val="105"/>
              </w:rPr>
              <m:t>2</m:t>
            </m:r>
          </m:sub>
        </m:sSub>
      </m:oMath>
      <w:r w:rsidRPr="00224E42">
        <w:rPr>
          <w:w w:val="105"/>
        </w:rPr>
        <w:t xml:space="preserve"> is informative about how the choice of academic specialisation at university has contributed to the </w:t>
      </w:r>
      <w:r w:rsidR="00D6233F">
        <w:rPr>
          <w:w w:val="105"/>
        </w:rPr>
        <w:t>differences in labour market</w:t>
      </w:r>
      <w:r w:rsidRPr="00224E42">
        <w:rPr>
          <w:w w:val="105"/>
        </w:rPr>
        <w:t xml:space="preserve"> outcomes </w:t>
      </w:r>
      <w:r w:rsidR="00D815C8">
        <w:rPr>
          <w:w w:val="105"/>
        </w:rPr>
        <w:t>among</w:t>
      </w:r>
      <w:r w:rsidRPr="00224E42">
        <w:rPr>
          <w:w w:val="105"/>
        </w:rPr>
        <w:t xml:space="preserve"> Australians from different </w:t>
      </w:r>
      <w:r w:rsidR="0097512D">
        <w:rPr>
          <w:w w:val="105"/>
        </w:rPr>
        <w:t>socio-economic</w:t>
      </w:r>
      <w:r w:rsidR="00AB5A0C">
        <w:rPr>
          <w:w w:val="105"/>
        </w:rPr>
        <w:t xml:space="preserve"> </w:t>
      </w:r>
      <w:r w:rsidRPr="00224E42">
        <w:rPr>
          <w:w w:val="105"/>
        </w:rPr>
        <w:t>backgrounds.</w:t>
      </w:r>
    </w:p>
    <w:p w14:paraId="6B8FEF83" w14:textId="77777777" w:rsidR="009D6D47" w:rsidRPr="0016620E" w:rsidRDefault="009D6D47" w:rsidP="004D121F">
      <w:pPr>
        <w:pStyle w:val="Heading1"/>
      </w:pPr>
      <w:bookmarkStart w:id="20" w:name="_Toc222998768"/>
      <w:r w:rsidRPr="0016620E">
        <w:lastRenderedPageBreak/>
        <w:t>Findings</w:t>
      </w:r>
      <w:bookmarkEnd w:id="20"/>
    </w:p>
    <w:p w14:paraId="3BBCBB1A" w14:textId="4491C42A" w:rsidR="00B17D2E" w:rsidRPr="0016620E" w:rsidRDefault="00B17D2E" w:rsidP="00B17D2E">
      <w:pPr>
        <w:pStyle w:val="Heading2"/>
      </w:pPr>
      <w:bookmarkStart w:id="21" w:name="_Toc188384211"/>
      <w:bookmarkStart w:id="22" w:name="_Toc222998769"/>
      <w:bookmarkStart w:id="23" w:name="_Toc178584727"/>
      <w:bookmarkStart w:id="24" w:name="_Ref185013451"/>
      <w:r>
        <w:t xml:space="preserve">Patterns </w:t>
      </w:r>
      <w:r w:rsidR="00874166">
        <w:t>in</w:t>
      </w:r>
      <w:r>
        <w:t xml:space="preserve"> fields of study and </w:t>
      </w:r>
      <w:r w:rsidR="0070210E">
        <w:t xml:space="preserve">labour market </w:t>
      </w:r>
      <w:r>
        <w:t>outcomes</w:t>
      </w:r>
      <w:bookmarkEnd w:id="21"/>
      <w:bookmarkEnd w:id="22"/>
    </w:p>
    <w:bookmarkEnd w:id="23"/>
    <w:bookmarkEnd w:id="24"/>
    <w:p w14:paraId="0263BE16" w14:textId="686B20D0" w:rsidR="004B00E6" w:rsidRPr="00C50915" w:rsidRDefault="004B00E6" w:rsidP="00721EB3">
      <w:pPr>
        <w:rPr>
          <w:w w:val="105"/>
        </w:rPr>
      </w:pPr>
      <w:r w:rsidRPr="00C50915">
        <w:rPr>
          <w:w w:val="105"/>
        </w:rPr>
        <w:t xml:space="preserve">This section </w:t>
      </w:r>
      <w:r w:rsidR="00A468F7" w:rsidRPr="00C50915">
        <w:rPr>
          <w:w w:val="105"/>
        </w:rPr>
        <w:t xml:space="preserve">uses </w:t>
      </w:r>
      <w:r w:rsidRPr="00C50915">
        <w:rPr>
          <w:w w:val="105"/>
        </w:rPr>
        <w:t>cross-tabulation</w:t>
      </w:r>
      <w:r w:rsidR="001B3416" w:rsidRPr="00C50915">
        <w:rPr>
          <w:w w:val="105"/>
        </w:rPr>
        <w:t>s</w:t>
      </w:r>
      <w:r w:rsidRPr="00C50915">
        <w:rPr>
          <w:w w:val="105"/>
        </w:rPr>
        <w:t xml:space="preserve"> to provide stylised facts about the patterns </w:t>
      </w:r>
      <w:r w:rsidR="00CD5142">
        <w:rPr>
          <w:w w:val="105"/>
        </w:rPr>
        <w:t>in</w:t>
      </w:r>
      <w:r w:rsidRPr="00C50915">
        <w:rPr>
          <w:w w:val="105"/>
        </w:rPr>
        <w:t xml:space="preserve"> </w:t>
      </w:r>
      <w:r w:rsidR="00BF3967">
        <w:rPr>
          <w:w w:val="105"/>
        </w:rPr>
        <w:t>subject</w:t>
      </w:r>
      <w:r w:rsidR="00BF3967" w:rsidRPr="00C50915">
        <w:rPr>
          <w:w w:val="105"/>
        </w:rPr>
        <w:t xml:space="preserve"> </w:t>
      </w:r>
      <w:r w:rsidRPr="00C50915">
        <w:rPr>
          <w:w w:val="105"/>
        </w:rPr>
        <w:t xml:space="preserve">choice </w:t>
      </w:r>
      <w:r w:rsidR="00E84B96" w:rsidRPr="00C50915">
        <w:rPr>
          <w:w w:val="105"/>
        </w:rPr>
        <w:t>at</w:t>
      </w:r>
      <w:r w:rsidRPr="00C50915">
        <w:rPr>
          <w:w w:val="105"/>
        </w:rPr>
        <w:t xml:space="preserve"> university and </w:t>
      </w:r>
      <w:r w:rsidR="00D550AC" w:rsidRPr="00C50915">
        <w:rPr>
          <w:w w:val="105"/>
        </w:rPr>
        <w:t>the</w:t>
      </w:r>
      <w:r w:rsidR="00CD5142">
        <w:rPr>
          <w:w w:val="105"/>
        </w:rPr>
        <w:t xml:space="preserve"> corresponding</w:t>
      </w:r>
      <w:r w:rsidR="00D550AC" w:rsidRPr="00C50915">
        <w:rPr>
          <w:w w:val="105"/>
        </w:rPr>
        <w:t xml:space="preserve"> </w:t>
      </w:r>
      <w:r w:rsidR="0090774A" w:rsidRPr="00C50915">
        <w:rPr>
          <w:w w:val="105"/>
        </w:rPr>
        <w:t>labour market</w:t>
      </w:r>
      <w:r w:rsidRPr="00C50915">
        <w:rPr>
          <w:w w:val="105"/>
        </w:rPr>
        <w:t xml:space="preserve"> outcomes.</w:t>
      </w:r>
      <w:r w:rsidR="00ED41F9">
        <w:rPr>
          <w:rStyle w:val="FootnoteReference"/>
          <w:rFonts w:eastAsia="Arial" w:cs="Arial"/>
          <w:w w:val="105"/>
          <w:kern w:val="0"/>
          <w14:ligatures w14:val="none"/>
        </w:rPr>
        <w:footnoteReference w:id="11"/>
      </w:r>
      <w:r w:rsidR="00ED41F9">
        <w:rPr>
          <w:w w:val="105"/>
        </w:rPr>
        <w:t xml:space="preserve"> </w:t>
      </w:r>
      <w:r w:rsidRPr="00C50915">
        <w:rPr>
          <w:w w:val="105"/>
        </w:rPr>
        <w:t xml:space="preserve"> </w:t>
      </w:r>
    </w:p>
    <w:p w14:paraId="2DCA24D6" w14:textId="7003D6F2" w:rsidR="00252463" w:rsidRPr="00BF48E1" w:rsidRDefault="00252463" w:rsidP="00BF48E1">
      <w:pPr>
        <w:pStyle w:val="Heading3"/>
      </w:pPr>
      <w:bookmarkStart w:id="25" w:name="_Toc222998770"/>
      <w:r w:rsidRPr="00BF48E1">
        <w:t>Labour market outcome</w:t>
      </w:r>
      <w:r w:rsidR="0075034E" w:rsidRPr="00BF48E1">
        <w:t>s</w:t>
      </w:r>
      <w:r w:rsidRPr="00BF48E1">
        <w:t xml:space="preserve"> by field of study</w:t>
      </w:r>
      <w:bookmarkEnd w:id="25"/>
    </w:p>
    <w:p w14:paraId="01267134" w14:textId="0C363316" w:rsidR="00417B8A" w:rsidRDefault="00417B8A" w:rsidP="00721EB3">
      <w:pPr>
        <w:rPr>
          <w:w w:val="105"/>
        </w:rPr>
      </w:pPr>
      <w:r w:rsidRPr="00417B8A">
        <w:rPr>
          <w:w w:val="105"/>
        </w:rPr>
        <w:t xml:space="preserve">As </w:t>
      </w:r>
      <w:r w:rsidR="008E48F6">
        <w:rPr>
          <w:w w:val="105"/>
        </w:rPr>
        <w:t>describe</w:t>
      </w:r>
      <w:r w:rsidRPr="00417B8A">
        <w:rPr>
          <w:w w:val="105"/>
        </w:rPr>
        <w:t>d in Section 5.1, we examine five key labour market outcomes: (1) full-time employment status</w:t>
      </w:r>
      <w:r w:rsidR="00BF1B9A">
        <w:rPr>
          <w:w w:val="105"/>
        </w:rPr>
        <w:t>,</w:t>
      </w:r>
      <w:r w:rsidRPr="00417B8A">
        <w:rPr>
          <w:w w:val="105"/>
        </w:rPr>
        <w:t xml:space="preserve"> (2) permanent or ongoing employment</w:t>
      </w:r>
      <w:r w:rsidR="00BF1B9A">
        <w:rPr>
          <w:w w:val="105"/>
        </w:rPr>
        <w:t>,</w:t>
      </w:r>
      <w:r w:rsidRPr="00417B8A">
        <w:rPr>
          <w:w w:val="105"/>
        </w:rPr>
        <w:t xml:space="preserve"> (3) employment in managerial or professional occupation</w:t>
      </w:r>
      <w:r w:rsidR="001A6066">
        <w:rPr>
          <w:w w:val="105"/>
        </w:rPr>
        <w:t>s</w:t>
      </w:r>
      <w:r w:rsidR="00BF1B9A">
        <w:rPr>
          <w:w w:val="105"/>
        </w:rPr>
        <w:t>,</w:t>
      </w:r>
      <w:r w:rsidRPr="00417B8A">
        <w:rPr>
          <w:w w:val="105"/>
        </w:rPr>
        <w:t xml:space="preserve"> (4) gross weekly earnings</w:t>
      </w:r>
      <w:r w:rsidR="00BF1B9A">
        <w:rPr>
          <w:w w:val="105"/>
        </w:rPr>
        <w:t>,</w:t>
      </w:r>
      <w:r w:rsidRPr="00417B8A">
        <w:rPr>
          <w:w w:val="105"/>
        </w:rPr>
        <w:t xml:space="preserve"> and (5) job satisfaction. In this section, we analyse whether </w:t>
      </w:r>
      <w:r>
        <w:rPr>
          <w:w w:val="105"/>
        </w:rPr>
        <w:t xml:space="preserve">each of </w:t>
      </w:r>
      <w:r w:rsidRPr="00417B8A">
        <w:rPr>
          <w:w w:val="105"/>
        </w:rPr>
        <w:t>these outcomes vari</w:t>
      </w:r>
      <w:r>
        <w:rPr>
          <w:w w:val="105"/>
        </w:rPr>
        <w:t xml:space="preserve">es </w:t>
      </w:r>
      <w:r w:rsidR="008E48F6">
        <w:rPr>
          <w:w w:val="105"/>
        </w:rPr>
        <w:t>by</w:t>
      </w:r>
      <w:r w:rsidRPr="00417B8A">
        <w:rPr>
          <w:w w:val="105"/>
        </w:rPr>
        <w:t xml:space="preserve"> </w:t>
      </w:r>
      <w:r w:rsidR="00AC1AB2">
        <w:rPr>
          <w:w w:val="105"/>
        </w:rPr>
        <w:t xml:space="preserve">tertiary </w:t>
      </w:r>
      <w:r w:rsidRPr="00417B8A">
        <w:rPr>
          <w:w w:val="105"/>
        </w:rPr>
        <w:t>field of study.</w:t>
      </w:r>
    </w:p>
    <w:p w14:paraId="254F7CA9" w14:textId="14B4D9E8" w:rsidR="0037495C" w:rsidRDefault="0037495C" w:rsidP="00721EB3">
      <w:pPr>
        <w:rPr>
          <w:w w:val="105"/>
          <w:kern w:val="0"/>
        </w:rPr>
      </w:pPr>
      <w:r w:rsidRPr="0037495C">
        <w:rPr>
          <w:w w:val="105"/>
        </w:rPr>
        <w:t xml:space="preserve">In Section 5.1, Table </w:t>
      </w:r>
      <w:r w:rsidR="00AB5A0C">
        <w:rPr>
          <w:w w:val="105"/>
        </w:rPr>
        <w:t>2</w:t>
      </w:r>
      <w:r w:rsidR="00AB5A0C" w:rsidRPr="0037495C">
        <w:rPr>
          <w:w w:val="105"/>
        </w:rPr>
        <w:t xml:space="preserve"> </w:t>
      </w:r>
      <w:r w:rsidRPr="0037495C">
        <w:rPr>
          <w:w w:val="105"/>
        </w:rPr>
        <w:t xml:space="preserve">indicated that </w:t>
      </w:r>
      <w:r w:rsidR="004022A4">
        <w:rPr>
          <w:w w:val="105"/>
        </w:rPr>
        <w:t>about</w:t>
      </w:r>
      <w:r w:rsidRPr="0037495C">
        <w:rPr>
          <w:w w:val="105"/>
        </w:rPr>
        <w:t xml:space="preserve"> 71% of Australian graduates are in full-time employment. Figure 1 </w:t>
      </w:r>
      <w:r w:rsidR="0061042A">
        <w:rPr>
          <w:w w:val="105"/>
        </w:rPr>
        <w:t>shows t</w:t>
      </w:r>
      <w:r w:rsidRPr="0037495C">
        <w:rPr>
          <w:w w:val="105"/>
        </w:rPr>
        <w:t xml:space="preserve">hat full-time employment rates vary across the 15 different fields of study. Five fields have rates </w:t>
      </w:r>
      <w:r w:rsidR="004022A4">
        <w:rPr>
          <w:w w:val="105"/>
        </w:rPr>
        <w:t>above</w:t>
      </w:r>
      <w:r w:rsidRPr="0037495C">
        <w:rPr>
          <w:w w:val="105"/>
        </w:rPr>
        <w:t xml:space="preserve"> 80%, including Engineering and </w:t>
      </w:r>
      <w:r w:rsidR="00F95350">
        <w:rPr>
          <w:w w:val="105"/>
        </w:rPr>
        <w:t>R</w:t>
      </w:r>
      <w:r w:rsidRPr="0037495C">
        <w:rPr>
          <w:w w:val="105"/>
        </w:rPr>
        <w:t xml:space="preserve">elated </w:t>
      </w:r>
      <w:r w:rsidR="00F95350">
        <w:rPr>
          <w:w w:val="105"/>
        </w:rPr>
        <w:t>T</w:t>
      </w:r>
      <w:r w:rsidRPr="0037495C">
        <w:rPr>
          <w:w w:val="105"/>
        </w:rPr>
        <w:t xml:space="preserve">echnologies (87%), Food, </w:t>
      </w:r>
      <w:r w:rsidR="00F95350">
        <w:rPr>
          <w:w w:val="105"/>
        </w:rPr>
        <w:t>H</w:t>
      </w:r>
      <w:r w:rsidRPr="0037495C">
        <w:rPr>
          <w:w w:val="105"/>
        </w:rPr>
        <w:t>ospitality</w:t>
      </w:r>
      <w:r w:rsidR="00F95350">
        <w:rPr>
          <w:w w:val="105"/>
        </w:rPr>
        <w:t>,</w:t>
      </w:r>
      <w:r w:rsidRPr="0037495C">
        <w:rPr>
          <w:w w:val="105"/>
        </w:rPr>
        <w:t xml:space="preserve"> and </w:t>
      </w:r>
      <w:r w:rsidR="00F95350">
        <w:rPr>
          <w:w w:val="105"/>
        </w:rPr>
        <w:t>P</w:t>
      </w:r>
      <w:r w:rsidRPr="0037495C">
        <w:rPr>
          <w:w w:val="105"/>
        </w:rPr>
        <w:t xml:space="preserve">ersonal </w:t>
      </w:r>
      <w:r w:rsidR="00F95350">
        <w:rPr>
          <w:w w:val="105"/>
        </w:rPr>
        <w:t>S</w:t>
      </w:r>
      <w:r w:rsidRPr="0037495C">
        <w:rPr>
          <w:w w:val="105"/>
        </w:rPr>
        <w:t>ervices (</w:t>
      </w:r>
      <w:r w:rsidR="003D5892">
        <w:rPr>
          <w:w w:val="105"/>
        </w:rPr>
        <w:t>84</w:t>
      </w:r>
      <w:r w:rsidRPr="0037495C">
        <w:rPr>
          <w:w w:val="105"/>
        </w:rPr>
        <w:t xml:space="preserve">%), </w:t>
      </w:r>
      <w:r w:rsidR="00F95350">
        <w:rPr>
          <w:w w:val="105"/>
        </w:rPr>
        <w:t>L</w:t>
      </w:r>
      <w:r w:rsidRPr="0037495C">
        <w:rPr>
          <w:w w:val="105"/>
        </w:rPr>
        <w:t>aw (8</w:t>
      </w:r>
      <w:r w:rsidR="003D5892">
        <w:rPr>
          <w:w w:val="105"/>
        </w:rPr>
        <w:t>4</w:t>
      </w:r>
      <w:r w:rsidRPr="0037495C">
        <w:rPr>
          <w:w w:val="105"/>
        </w:rPr>
        <w:t xml:space="preserve">%), Management and </w:t>
      </w:r>
      <w:r w:rsidR="00F95350">
        <w:rPr>
          <w:w w:val="105"/>
        </w:rPr>
        <w:t>C</w:t>
      </w:r>
      <w:r w:rsidRPr="0037495C">
        <w:rPr>
          <w:w w:val="105"/>
        </w:rPr>
        <w:t xml:space="preserve">ommerce (81%), and Information </w:t>
      </w:r>
      <w:r w:rsidR="00F95350">
        <w:rPr>
          <w:w w:val="105"/>
        </w:rPr>
        <w:t>T</w:t>
      </w:r>
      <w:r w:rsidRPr="0037495C">
        <w:rPr>
          <w:w w:val="105"/>
        </w:rPr>
        <w:t xml:space="preserve">echnology (81%). </w:t>
      </w:r>
      <w:r w:rsidRPr="0037495C">
        <w:rPr>
          <w:w w:val="105"/>
          <w:kern w:val="0"/>
        </w:rPr>
        <w:t xml:space="preserve">In contrast, </w:t>
      </w:r>
      <w:r w:rsidR="008E48F6">
        <w:rPr>
          <w:w w:val="105"/>
          <w:kern w:val="0"/>
        </w:rPr>
        <w:t xml:space="preserve">fields </w:t>
      </w:r>
      <w:r w:rsidR="004022A4">
        <w:rPr>
          <w:w w:val="105"/>
          <w:kern w:val="0"/>
        </w:rPr>
        <w:t>such as</w:t>
      </w:r>
      <w:r w:rsidR="008E48F6">
        <w:rPr>
          <w:w w:val="105"/>
          <w:kern w:val="0"/>
        </w:rPr>
        <w:t xml:space="preserve"> </w:t>
      </w:r>
      <w:r w:rsidRPr="0037495C">
        <w:rPr>
          <w:w w:val="105"/>
          <w:kern w:val="0"/>
        </w:rPr>
        <w:t xml:space="preserve">Nursing (47%) and Other </w:t>
      </w:r>
      <w:r w:rsidR="00F95350">
        <w:rPr>
          <w:w w:val="105"/>
          <w:kern w:val="0"/>
        </w:rPr>
        <w:t>H</w:t>
      </w:r>
      <w:r w:rsidRPr="0037495C">
        <w:rPr>
          <w:w w:val="105"/>
          <w:kern w:val="0"/>
        </w:rPr>
        <w:t>ealth-</w:t>
      </w:r>
      <w:r w:rsidR="00F95350">
        <w:rPr>
          <w:w w:val="105"/>
          <w:kern w:val="0"/>
        </w:rPr>
        <w:t>R</w:t>
      </w:r>
      <w:r w:rsidRPr="0037495C">
        <w:rPr>
          <w:w w:val="105"/>
          <w:kern w:val="0"/>
        </w:rPr>
        <w:t xml:space="preserve">elated (60%) have the </w:t>
      </w:r>
      <w:r w:rsidR="005562F2">
        <w:rPr>
          <w:w w:val="105"/>
          <w:kern w:val="0"/>
        </w:rPr>
        <w:t xml:space="preserve">two </w:t>
      </w:r>
      <w:r w:rsidRPr="0037495C">
        <w:rPr>
          <w:w w:val="105"/>
          <w:kern w:val="0"/>
        </w:rPr>
        <w:t xml:space="preserve">lowest </w:t>
      </w:r>
      <w:r w:rsidR="005562F2">
        <w:rPr>
          <w:w w:val="105"/>
          <w:kern w:val="0"/>
        </w:rPr>
        <w:t xml:space="preserve">rates of </w:t>
      </w:r>
      <w:r w:rsidRPr="0037495C">
        <w:rPr>
          <w:w w:val="105"/>
          <w:kern w:val="0"/>
        </w:rPr>
        <w:t>full-time employment. These lower figures in health-related occupations may reflect standard employment patterns within the sector.</w:t>
      </w:r>
    </w:p>
    <w:p w14:paraId="711CE324" w14:textId="2462C100" w:rsidR="00F95350" w:rsidRDefault="00F95350" w:rsidP="00BF48E1">
      <w:pPr>
        <w:pStyle w:val="Caption"/>
        <w:spacing w:after="240"/>
        <w:rPr>
          <w:w w:val="105"/>
        </w:rPr>
      </w:pPr>
      <w:bookmarkStart w:id="26" w:name="_Toc222998796"/>
      <w:r w:rsidRPr="00BF48E1">
        <w:rPr>
          <w:sz w:val="20"/>
          <w:szCs w:val="20"/>
        </w:rPr>
        <w:t xml:space="preserve">Figure </w:t>
      </w:r>
      <w:r w:rsidRPr="00BF48E1">
        <w:rPr>
          <w:sz w:val="20"/>
          <w:szCs w:val="20"/>
        </w:rPr>
        <w:fldChar w:fldCharType="begin"/>
      </w:r>
      <w:r w:rsidRPr="00BF48E1">
        <w:rPr>
          <w:sz w:val="20"/>
          <w:szCs w:val="20"/>
        </w:rPr>
        <w:instrText xml:space="preserve"> SEQ Figure \* ARABIC </w:instrText>
      </w:r>
      <w:r w:rsidRPr="00BF48E1">
        <w:rPr>
          <w:sz w:val="20"/>
          <w:szCs w:val="20"/>
        </w:rPr>
        <w:fldChar w:fldCharType="separate"/>
      </w:r>
      <w:r w:rsidRPr="00BF48E1">
        <w:rPr>
          <w:noProof/>
          <w:sz w:val="20"/>
          <w:szCs w:val="20"/>
        </w:rPr>
        <w:t>1</w:t>
      </w:r>
      <w:r w:rsidRPr="00BF48E1">
        <w:rPr>
          <w:sz w:val="20"/>
          <w:szCs w:val="20"/>
        </w:rPr>
        <w:fldChar w:fldCharType="end"/>
      </w:r>
      <w:r w:rsidRPr="00BF48E1">
        <w:rPr>
          <w:sz w:val="20"/>
          <w:szCs w:val="20"/>
        </w:rPr>
        <w:t xml:space="preserve">: </w:t>
      </w:r>
      <w:r w:rsidRPr="00BF48E1">
        <w:rPr>
          <w:rFonts w:eastAsia="Arial" w:cs="Arial"/>
          <w:w w:val="105"/>
          <w:kern w:val="0"/>
          <w:sz w:val="20"/>
          <w:szCs w:val="20"/>
          <w14:ligatures w14:val="none"/>
        </w:rPr>
        <w:t>Proportion of full-time employment by field of study</w:t>
      </w:r>
      <w:bookmarkEnd w:id="26"/>
    </w:p>
    <w:p w14:paraId="0504AF10" w14:textId="3A8C5AFC" w:rsidR="00B812AE" w:rsidRPr="0037495C" w:rsidRDefault="00B812AE" w:rsidP="00721EB3">
      <w:pPr>
        <w:spacing w:line="240" w:lineRule="auto"/>
        <w:rPr>
          <w:rFonts w:eastAsia="Arial" w:cs="Arial"/>
          <w:w w:val="105"/>
          <w:kern w:val="0"/>
          <w14:ligatures w14:val="none"/>
        </w:rPr>
      </w:pPr>
      <w:r>
        <w:rPr>
          <w:noProof/>
        </w:rPr>
        <w:drawing>
          <wp:inline distT="0" distB="0" distL="0" distR="0" wp14:anchorId="358B51C9" wp14:editId="6D1E68E1">
            <wp:extent cx="5658928" cy="2993366"/>
            <wp:effectExtent l="0" t="0" r="18415" b="17145"/>
            <wp:docPr id="553597889" name="Chart 1" descr="Bar chart showing the proportion of  full-time employment by field of study. Five fields have rates above 80%, including Engineering and Related Technologies, Food, Hospitality, and Personal Services, Law, Management and Commerce, and Information Technology. ">
              <a:extLst xmlns:a="http://schemas.openxmlformats.org/drawingml/2006/main">
                <a:ext uri="{FF2B5EF4-FFF2-40B4-BE49-F238E27FC236}">
                  <a16:creationId xmlns:a16="http://schemas.microsoft.com/office/drawing/2014/main" id="{C03A758C-2A31-8343-960E-98169F5C46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6ADC20" w14:textId="77DAFD6D" w:rsidR="00F21C15" w:rsidRDefault="003B304B" w:rsidP="00721EB3">
      <w:pPr>
        <w:rPr>
          <w:w w:val="105"/>
          <w:kern w:val="0"/>
        </w:rPr>
      </w:pPr>
      <w:r w:rsidRPr="003B304B">
        <w:rPr>
          <w:w w:val="105"/>
          <w:kern w:val="0"/>
        </w:rPr>
        <w:lastRenderedPageBreak/>
        <w:t xml:space="preserve">Similarly, </w:t>
      </w:r>
      <w:r w:rsidR="00F21C15" w:rsidRPr="00F21C15">
        <w:rPr>
          <w:w w:val="105"/>
        </w:rPr>
        <w:t>while approximately two-thirds of workers in our sample h</w:t>
      </w:r>
      <w:r w:rsidR="004C46C4">
        <w:rPr>
          <w:w w:val="105"/>
        </w:rPr>
        <w:t>ave</w:t>
      </w:r>
      <w:r w:rsidR="00F21C15" w:rsidRPr="00F21C15">
        <w:rPr>
          <w:w w:val="105"/>
        </w:rPr>
        <w:t xml:space="preserve"> a permanent or ongoing job (see Table </w:t>
      </w:r>
      <w:r w:rsidR="00AB5A0C">
        <w:rPr>
          <w:w w:val="105"/>
        </w:rPr>
        <w:t>2</w:t>
      </w:r>
      <w:r w:rsidR="00F21C15" w:rsidRPr="00F21C15">
        <w:rPr>
          <w:w w:val="105"/>
        </w:rPr>
        <w:t xml:space="preserve">), there are notable differences across fields of study. As shown in Figure 2, graduates from the following fields have above-average rates of permanent </w:t>
      </w:r>
      <w:r w:rsidR="00F21C15" w:rsidRPr="00725623">
        <w:rPr>
          <w:w w:val="105"/>
        </w:rPr>
        <w:t xml:space="preserve">employment: Nursing (75%), Engineering and </w:t>
      </w:r>
      <w:r w:rsidR="00F95350">
        <w:rPr>
          <w:w w:val="105"/>
        </w:rPr>
        <w:t>R</w:t>
      </w:r>
      <w:r w:rsidR="00F21C15" w:rsidRPr="00725623">
        <w:rPr>
          <w:w w:val="105"/>
        </w:rPr>
        <w:t xml:space="preserve">elated </w:t>
      </w:r>
      <w:r w:rsidR="00F95350">
        <w:rPr>
          <w:w w:val="105"/>
        </w:rPr>
        <w:t>T</w:t>
      </w:r>
      <w:r w:rsidR="00F21C15" w:rsidRPr="00725623">
        <w:rPr>
          <w:w w:val="105"/>
        </w:rPr>
        <w:t xml:space="preserve">echnologies (73%), Information </w:t>
      </w:r>
      <w:r w:rsidR="00F95350">
        <w:rPr>
          <w:w w:val="105"/>
        </w:rPr>
        <w:t>T</w:t>
      </w:r>
      <w:r w:rsidR="00F21C15" w:rsidRPr="00725623">
        <w:rPr>
          <w:w w:val="105"/>
        </w:rPr>
        <w:t xml:space="preserve">echnology (72%), Management and </w:t>
      </w:r>
      <w:r w:rsidR="00F95350">
        <w:rPr>
          <w:w w:val="105"/>
        </w:rPr>
        <w:t>C</w:t>
      </w:r>
      <w:r w:rsidR="00F21C15" w:rsidRPr="00725623">
        <w:rPr>
          <w:w w:val="105"/>
        </w:rPr>
        <w:t xml:space="preserve">ommerce (71%), Education (70%), and Food, </w:t>
      </w:r>
      <w:r w:rsidR="00F95350">
        <w:rPr>
          <w:w w:val="105"/>
        </w:rPr>
        <w:t>H</w:t>
      </w:r>
      <w:r w:rsidR="00F21C15" w:rsidRPr="00725623">
        <w:rPr>
          <w:w w:val="105"/>
        </w:rPr>
        <w:t xml:space="preserve">ospitality, and </w:t>
      </w:r>
      <w:r w:rsidR="00F95350">
        <w:rPr>
          <w:w w:val="105"/>
        </w:rPr>
        <w:t>P</w:t>
      </w:r>
      <w:r w:rsidR="00F21C15" w:rsidRPr="00725623">
        <w:rPr>
          <w:w w:val="105"/>
        </w:rPr>
        <w:t xml:space="preserve">ersonal </w:t>
      </w:r>
      <w:r w:rsidR="00F95350">
        <w:rPr>
          <w:w w:val="105"/>
        </w:rPr>
        <w:t>S</w:t>
      </w:r>
      <w:r w:rsidR="00F21C15" w:rsidRPr="00725623">
        <w:rPr>
          <w:w w:val="105"/>
        </w:rPr>
        <w:t xml:space="preserve">ervices (68%). </w:t>
      </w:r>
      <w:r w:rsidR="00F21C15" w:rsidRPr="00F21C15">
        <w:rPr>
          <w:w w:val="105"/>
          <w:kern w:val="0"/>
        </w:rPr>
        <w:t xml:space="preserve">In contrast, Medicine (40%) and Creative </w:t>
      </w:r>
      <w:r w:rsidR="00F95350">
        <w:rPr>
          <w:w w:val="105"/>
          <w:kern w:val="0"/>
        </w:rPr>
        <w:t>A</w:t>
      </w:r>
      <w:r w:rsidR="00F21C15" w:rsidRPr="00F21C15">
        <w:rPr>
          <w:w w:val="105"/>
          <w:kern w:val="0"/>
        </w:rPr>
        <w:t>rts (49%) have the lowest rates of permanent or ongoing employment.</w:t>
      </w:r>
    </w:p>
    <w:p w14:paraId="51919119" w14:textId="0D19F6FF" w:rsidR="00F95350" w:rsidRDefault="00F95350" w:rsidP="00BF48E1">
      <w:pPr>
        <w:pStyle w:val="Caption"/>
        <w:spacing w:after="240"/>
        <w:rPr>
          <w:w w:val="105"/>
        </w:rPr>
      </w:pPr>
      <w:bookmarkStart w:id="27" w:name="_Toc222998797"/>
      <w:r w:rsidRPr="00BF48E1">
        <w:rPr>
          <w:sz w:val="20"/>
          <w:szCs w:val="20"/>
        </w:rPr>
        <w:t xml:space="preserve">Figure </w:t>
      </w:r>
      <w:r w:rsidRPr="00BF48E1">
        <w:rPr>
          <w:sz w:val="20"/>
          <w:szCs w:val="20"/>
        </w:rPr>
        <w:fldChar w:fldCharType="begin"/>
      </w:r>
      <w:r w:rsidRPr="00BF48E1">
        <w:rPr>
          <w:sz w:val="20"/>
          <w:szCs w:val="20"/>
        </w:rPr>
        <w:instrText xml:space="preserve"> SEQ Figure \* ARABIC </w:instrText>
      </w:r>
      <w:r w:rsidRPr="00BF48E1">
        <w:rPr>
          <w:sz w:val="20"/>
          <w:szCs w:val="20"/>
        </w:rPr>
        <w:fldChar w:fldCharType="separate"/>
      </w:r>
      <w:r w:rsidRPr="00BF48E1">
        <w:rPr>
          <w:noProof/>
          <w:sz w:val="20"/>
          <w:szCs w:val="20"/>
        </w:rPr>
        <w:t>2</w:t>
      </w:r>
      <w:r w:rsidRPr="00BF48E1">
        <w:rPr>
          <w:sz w:val="20"/>
          <w:szCs w:val="20"/>
        </w:rPr>
        <w:fldChar w:fldCharType="end"/>
      </w:r>
      <w:r w:rsidRPr="00BF48E1">
        <w:rPr>
          <w:sz w:val="20"/>
          <w:szCs w:val="20"/>
        </w:rPr>
        <w:t xml:space="preserve">: </w:t>
      </w:r>
      <w:r w:rsidRPr="00BF48E1">
        <w:rPr>
          <w:rFonts w:eastAsia="Arial" w:cs="Arial"/>
          <w:w w:val="105"/>
          <w:kern w:val="0"/>
          <w:sz w:val="20"/>
          <w:szCs w:val="20"/>
          <w14:ligatures w14:val="none"/>
        </w:rPr>
        <w:t>Proportion of permanent or ongoing employment by field of study</w:t>
      </w:r>
      <w:bookmarkEnd w:id="27"/>
    </w:p>
    <w:p w14:paraId="683D2930" w14:textId="487E7229" w:rsidR="00B812AE" w:rsidRPr="00F21C15" w:rsidRDefault="00B812AE" w:rsidP="00721EB3">
      <w:pPr>
        <w:spacing w:line="240" w:lineRule="auto"/>
        <w:rPr>
          <w:rFonts w:eastAsia="Arial" w:cs="Arial"/>
          <w:w w:val="105"/>
          <w:kern w:val="0"/>
          <w14:ligatures w14:val="none"/>
        </w:rPr>
      </w:pPr>
      <w:r>
        <w:rPr>
          <w:noProof/>
        </w:rPr>
        <w:drawing>
          <wp:inline distT="0" distB="0" distL="0" distR="0" wp14:anchorId="35EE7420" wp14:editId="21845127">
            <wp:extent cx="5719313" cy="3105509"/>
            <wp:effectExtent l="0" t="0" r="15240" b="0"/>
            <wp:docPr id="1419031232" name="Chart 1" descr="Bar chart showing the proportion of permanent or ongoing employment by field of study. Graduates from the following fields have above-average rates of permanent employment: Nursing, Engineering and Related Technologies, Information Technology, Management and Commerce, Education, and Food, Hospitality, and Personal Services.">
              <a:extLst xmlns:a="http://schemas.openxmlformats.org/drawingml/2006/main">
                <a:ext uri="{FF2B5EF4-FFF2-40B4-BE49-F238E27FC236}">
                  <a16:creationId xmlns:a16="http://schemas.microsoft.com/office/drawing/2014/main" id="{79782F69-4CBA-39A1-419F-D803D6211E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E7EF16" w14:textId="11870EFC" w:rsidR="008B7E52" w:rsidRPr="00B13106" w:rsidRDefault="00EA2C6C" w:rsidP="00721EB3">
      <w:pPr>
        <w:spacing w:before="240"/>
        <w:rPr>
          <w:w w:val="105"/>
        </w:rPr>
      </w:pPr>
      <w:r w:rsidRPr="00EA2C6C">
        <w:rPr>
          <w:w w:val="105"/>
        </w:rPr>
        <w:t xml:space="preserve">Next, we examine the rate </w:t>
      </w:r>
      <w:r w:rsidR="0066298A">
        <w:rPr>
          <w:w w:val="105"/>
        </w:rPr>
        <w:t xml:space="preserve">of employment </w:t>
      </w:r>
      <w:r w:rsidRPr="00EA2C6C">
        <w:rPr>
          <w:w w:val="105"/>
        </w:rPr>
        <w:t>in managerial or professional occupations. Figure 3</w:t>
      </w:r>
      <w:r w:rsidR="000516EB">
        <w:rPr>
          <w:w w:val="105"/>
        </w:rPr>
        <w:t xml:space="preserve"> shows a significant </w:t>
      </w:r>
      <w:r w:rsidR="004343F3">
        <w:rPr>
          <w:w w:val="105"/>
        </w:rPr>
        <w:t xml:space="preserve">degree </w:t>
      </w:r>
      <w:r w:rsidR="000516EB">
        <w:rPr>
          <w:w w:val="105"/>
        </w:rPr>
        <w:t xml:space="preserve">of variation by academic specialisation at university. </w:t>
      </w:r>
      <w:r w:rsidR="004343F3">
        <w:rPr>
          <w:w w:val="105"/>
        </w:rPr>
        <w:t>For example</w:t>
      </w:r>
      <w:r w:rsidRPr="00EA2C6C">
        <w:rPr>
          <w:w w:val="105"/>
        </w:rPr>
        <w:t xml:space="preserve">, graduates in Medicine have the highest rate of managerial or professional employment (92%), while those in Food, </w:t>
      </w:r>
      <w:r w:rsidR="00F95350">
        <w:rPr>
          <w:w w:val="105"/>
        </w:rPr>
        <w:t>H</w:t>
      </w:r>
      <w:r w:rsidRPr="00EA2C6C">
        <w:rPr>
          <w:w w:val="105"/>
        </w:rPr>
        <w:t xml:space="preserve">ospitality, and </w:t>
      </w:r>
      <w:r w:rsidR="00F95350">
        <w:rPr>
          <w:w w:val="105"/>
        </w:rPr>
        <w:t>P</w:t>
      </w:r>
      <w:r w:rsidRPr="00EA2C6C">
        <w:rPr>
          <w:w w:val="105"/>
        </w:rPr>
        <w:t xml:space="preserve">ersonal </w:t>
      </w:r>
      <w:r w:rsidR="00F95350">
        <w:rPr>
          <w:w w:val="105"/>
        </w:rPr>
        <w:t>S</w:t>
      </w:r>
      <w:r w:rsidRPr="00EA2C6C">
        <w:rPr>
          <w:w w:val="105"/>
        </w:rPr>
        <w:t xml:space="preserve">ervices have the lowest (34%). These figures </w:t>
      </w:r>
      <w:r w:rsidR="005E6B14">
        <w:rPr>
          <w:w w:val="105"/>
        </w:rPr>
        <w:t>are very different</w:t>
      </w:r>
      <w:r w:rsidRPr="00EA2C6C">
        <w:rPr>
          <w:w w:val="105"/>
        </w:rPr>
        <w:t xml:space="preserve"> from the sample average of 77%.</w:t>
      </w:r>
      <w:r w:rsidR="00104EED">
        <w:rPr>
          <w:rStyle w:val="FootnoteReference"/>
          <w:rFonts w:eastAsia="Arial" w:cs="Arial"/>
          <w:w w:val="105"/>
          <w:kern w:val="0"/>
          <w14:ligatures w14:val="none"/>
        </w:rPr>
        <w:footnoteReference w:id="12"/>
      </w:r>
      <w:r w:rsidR="008B7E52" w:rsidRPr="00B13106">
        <w:rPr>
          <w:w w:val="105"/>
        </w:rPr>
        <w:t xml:space="preserve"> </w:t>
      </w:r>
    </w:p>
    <w:p w14:paraId="52D15D24" w14:textId="24417017" w:rsidR="003C1B7A" w:rsidRDefault="00E23DA2" w:rsidP="0095055E">
      <w:pPr>
        <w:rPr>
          <w:rFonts w:cs="Arial"/>
          <w:lang w:eastAsia="en-AU"/>
        </w:rPr>
      </w:pPr>
      <w:r w:rsidRPr="00A82475">
        <w:rPr>
          <w:w w:val="105"/>
        </w:rPr>
        <w:t xml:space="preserve">Figure 4 </w:t>
      </w:r>
      <w:r w:rsidR="00540BB8">
        <w:rPr>
          <w:w w:val="105"/>
        </w:rPr>
        <w:t>show</w:t>
      </w:r>
      <w:r w:rsidRPr="00A82475">
        <w:rPr>
          <w:w w:val="105"/>
        </w:rPr>
        <w:t xml:space="preserve">s the </w:t>
      </w:r>
      <w:r w:rsidR="00540BB8">
        <w:rPr>
          <w:w w:val="105"/>
        </w:rPr>
        <w:t>large differences</w:t>
      </w:r>
      <w:r w:rsidRPr="00A82475">
        <w:rPr>
          <w:w w:val="105"/>
        </w:rPr>
        <w:t xml:space="preserve"> in average earnings across fields of study among </w:t>
      </w:r>
      <w:r w:rsidRPr="00C232FA">
        <w:rPr>
          <w:w w:val="105"/>
        </w:rPr>
        <w:t xml:space="preserve">tertiary graduates. Australians with degrees in Medicine and Engineering and </w:t>
      </w:r>
      <w:r w:rsidR="00F95350">
        <w:rPr>
          <w:w w:val="105"/>
        </w:rPr>
        <w:t>R</w:t>
      </w:r>
      <w:r w:rsidRPr="00C232FA">
        <w:rPr>
          <w:w w:val="105"/>
        </w:rPr>
        <w:t xml:space="preserve">elated </w:t>
      </w:r>
      <w:r w:rsidR="00F95350">
        <w:rPr>
          <w:w w:val="105"/>
        </w:rPr>
        <w:t>T</w:t>
      </w:r>
      <w:r w:rsidRPr="00C232FA">
        <w:rPr>
          <w:w w:val="105"/>
        </w:rPr>
        <w:t>echnologies earn the highest gross weekly wages</w:t>
      </w:r>
      <w:r>
        <w:rPr>
          <w:w w:val="105"/>
        </w:rPr>
        <w:t xml:space="preserve"> (</w:t>
      </w:r>
      <w:r w:rsidRPr="00C232FA">
        <w:rPr>
          <w:w w:val="105"/>
        </w:rPr>
        <w:t>$2</w:t>
      </w:r>
      <w:r w:rsidR="00721EB3">
        <w:rPr>
          <w:w w:val="105"/>
        </w:rPr>
        <w:t>,</w:t>
      </w:r>
      <w:r w:rsidRPr="00C232FA">
        <w:rPr>
          <w:w w:val="105"/>
        </w:rPr>
        <w:t>537 and $2</w:t>
      </w:r>
      <w:r w:rsidR="00721EB3">
        <w:rPr>
          <w:w w:val="105"/>
        </w:rPr>
        <w:t>,</w:t>
      </w:r>
      <w:r w:rsidRPr="00C232FA">
        <w:rPr>
          <w:w w:val="105"/>
        </w:rPr>
        <w:t>139, respectively</w:t>
      </w:r>
      <w:r>
        <w:rPr>
          <w:w w:val="105"/>
        </w:rPr>
        <w:t xml:space="preserve">), </w:t>
      </w:r>
      <w:r w:rsidRPr="00C232FA">
        <w:rPr>
          <w:w w:val="105"/>
        </w:rPr>
        <w:t>both significantly above the sample average of $1</w:t>
      </w:r>
      <w:r w:rsidR="00721EB3">
        <w:rPr>
          <w:w w:val="105"/>
        </w:rPr>
        <w:t>,</w:t>
      </w:r>
      <w:r w:rsidRPr="00C232FA">
        <w:rPr>
          <w:w w:val="105"/>
        </w:rPr>
        <w:t xml:space="preserve">642 per week. In contrast, graduates in Food, </w:t>
      </w:r>
      <w:r w:rsidR="00F95350">
        <w:rPr>
          <w:w w:val="105"/>
        </w:rPr>
        <w:t>H</w:t>
      </w:r>
      <w:r w:rsidRPr="00C232FA">
        <w:rPr>
          <w:w w:val="105"/>
        </w:rPr>
        <w:t xml:space="preserve">ospitality, and </w:t>
      </w:r>
      <w:r w:rsidR="00F95350">
        <w:rPr>
          <w:w w:val="105"/>
        </w:rPr>
        <w:t>P</w:t>
      </w:r>
      <w:r w:rsidRPr="00C232FA">
        <w:rPr>
          <w:w w:val="105"/>
        </w:rPr>
        <w:t xml:space="preserve">ersonal </w:t>
      </w:r>
      <w:r w:rsidR="00F95350">
        <w:rPr>
          <w:w w:val="105"/>
        </w:rPr>
        <w:t>S</w:t>
      </w:r>
      <w:r w:rsidRPr="00C232FA">
        <w:rPr>
          <w:w w:val="105"/>
        </w:rPr>
        <w:t>ervices earn an average of $1</w:t>
      </w:r>
      <w:r w:rsidR="00721EB3">
        <w:rPr>
          <w:w w:val="105"/>
        </w:rPr>
        <w:t>,</w:t>
      </w:r>
      <w:r w:rsidRPr="00C232FA">
        <w:rPr>
          <w:w w:val="105"/>
        </w:rPr>
        <w:t xml:space="preserve">241 per week, while those with degrees in Creative </w:t>
      </w:r>
      <w:r w:rsidR="00F95350">
        <w:rPr>
          <w:w w:val="105"/>
        </w:rPr>
        <w:t>A</w:t>
      </w:r>
      <w:r w:rsidRPr="00C232FA">
        <w:rPr>
          <w:w w:val="105"/>
        </w:rPr>
        <w:t>rts have the lowest earnings, averaging $1</w:t>
      </w:r>
      <w:r w:rsidR="00721EB3">
        <w:rPr>
          <w:w w:val="105"/>
        </w:rPr>
        <w:t>,</w:t>
      </w:r>
      <w:r w:rsidRPr="00C232FA">
        <w:rPr>
          <w:w w:val="105"/>
        </w:rPr>
        <w:t>072 per week.</w:t>
      </w:r>
    </w:p>
    <w:p w14:paraId="191BE36C" w14:textId="77777777" w:rsidR="00721EB3" w:rsidRDefault="00721EB3">
      <w:pPr>
        <w:spacing w:line="259" w:lineRule="auto"/>
        <w:rPr>
          <w:i/>
          <w:iCs/>
          <w:color w:val="351C26" w:themeColor="text2"/>
          <w:sz w:val="20"/>
          <w:szCs w:val="20"/>
        </w:rPr>
      </w:pPr>
      <w:bookmarkStart w:id="28" w:name="_Ref184723055"/>
      <w:r>
        <w:rPr>
          <w:sz w:val="20"/>
          <w:szCs w:val="20"/>
        </w:rPr>
        <w:br w:type="page"/>
      </w:r>
    </w:p>
    <w:p w14:paraId="711BB3C1" w14:textId="37039209" w:rsidR="00F95350" w:rsidRDefault="00F95350" w:rsidP="00BF48E1">
      <w:pPr>
        <w:pStyle w:val="Caption"/>
        <w:spacing w:after="240"/>
        <w:rPr>
          <w:lang w:eastAsia="en-AU"/>
        </w:rPr>
      </w:pPr>
      <w:bookmarkStart w:id="29" w:name="_Toc222998798"/>
      <w:r w:rsidRPr="00BF48E1">
        <w:rPr>
          <w:sz w:val="20"/>
          <w:szCs w:val="20"/>
        </w:rPr>
        <w:lastRenderedPageBreak/>
        <w:t xml:space="preserve">Figure </w:t>
      </w:r>
      <w:r w:rsidRPr="00BF48E1">
        <w:rPr>
          <w:sz w:val="20"/>
          <w:szCs w:val="20"/>
        </w:rPr>
        <w:fldChar w:fldCharType="begin"/>
      </w:r>
      <w:r w:rsidRPr="00BF48E1">
        <w:rPr>
          <w:sz w:val="20"/>
          <w:szCs w:val="20"/>
        </w:rPr>
        <w:instrText xml:space="preserve"> SEQ Figure \* ARABIC </w:instrText>
      </w:r>
      <w:r w:rsidRPr="00BF48E1">
        <w:rPr>
          <w:sz w:val="20"/>
          <w:szCs w:val="20"/>
        </w:rPr>
        <w:fldChar w:fldCharType="separate"/>
      </w:r>
      <w:r w:rsidRPr="00BF48E1">
        <w:rPr>
          <w:noProof/>
          <w:sz w:val="20"/>
          <w:szCs w:val="20"/>
        </w:rPr>
        <w:t>3</w:t>
      </w:r>
      <w:r w:rsidRPr="00BF48E1">
        <w:rPr>
          <w:sz w:val="20"/>
          <w:szCs w:val="20"/>
        </w:rPr>
        <w:fldChar w:fldCharType="end"/>
      </w:r>
      <w:bookmarkEnd w:id="28"/>
      <w:r w:rsidRPr="00BF48E1">
        <w:rPr>
          <w:rFonts w:eastAsia="Arial" w:cs="Arial"/>
          <w:w w:val="105"/>
          <w:kern w:val="0"/>
          <w:sz w:val="20"/>
          <w:szCs w:val="20"/>
          <w14:ligatures w14:val="none"/>
        </w:rPr>
        <w:t>: Proportion of having a managerial or professional job by field of study</w:t>
      </w:r>
      <w:bookmarkEnd w:id="29"/>
    </w:p>
    <w:p w14:paraId="210134B1" w14:textId="4965F33C" w:rsidR="003C1B7A" w:rsidRPr="0016620E" w:rsidRDefault="003C1B7A" w:rsidP="00721EB3">
      <w:pPr>
        <w:rPr>
          <w:rFonts w:cs="Arial"/>
          <w:lang w:eastAsia="en-AU"/>
        </w:rPr>
      </w:pPr>
      <w:r>
        <w:rPr>
          <w:noProof/>
        </w:rPr>
        <w:drawing>
          <wp:inline distT="0" distB="0" distL="0" distR="0" wp14:anchorId="67311365" wp14:editId="1EB64595">
            <wp:extent cx="5572664" cy="2898475"/>
            <wp:effectExtent l="0" t="0" r="9525" b="16510"/>
            <wp:docPr id="2005728949" name="Chart 1" descr="Bar chart showing the proportion of having a managerial or professional job by field of study. There is a significant degree of variation by academic specialisation at university. For example, graduates in Medicine have the highest rate of managerial or professional employment (92%), while those in Food, Hospitality, and Personal Services have the lowest (34%).">
              <a:extLst xmlns:a="http://schemas.openxmlformats.org/drawingml/2006/main">
                <a:ext uri="{FF2B5EF4-FFF2-40B4-BE49-F238E27FC236}">
                  <a16:creationId xmlns:a16="http://schemas.microsoft.com/office/drawing/2014/main" id="{3E75C9D0-0A95-5D2B-A02C-04CD86FDD1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4AF5B9C" w14:textId="43E6CEDF" w:rsidR="00E23DA2" w:rsidRPr="00E23DA2" w:rsidRDefault="00F95350" w:rsidP="00721EB3">
      <w:pPr>
        <w:pStyle w:val="Caption"/>
        <w:spacing w:before="360" w:after="240"/>
      </w:pPr>
      <w:bookmarkStart w:id="30" w:name="_Ref184723029"/>
      <w:bookmarkStart w:id="31" w:name="_Toc222998799"/>
      <w:r w:rsidRPr="00BF48E1">
        <w:rPr>
          <w:sz w:val="20"/>
          <w:szCs w:val="20"/>
        </w:rPr>
        <w:t xml:space="preserve">Figure </w:t>
      </w:r>
      <w:r w:rsidRPr="00BF48E1">
        <w:rPr>
          <w:sz w:val="20"/>
          <w:szCs w:val="20"/>
        </w:rPr>
        <w:fldChar w:fldCharType="begin"/>
      </w:r>
      <w:r w:rsidRPr="00BF48E1">
        <w:rPr>
          <w:sz w:val="20"/>
          <w:szCs w:val="20"/>
        </w:rPr>
        <w:instrText xml:space="preserve"> SEQ Figure \* ARABIC </w:instrText>
      </w:r>
      <w:r w:rsidRPr="00BF48E1">
        <w:rPr>
          <w:sz w:val="20"/>
          <w:szCs w:val="20"/>
        </w:rPr>
        <w:fldChar w:fldCharType="separate"/>
      </w:r>
      <w:r w:rsidRPr="00BF48E1">
        <w:rPr>
          <w:noProof/>
          <w:sz w:val="20"/>
          <w:szCs w:val="20"/>
        </w:rPr>
        <w:t>4</w:t>
      </w:r>
      <w:r w:rsidRPr="00BF48E1">
        <w:rPr>
          <w:sz w:val="20"/>
          <w:szCs w:val="20"/>
        </w:rPr>
        <w:fldChar w:fldCharType="end"/>
      </w:r>
      <w:bookmarkEnd w:id="30"/>
      <w:r w:rsidRPr="00BF48E1">
        <w:rPr>
          <w:rFonts w:eastAsia="Arial" w:cs="Arial"/>
          <w:w w:val="105"/>
          <w:kern w:val="0"/>
          <w:sz w:val="20"/>
          <w:szCs w:val="20"/>
          <w14:ligatures w14:val="none"/>
        </w:rPr>
        <w:t>: Weekly earnings by field of study</w:t>
      </w:r>
      <w:bookmarkEnd w:id="31"/>
    </w:p>
    <w:p w14:paraId="2B3A5D15" w14:textId="71C43FC4" w:rsidR="004036D0" w:rsidRDefault="004036D0" w:rsidP="00721EB3">
      <w:pPr>
        <w:spacing w:line="240" w:lineRule="auto"/>
        <w:rPr>
          <w:rFonts w:eastAsia="Arial" w:cs="Arial"/>
          <w:w w:val="105"/>
          <w:kern w:val="0"/>
          <w14:ligatures w14:val="none"/>
        </w:rPr>
      </w:pPr>
      <w:r>
        <w:rPr>
          <w:noProof/>
        </w:rPr>
        <w:drawing>
          <wp:inline distT="0" distB="0" distL="0" distR="0" wp14:anchorId="10CF446F" wp14:editId="5618DEB2">
            <wp:extent cx="5589917" cy="2803585"/>
            <wp:effectExtent l="0" t="0" r="10795" b="15875"/>
            <wp:docPr id="1686187164" name="Chart 1" descr="Bar chart comparing weekly earnings by field of study. Australians with degrees in Medicine and Engineering and Related Technologies earn much higher gross weekly wages than graduates with degrees in Food, Hospitality, and Personal Services, and Creative arts.">
              <a:extLst xmlns:a="http://schemas.openxmlformats.org/drawingml/2006/main">
                <a:ext uri="{FF2B5EF4-FFF2-40B4-BE49-F238E27FC236}">
                  <a16:creationId xmlns:a16="http://schemas.microsoft.com/office/drawing/2014/main" id="{47BC879E-D348-CF77-CC1F-699B88841C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82AAE91" w14:textId="035C6126" w:rsidR="004C123E" w:rsidRDefault="003714AA" w:rsidP="00721EB3">
      <w:pPr>
        <w:rPr>
          <w:w w:val="105"/>
        </w:rPr>
      </w:pPr>
      <w:r w:rsidRPr="003714AA">
        <w:rPr>
          <w:w w:val="105"/>
        </w:rPr>
        <w:t xml:space="preserve">Finally, </w:t>
      </w:r>
      <w:r w:rsidR="00AA5FDE" w:rsidRPr="00AA5FDE">
        <w:rPr>
          <w:w w:val="105"/>
        </w:rPr>
        <w:t xml:space="preserve">we examine </w:t>
      </w:r>
      <w:r w:rsidR="00EA2061">
        <w:rPr>
          <w:w w:val="105"/>
        </w:rPr>
        <w:t xml:space="preserve">the </w:t>
      </w:r>
      <w:r w:rsidR="00AA5FDE" w:rsidRPr="00AA5FDE">
        <w:rPr>
          <w:w w:val="105"/>
        </w:rPr>
        <w:t xml:space="preserve">patterns </w:t>
      </w:r>
      <w:r w:rsidR="00874166">
        <w:rPr>
          <w:w w:val="105"/>
        </w:rPr>
        <w:t>in</w:t>
      </w:r>
      <w:r w:rsidR="00AA5FDE" w:rsidRPr="00AA5FDE">
        <w:rPr>
          <w:w w:val="105"/>
        </w:rPr>
        <w:t xml:space="preserve"> job satisfaction across academic disciplines</w:t>
      </w:r>
      <w:r w:rsidRPr="00885F2B">
        <w:rPr>
          <w:w w:val="105"/>
        </w:rPr>
        <w:t>, measured on a scale of 0</w:t>
      </w:r>
      <w:r w:rsidR="00721EB3">
        <w:rPr>
          <w:w w:val="105"/>
        </w:rPr>
        <w:t>–</w:t>
      </w:r>
      <w:r w:rsidRPr="00885F2B">
        <w:rPr>
          <w:w w:val="105"/>
        </w:rPr>
        <w:t xml:space="preserve">10. As shown in Figure 5, Australian graduates with </w:t>
      </w:r>
      <w:r w:rsidR="00AA5FDE">
        <w:rPr>
          <w:w w:val="105"/>
        </w:rPr>
        <w:t xml:space="preserve">a </w:t>
      </w:r>
      <w:r w:rsidRPr="00885F2B">
        <w:rPr>
          <w:w w:val="105"/>
        </w:rPr>
        <w:t xml:space="preserve">degree in Medicine report the highest </w:t>
      </w:r>
      <w:r w:rsidR="00AA5FDE">
        <w:rPr>
          <w:w w:val="105"/>
        </w:rPr>
        <w:t>level</w:t>
      </w:r>
      <w:r w:rsidR="003B2101">
        <w:rPr>
          <w:w w:val="105"/>
        </w:rPr>
        <w:t>s</w:t>
      </w:r>
      <w:r w:rsidR="00AA5FDE">
        <w:rPr>
          <w:w w:val="105"/>
        </w:rPr>
        <w:t xml:space="preserve"> of </w:t>
      </w:r>
      <w:r w:rsidRPr="00885F2B">
        <w:rPr>
          <w:w w:val="105"/>
        </w:rPr>
        <w:t>job satisfaction, while those in the Other</w:t>
      </w:r>
      <w:r w:rsidR="00885F2B" w:rsidRPr="00885F2B">
        <w:rPr>
          <w:w w:val="105"/>
        </w:rPr>
        <w:t>s</w:t>
      </w:r>
      <w:r w:rsidRPr="00885F2B">
        <w:rPr>
          <w:w w:val="105"/>
        </w:rPr>
        <w:t xml:space="preserve"> category are the least satisfied</w:t>
      </w:r>
      <w:r w:rsidR="001A6066">
        <w:rPr>
          <w:w w:val="105"/>
        </w:rPr>
        <w:t xml:space="preserve"> with their job</w:t>
      </w:r>
      <w:r w:rsidRPr="00885F2B">
        <w:rPr>
          <w:w w:val="105"/>
        </w:rPr>
        <w:t xml:space="preserve">. </w:t>
      </w:r>
      <w:r w:rsidR="00AA5FDE">
        <w:rPr>
          <w:w w:val="105"/>
        </w:rPr>
        <w:t>The levels of j</w:t>
      </w:r>
      <w:r w:rsidRPr="00885F2B">
        <w:rPr>
          <w:w w:val="105"/>
        </w:rPr>
        <w:t>ob satisfaction among graduates from the remaining 13 fields of study appear</w:t>
      </w:r>
      <w:r w:rsidR="00AA5FDE">
        <w:rPr>
          <w:w w:val="105"/>
        </w:rPr>
        <w:t xml:space="preserve"> to be</w:t>
      </w:r>
      <w:r w:rsidRPr="00885F2B">
        <w:rPr>
          <w:w w:val="105"/>
        </w:rPr>
        <w:t xml:space="preserve"> relatively</w:t>
      </w:r>
      <w:r w:rsidRPr="003714AA">
        <w:rPr>
          <w:w w:val="105"/>
        </w:rPr>
        <w:t xml:space="preserve"> consistent.</w:t>
      </w:r>
    </w:p>
    <w:p w14:paraId="18C31861" w14:textId="77777777" w:rsidR="00721EB3" w:rsidRDefault="00721EB3">
      <w:pPr>
        <w:spacing w:line="259" w:lineRule="auto"/>
        <w:rPr>
          <w:i/>
          <w:iCs/>
          <w:color w:val="351C26" w:themeColor="text2"/>
          <w:sz w:val="20"/>
          <w:szCs w:val="20"/>
        </w:rPr>
      </w:pPr>
      <w:bookmarkStart w:id="32" w:name="_Ref184723006"/>
      <w:r>
        <w:rPr>
          <w:sz w:val="20"/>
          <w:szCs w:val="20"/>
        </w:rPr>
        <w:br w:type="page"/>
      </w:r>
    </w:p>
    <w:p w14:paraId="14D0215F" w14:textId="0E519110" w:rsidR="00F95350" w:rsidRDefault="00F95350" w:rsidP="00BF48E1">
      <w:pPr>
        <w:pStyle w:val="Caption"/>
        <w:spacing w:after="240"/>
      </w:pPr>
      <w:bookmarkStart w:id="33" w:name="_Toc222998800"/>
      <w:r w:rsidRPr="00BF48E1">
        <w:rPr>
          <w:sz w:val="20"/>
          <w:szCs w:val="20"/>
        </w:rPr>
        <w:lastRenderedPageBreak/>
        <w:t xml:space="preserve">Figure </w:t>
      </w:r>
      <w:r w:rsidRPr="00BF48E1">
        <w:rPr>
          <w:sz w:val="20"/>
          <w:szCs w:val="20"/>
        </w:rPr>
        <w:fldChar w:fldCharType="begin"/>
      </w:r>
      <w:r w:rsidRPr="00BF48E1">
        <w:rPr>
          <w:sz w:val="20"/>
          <w:szCs w:val="20"/>
        </w:rPr>
        <w:instrText xml:space="preserve"> SEQ Figure \* ARABIC </w:instrText>
      </w:r>
      <w:r w:rsidRPr="00BF48E1">
        <w:rPr>
          <w:sz w:val="20"/>
          <w:szCs w:val="20"/>
        </w:rPr>
        <w:fldChar w:fldCharType="separate"/>
      </w:r>
      <w:r w:rsidRPr="00BF48E1">
        <w:rPr>
          <w:noProof/>
          <w:sz w:val="20"/>
          <w:szCs w:val="20"/>
        </w:rPr>
        <w:t>5</w:t>
      </w:r>
      <w:r w:rsidRPr="00BF48E1">
        <w:rPr>
          <w:sz w:val="20"/>
          <w:szCs w:val="20"/>
        </w:rPr>
        <w:fldChar w:fldCharType="end"/>
      </w:r>
      <w:bookmarkEnd w:id="32"/>
      <w:r w:rsidRPr="00BF48E1">
        <w:rPr>
          <w:rFonts w:eastAsia="Arial" w:cs="Arial"/>
          <w:w w:val="105"/>
          <w:kern w:val="0"/>
          <w:sz w:val="20"/>
          <w:szCs w:val="20"/>
          <w14:ligatures w14:val="none"/>
        </w:rPr>
        <w:t>: Job satisfaction by field of study</w:t>
      </w:r>
      <w:bookmarkEnd w:id="33"/>
    </w:p>
    <w:p w14:paraId="58D5B657" w14:textId="4C5F1C30" w:rsidR="00FD7A78" w:rsidRPr="0016620E" w:rsidRDefault="00FD7A78" w:rsidP="00721EB3">
      <w:pPr>
        <w:snapToGrid w:val="0"/>
        <w:rPr>
          <w:rFonts w:cs="Arial"/>
        </w:rPr>
      </w:pPr>
      <w:r>
        <w:rPr>
          <w:noProof/>
        </w:rPr>
        <w:drawing>
          <wp:inline distT="0" distB="0" distL="0" distR="0" wp14:anchorId="77C93596" wp14:editId="21904124">
            <wp:extent cx="5434642" cy="3045124"/>
            <wp:effectExtent l="0" t="0" r="13970" b="3175"/>
            <wp:docPr id="518861878" name="Chart 1" descr="Bar chart comparing the level of job satisfaction by field of study. Australian graduates with a degree in Medicine report the highest levels of job satisfaction, while those in the Others category are the least satisfied with their job. The levels of job satisfaction among graduates from the remaining 13 fields of study are relatively consistent.">
              <a:extLst xmlns:a="http://schemas.openxmlformats.org/drawingml/2006/main">
                <a:ext uri="{FF2B5EF4-FFF2-40B4-BE49-F238E27FC236}">
                  <a16:creationId xmlns:a16="http://schemas.microsoft.com/office/drawing/2014/main" id="{2D01766D-79EF-8A43-832E-86F3E8FC1C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2CF8F82" w14:textId="77777777" w:rsidR="00E201A0" w:rsidRDefault="00E201A0" w:rsidP="00C57173">
      <w:pPr>
        <w:rPr>
          <w:rFonts w:eastAsia="Arial" w:cs="Arial"/>
          <w:b/>
          <w:bCs/>
          <w:w w:val="105"/>
          <w:kern w:val="0"/>
          <w14:ligatures w14:val="none"/>
        </w:rPr>
      </w:pPr>
    </w:p>
    <w:p w14:paraId="75524C0D" w14:textId="7F0269BD" w:rsidR="00C57173" w:rsidRDefault="0051353C" w:rsidP="00BF48E1">
      <w:pPr>
        <w:pStyle w:val="Heading3"/>
        <w:rPr>
          <w:w w:val="105"/>
        </w:rPr>
      </w:pPr>
      <w:bookmarkStart w:id="34" w:name="_Toc222998771"/>
      <w:r>
        <w:rPr>
          <w:w w:val="105"/>
        </w:rPr>
        <w:t>F</w:t>
      </w:r>
      <w:r w:rsidR="00C57173" w:rsidRPr="00C50915">
        <w:rPr>
          <w:w w:val="105"/>
        </w:rPr>
        <w:t>ields of study</w:t>
      </w:r>
      <w:r>
        <w:rPr>
          <w:w w:val="105"/>
        </w:rPr>
        <w:t xml:space="preserve"> and </w:t>
      </w:r>
      <w:r w:rsidR="0097512D">
        <w:rPr>
          <w:w w:val="105"/>
        </w:rPr>
        <w:t>socio-economic</w:t>
      </w:r>
      <w:r w:rsidR="001E2F82" w:rsidRPr="00BE77EB">
        <w:rPr>
          <w:w w:val="105"/>
        </w:rPr>
        <w:t xml:space="preserve"> backgrounds</w:t>
      </w:r>
      <w:bookmarkEnd w:id="34"/>
    </w:p>
    <w:p w14:paraId="36DCF1E8" w14:textId="7C7BD0B0" w:rsidR="001D0662" w:rsidRPr="001D0662" w:rsidRDefault="001D0662" w:rsidP="00721EB3">
      <w:pPr>
        <w:rPr>
          <w:w w:val="105"/>
        </w:rPr>
      </w:pPr>
      <w:r w:rsidRPr="001D0662">
        <w:rPr>
          <w:w w:val="105"/>
        </w:rPr>
        <w:t xml:space="preserve">Overall, Figures 1–5 </w:t>
      </w:r>
      <w:r w:rsidR="004036E6">
        <w:rPr>
          <w:w w:val="105"/>
        </w:rPr>
        <w:t>indicate</w:t>
      </w:r>
      <w:r w:rsidR="004036E6" w:rsidRPr="001D0662">
        <w:rPr>
          <w:w w:val="105"/>
        </w:rPr>
        <w:t xml:space="preserve"> </w:t>
      </w:r>
      <w:r w:rsidRPr="001D0662">
        <w:rPr>
          <w:w w:val="105"/>
        </w:rPr>
        <w:t xml:space="preserve">that fields of study are </w:t>
      </w:r>
      <w:r w:rsidR="00D566FD">
        <w:rPr>
          <w:w w:val="105"/>
        </w:rPr>
        <w:t>associated with different</w:t>
      </w:r>
      <w:r w:rsidRPr="001D0662">
        <w:rPr>
          <w:w w:val="105"/>
        </w:rPr>
        <w:t xml:space="preserve"> career outcomes. To better understand the differences in labour market performance between </w:t>
      </w:r>
      <w:r w:rsidR="001E2F82">
        <w:rPr>
          <w:w w:val="105"/>
        </w:rPr>
        <w:t>different</w:t>
      </w:r>
      <w:r w:rsidRPr="001D0662">
        <w:rPr>
          <w:w w:val="105"/>
        </w:rPr>
        <w:t xml:space="preserve"> groups, a key research question emerges: Do individuals </w:t>
      </w:r>
      <w:r w:rsidR="00E15938">
        <w:rPr>
          <w:w w:val="105"/>
        </w:rPr>
        <w:t>from different</w:t>
      </w:r>
      <w:r w:rsidRPr="001D0662">
        <w:rPr>
          <w:w w:val="105"/>
        </w:rPr>
        <w:t xml:space="preserve"> </w:t>
      </w:r>
      <w:r w:rsidR="0097512D">
        <w:rPr>
          <w:w w:val="105"/>
        </w:rPr>
        <w:t>socio-economic</w:t>
      </w:r>
      <w:r w:rsidR="001E2F82">
        <w:rPr>
          <w:w w:val="105"/>
        </w:rPr>
        <w:t xml:space="preserve"> </w:t>
      </w:r>
      <w:r w:rsidR="001E2F82" w:rsidRPr="00BD38F3">
        <w:rPr>
          <w:w w:val="105"/>
        </w:rPr>
        <w:t>backgrounds</w:t>
      </w:r>
      <w:r w:rsidR="001E2F82">
        <w:rPr>
          <w:w w:val="105"/>
        </w:rPr>
        <w:t xml:space="preserve"> </w:t>
      </w:r>
      <w:r w:rsidRPr="001D0662">
        <w:rPr>
          <w:w w:val="105"/>
        </w:rPr>
        <w:t xml:space="preserve">in </w:t>
      </w:r>
      <w:r w:rsidR="00485950">
        <w:rPr>
          <w:w w:val="105"/>
        </w:rPr>
        <w:t>early life</w:t>
      </w:r>
      <w:r w:rsidR="00485950" w:rsidRPr="001D0662">
        <w:rPr>
          <w:w w:val="105"/>
        </w:rPr>
        <w:t xml:space="preserve"> </w:t>
      </w:r>
      <w:r w:rsidR="00D566FD">
        <w:rPr>
          <w:w w:val="105"/>
        </w:rPr>
        <w:t>choose</w:t>
      </w:r>
      <w:r w:rsidRPr="001D0662">
        <w:rPr>
          <w:w w:val="105"/>
        </w:rPr>
        <w:t xml:space="preserve"> different fields of study at university </w:t>
      </w:r>
      <w:r w:rsidR="00393627">
        <w:rPr>
          <w:w w:val="105"/>
        </w:rPr>
        <w:t xml:space="preserve">when </w:t>
      </w:r>
      <w:r w:rsidRPr="001D0662">
        <w:rPr>
          <w:w w:val="105"/>
        </w:rPr>
        <w:t>compared to their non-disadvantaged peers?</w:t>
      </w:r>
      <w:r>
        <w:rPr>
          <w:w w:val="105"/>
        </w:rPr>
        <w:t xml:space="preserve"> </w:t>
      </w:r>
      <w:r w:rsidR="00024831" w:rsidRPr="00024831">
        <w:rPr>
          <w:w w:val="105"/>
        </w:rPr>
        <w:t>To explore this, we conduct a detailed analysis of the distribution of fields of study among graduates.</w:t>
      </w:r>
    </w:p>
    <w:p w14:paraId="35C924E3" w14:textId="5CFE4611" w:rsidR="001D0662" w:rsidRDefault="001D0662" w:rsidP="00721EB3">
      <w:pPr>
        <w:rPr>
          <w:w w:val="105"/>
        </w:rPr>
      </w:pPr>
      <w:r w:rsidRPr="001D0662">
        <w:rPr>
          <w:w w:val="105"/>
        </w:rPr>
        <w:t xml:space="preserve">We begin by examining the overall distribution of fields of study. Figure 6 </w:t>
      </w:r>
      <w:r w:rsidR="00030097">
        <w:rPr>
          <w:w w:val="105"/>
        </w:rPr>
        <w:t>shows</w:t>
      </w:r>
      <w:r w:rsidRPr="001D0662">
        <w:rPr>
          <w:w w:val="105"/>
        </w:rPr>
        <w:t xml:space="preserve"> the distributions for all graduates, as well as by birth cohort. </w:t>
      </w:r>
      <w:r w:rsidR="003B2101" w:rsidRPr="003B2101">
        <w:rPr>
          <w:w w:val="105"/>
        </w:rPr>
        <w:t>Our analysis shows that the most popular fields of study are</w:t>
      </w:r>
      <w:r w:rsidRPr="001D0662">
        <w:rPr>
          <w:w w:val="105"/>
        </w:rPr>
        <w:t xml:space="preserve"> Management and </w:t>
      </w:r>
      <w:r w:rsidR="00F95350">
        <w:rPr>
          <w:w w:val="105"/>
        </w:rPr>
        <w:t>C</w:t>
      </w:r>
      <w:r w:rsidRPr="001D0662">
        <w:rPr>
          <w:w w:val="105"/>
        </w:rPr>
        <w:t xml:space="preserve">ommerce (20%), Education (15%), and Society and </w:t>
      </w:r>
      <w:r w:rsidR="00F95350">
        <w:rPr>
          <w:w w:val="105"/>
        </w:rPr>
        <w:t>C</w:t>
      </w:r>
      <w:r w:rsidRPr="001D0662">
        <w:rPr>
          <w:w w:val="105"/>
        </w:rPr>
        <w:t>ulture (</w:t>
      </w:r>
      <w:r w:rsidR="005A1B24">
        <w:rPr>
          <w:w w:val="105"/>
        </w:rPr>
        <w:t>14</w:t>
      </w:r>
      <w:r w:rsidRPr="001D0662">
        <w:rPr>
          <w:w w:val="105"/>
        </w:rPr>
        <w:t>%)</w:t>
      </w:r>
      <w:r w:rsidR="005D020A">
        <w:rPr>
          <w:w w:val="105"/>
        </w:rPr>
        <w:t>; these</w:t>
      </w:r>
      <w:r w:rsidR="005D020A" w:rsidRPr="00F61D97">
        <w:rPr>
          <w:w w:val="105"/>
        </w:rPr>
        <w:t xml:space="preserve"> together account for </w:t>
      </w:r>
      <w:r w:rsidR="005D020A">
        <w:rPr>
          <w:w w:val="105"/>
        </w:rPr>
        <w:t>about</w:t>
      </w:r>
      <w:r w:rsidR="005D020A" w:rsidRPr="00F61D97">
        <w:rPr>
          <w:w w:val="105"/>
        </w:rPr>
        <w:t xml:space="preserve"> half of all </w:t>
      </w:r>
      <w:r w:rsidR="00EF5294">
        <w:rPr>
          <w:w w:val="105"/>
        </w:rPr>
        <w:t xml:space="preserve">tertiary </w:t>
      </w:r>
      <w:r w:rsidR="005D020A" w:rsidRPr="00F61D97">
        <w:rPr>
          <w:w w:val="105"/>
        </w:rPr>
        <w:t>degrees awarded</w:t>
      </w:r>
      <w:r w:rsidRPr="001D0662">
        <w:rPr>
          <w:w w:val="105"/>
        </w:rPr>
        <w:t xml:space="preserve">. In contrast, the three least popular fields are Food, </w:t>
      </w:r>
      <w:r w:rsidR="00F95350">
        <w:rPr>
          <w:w w:val="105"/>
        </w:rPr>
        <w:t>H</w:t>
      </w:r>
      <w:r w:rsidRPr="001D0662">
        <w:rPr>
          <w:w w:val="105"/>
        </w:rPr>
        <w:t xml:space="preserve">ospitality, and </w:t>
      </w:r>
      <w:r w:rsidR="00F95350">
        <w:rPr>
          <w:w w:val="105"/>
        </w:rPr>
        <w:t>P</w:t>
      </w:r>
      <w:r w:rsidRPr="001D0662">
        <w:rPr>
          <w:w w:val="105"/>
        </w:rPr>
        <w:t xml:space="preserve">ersonal </w:t>
      </w:r>
      <w:r w:rsidR="00F95350">
        <w:rPr>
          <w:w w:val="105"/>
        </w:rPr>
        <w:t>S</w:t>
      </w:r>
      <w:r w:rsidRPr="001D0662">
        <w:rPr>
          <w:w w:val="105"/>
        </w:rPr>
        <w:t xml:space="preserve">ervices (0.7%), Agriculture, </w:t>
      </w:r>
      <w:r w:rsidR="00F95350">
        <w:rPr>
          <w:w w:val="105"/>
        </w:rPr>
        <w:t>E</w:t>
      </w:r>
      <w:r w:rsidRPr="001D0662">
        <w:rPr>
          <w:w w:val="105"/>
        </w:rPr>
        <w:t xml:space="preserve">nvironment, and </w:t>
      </w:r>
      <w:r w:rsidR="00F95350">
        <w:rPr>
          <w:w w:val="105"/>
        </w:rPr>
        <w:t>R</w:t>
      </w:r>
      <w:r w:rsidRPr="001D0662">
        <w:rPr>
          <w:w w:val="105"/>
        </w:rPr>
        <w:t xml:space="preserve">elated </w:t>
      </w:r>
      <w:r w:rsidR="00F95350">
        <w:rPr>
          <w:w w:val="105"/>
        </w:rPr>
        <w:t>S</w:t>
      </w:r>
      <w:r w:rsidRPr="001D0662">
        <w:rPr>
          <w:w w:val="105"/>
        </w:rPr>
        <w:t xml:space="preserve">tudies (2%), and Others (0.5%). </w:t>
      </w:r>
      <w:r w:rsidR="00056173">
        <w:rPr>
          <w:w w:val="105"/>
        </w:rPr>
        <w:t>In a</w:t>
      </w:r>
      <w:r w:rsidRPr="001D0662">
        <w:rPr>
          <w:w w:val="105"/>
        </w:rPr>
        <w:t xml:space="preserve">ddition, </w:t>
      </w:r>
      <w:r w:rsidR="004C6E4E">
        <w:rPr>
          <w:w w:val="105"/>
        </w:rPr>
        <w:t>around</w:t>
      </w:r>
      <w:r w:rsidRPr="001D0662">
        <w:rPr>
          <w:w w:val="105"/>
        </w:rPr>
        <w:t xml:space="preserve"> 17% of graduates </w:t>
      </w:r>
      <w:r w:rsidR="00024831">
        <w:rPr>
          <w:w w:val="105"/>
        </w:rPr>
        <w:t>studied</w:t>
      </w:r>
      <w:r w:rsidRPr="001D0662">
        <w:rPr>
          <w:w w:val="105"/>
        </w:rPr>
        <w:t xml:space="preserve"> STEM-related </w:t>
      </w:r>
      <w:r w:rsidR="003B2101">
        <w:rPr>
          <w:w w:val="105"/>
        </w:rPr>
        <w:t>fields</w:t>
      </w:r>
      <w:r w:rsidRPr="001D0662">
        <w:rPr>
          <w:w w:val="105"/>
        </w:rPr>
        <w:t xml:space="preserve"> (Natural and </w:t>
      </w:r>
      <w:r w:rsidR="00F95350">
        <w:rPr>
          <w:w w:val="105"/>
        </w:rPr>
        <w:t>P</w:t>
      </w:r>
      <w:r w:rsidRPr="001D0662">
        <w:rPr>
          <w:w w:val="105"/>
        </w:rPr>
        <w:t xml:space="preserve">hysical </w:t>
      </w:r>
      <w:r w:rsidR="00F95350">
        <w:rPr>
          <w:w w:val="105"/>
        </w:rPr>
        <w:t>S</w:t>
      </w:r>
      <w:r w:rsidRPr="001D0662">
        <w:rPr>
          <w:w w:val="105"/>
        </w:rPr>
        <w:t>ciences</w:t>
      </w:r>
      <w:r w:rsidR="00943DFF">
        <w:rPr>
          <w:w w:val="105"/>
        </w:rPr>
        <w:t>,</w:t>
      </w:r>
      <w:r w:rsidRPr="001D0662">
        <w:rPr>
          <w:w w:val="105"/>
        </w:rPr>
        <w:t xml:space="preserve"> Information </w:t>
      </w:r>
      <w:r w:rsidR="00F95350">
        <w:rPr>
          <w:w w:val="105"/>
        </w:rPr>
        <w:t>T</w:t>
      </w:r>
      <w:r w:rsidRPr="001D0662">
        <w:rPr>
          <w:w w:val="105"/>
        </w:rPr>
        <w:t>echnology</w:t>
      </w:r>
      <w:r w:rsidR="00943DFF">
        <w:rPr>
          <w:w w:val="105"/>
        </w:rPr>
        <w:t>,</w:t>
      </w:r>
      <w:r w:rsidRPr="001D0662">
        <w:rPr>
          <w:w w:val="105"/>
        </w:rPr>
        <w:t xml:space="preserve"> and </w:t>
      </w:r>
      <w:r w:rsidR="001902F5">
        <w:rPr>
          <w:w w:val="105"/>
        </w:rPr>
        <w:t>E</w:t>
      </w:r>
      <w:r w:rsidRPr="001D0662">
        <w:rPr>
          <w:w w:val="105"/>
        </w:rPr>
        <w:t xml:space="preserve">ngineering and </w:t>
      </w:r>
      <w:r w:rsidR="00F95350">
        <w:rPr>
          <w:w w:val="105"/>
        </w:rPr>
        <w:t>R</w:t>
      </w:r>
      <w:r w:rsidRPr="001D0662">
        <w:rPr>
          <w:w w:val="105"/>
        </w:rPr>
        <w:t xml:space="preserve">elated </w:t>
      </w:r>
      <w:r w:rsidR="00F95350">
        <w:rPr>
          <w:w w:val="105"/>
        </w:rPr>
        <w:t>T</w:t>
      </w:r>
      <w:r w:rsidRPr="001D0662">
        <w:rPr>
          <w:w w:val="105"/>
        </w:rPr>
        <w:t>echnologies).</w:t>
      </w:r>
    </w:p>
    <w:p w14:paraId="1D85C12F" w14:textId="77777777" w:rsidR="00B47946" w:rsidRDefault="00B47946">
      <w:pPr>
        <w:spacing w:line="259" w:lineRule="auto"/>
        <w:rPr>
          <w:i/>
          <w:iCs/>
          <w:color w:val="351C26" w:themeColor="text2"/>
          <w:sz w:val="20"/>
          <w:szCs w:val="20"/>
        </w:rPr>
      </w:pPr>
      <w:r>
        <w:rPr>
          <w:sz w:val="20"/>
          <w:szCs w:val="20"/>
        </w:rPr>
        <w:br w:type="page"/>
      </w:r>
    </w:p>
    <w:p w14:paraId="26C728D7" w14:textId="31AEE9D7" w:rsidR="00F95350" w:rsidRPr="001D0662" w:rsidRDefault="00F95350" w:rsidP="00BF48E1">
      <w:pPr>
        <w:pStyle w:val="Caption"/>
        <w:rPr>
          <w:w w:val="105"/>
        </w:rPr>
      </w:pPr>
      <w:bookmarkStart w:id="35" w:name="_Toc222998801"/>
      <w:r w:rsidRPr="00BF48E1">
        <w:rPr>
          <w:sz w:val="20"/>
          <w:szCs w:val="20"/>
        </w:rPr>
        <w:lastRenderedPageBreak/>
        <w:t xml:space="preserve">Figure </w:t>
      </w:r>
      <w:r w:rsidRPr="00BF48E1">
        <w:rPr>
          <w:sz w:val="20"/>
          <w:szCs w:val="20"/>
        </w:rPr>
        <w:fldChar w:fldCharType="begin"/>
      </w:r>
      <w:r w:rsidRPr="00BF48E1">
        <w:rPr>
          <w:sz w:val="20"/>
          <w:szCs w:val="20"/>
        </w:rPr>
        <w:instrText xml:space="preserve"> SEQ Figure \* ARABIC </w:instrText>
      </w:r>
      <w:r w:rsidRPr="00BF48E1">
        <w:rPr>
          <w:sz w:val="20"/>
          <w:szCs w:val="20"/>
        </w:rPr>
        <w:fldChar w:fldCharType="separate"/>
      </w:r>
      <w:r w:rsidRPr="00BF48E1">
        <w:rPr>
          <w:noProof/>
          <w:sz w:val="20"/>
          <w:szCs w:val="20"/>
        </w:rPr>
        <w:t>6</w:t>
      </w:r>
      <w:r w:rsidRPr="00BF48E1">
        <w:rPr>
          <w:sz w:val="20"/>
          <w:szCs w:val="20"/>
        </w:rPr>
        <w:fldChar w:fldCharType="end"/>
      </w:r>
      <w:r w:rsidRPr="00BF48E1">
        <w:rPr>
          <w:rFonts w:eastAsia="Arial" w:cs="Arial"/>
          <w:w w:val="105"/>
          <w:kern w:val="0"/>
          <w:sz w:val="20"/>
          <w:szCs w:val="20"/>
          <w14:ligatures w14:val="none"/>
        </w:rPr>
        <w:t>: Distribution of fields of study in university</w:t>
      </w:r>
      <w:bookmarkEnd w:id="35"/>
    </w:p>
    <w:p w14:paraId="49D28327" w14:textId="700A7802" w:rsidR="004644E4" w:rsidRPr="0016620E" w:rsidRDefault="004644E4" w:rsidP="00B47946">
      <w:pPr>
        <w:rPr>
          <w:rFonts w:cs="Arial"/>
          <w:sz w:val="24"/>
          <w:szCs w:val="24"/>
          <w:lang w:eastAsia="en-AU"/>
        </w:rPr>
      </w:pPr>
      <w:r>
        <w:rPr>
          <w:noProof/>
        </w:rPr>
        <w:drawing>
          <wp:inline distT="0" distB="0" distL="0" distR="0" wp14:anchorId="5CAAE839" wp14:editId="5D0BE5E3">
            <wp:extent cx="5624423" cy="3407434"/>
            <wp:effectExtent l="0" t="0" r="14605" b="2540"/>
            <wp:docPr id="247236494" name="Chart 1" descr="Bar chart showing the distribution of fields of study in university. The most popular fields of study are Management and Commerce, Education, and Society and Culture; these together account for about half of all tertiary degrees awarded. ">
              <a:extLst xmlns:a="http://schemas.openxmlformats.org/drawingml/2006/main">
                <a:ext uri="{FF2B5EF4-FFF2-40B4-BE49-F238E27FC236}">
                  <a16:creationId xmlns:a16="http://schemas.microsoft.com/office/drawing/2014/main" id="{DD1C9AEE-EC40-262C-C85F-534271ED00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BCC583" w14:textId="4D07230C" w:rsidR="00C57173" w:rsidRPr="00E40BDE" w:rsidRDefault="00E7255A" w:rsidP="00721EB3">
      <w:pPr>
        <w:rPr>
          <w:w w:val="105"/>
        </w:rPr>
      </w:pPr>
      <w:r w:rsidRPr="00E7255A">
        <w:rPr>
          <w:w w:val="105"/>
        </w:rPr>
        <w:t xml:space="preserve">Figure 6 also </w:t>
      </w:r>
      <w:r w:rsidR="00393627">
        <w:rPr>
          <w:w w:val="105"/>
        </w:rPr>
        <w:t>provides a comparison of</w:t>
      </w:r>
      <w:r w:rsidRPr="00E7255A">
        <w:rPr>
          <w:w w:val="105"/>
        </w:rPr>
        <w:t xml:space="preserve"> the distribution of fields of study between two birth cohorts: those born before 1980 and those born in 1980 or later</w:t>
      </w:r>
      <w:r w:rsidR="00C57173" w:rsidRPr="00E40BDE">
        <w:rPr>
          <w:w w:val="105"/>
        </w:rPr>
        <w:t>.</w:t>
      </w:r>
      <w:r w:rsidR="00C57173" w:rsidRPr="008942FC">
        <w:rPr>
          <w:w w:val="105"/>
          <w:vertAlign w:val="superscript"/>
        </w:rPr>
        <w:footnoteReference w:id="13"/>
      </w:r>
      <w:r w:rsidR="00C57173" w:rsidRPr="00E40BDE">
        <w:rPr>
          <w:w w:val="105"/>
        </w:rPr>
        <w:t xml:space="preserve"> </w:t>
      </w:r>
      <w:r w:rsidR="0047397B" w:rsidRPr="0047397B">
        <w:rPr>
          <w:w w:val="105"/>
        </w:rPr>
        <w:t xml:space="preserve">The results </w:t>
      </w:r>
      <w:r w:rsidR="00B856CA">
        <w:rPr>
          <w:w w:val="105"/>
        </w:rPr>
        <w:t>show</w:t>
      </w:r>
      <w:r w:rsidR="0047397B" w:rsidRPr="0047397B">
        <w:rPr>
          <w:w w:val="105"/>
        </w:rPr>
        <w:t xml:space="preserve"> </w:t>
      </w:r>
      <w:r w:rsidR="006D7DB0">
        <w:rPr>
          <w:w w:val="105"/>
        </w:rPr>
        <w:t xml:space="preserve">some </w:t>
      </w:r>
      <w:r w:rsidR="00F36CFF" w:rsidRPr="00F36CFF">
        <w:rPr>
          <w:w w:val="105"/>
        </w:rPr>
        <w:t>shifts in preferences for fields of study</w:t>
      </w:r>
      <w:r w:rsidR="004907AC">
        <w:rPr>
          <w:w w:val="105"/>
        </w:rPr>
        <w:t>.</w:t>
      </w:r>
      <w:r w:rsidR="0047397B" w:rsidRPr="0047397B">
        <w:rPr>
          <w:w w:val="105"/>
        </w:rPr>
        <w:t xml:space="preserve"> In particular,</w:t>
      </w:r>
      <w:r w:rsidRPr="00F731D0">
        <w:rPr>
          <w:w w:val="105"/>
        </w:rPr>
        <w:t xml:space="preserve"> individuals born in 1980 or later are less likely to pursue degrees in Education</w:t>
      </w:r>
      <w:r w:rsidR="00E4178D">
        <w:rPr>
          <w:w w:val="105"/>
        </w:rPr>
        <w:t>,</w:t>
      </w:r>
      <w:r w:rsidRPr="00F731D0">
        <w:rPr>
          <w:w w:val="105"/>
        </w:rPr>
        <w:t xml:space="preserve"> Society and </w:t>
      </w:r>
      <w:r w:rsidR="00811E81">
        <w:rPr>
          <w:w w:val="105"/>
        </w:rPr>
        <w:t>C</w:t>
      </w:r>
      <w:r w:rsidRPr="00F731D0">
        <w:rPr>
          <w:w w:val="105"/>
        </w:rPr>
        <w:t>ulture</w:t>
      </w:r>
      <w:r w:rsidR="00E4178D">
        <w:rPr>
          <w:w w:val="105"/>
        </w:rPr>
        <w:t>,</w:t>
      </w:r>
      <w:r w:rsidRPr="00F731D0">
        <w:rPr>
          <w:w w:val="105"/>
        </w:rPr>
        <w:t xml:space="preserve"> and Nursing, while they show a greater inclination towards Creative </w:t>
      </w:r>
      <w:r w:rsidR="00811E81">
        <w:rPr>
          <w:w w:val="105"/>
        </w:rPr>
        <w:t>A</w:t>
      </w:r>
      <w:r w:rsidRPr="00F731D0">
        <w:rPr>
          <w:w w:val="105"/>
        </w:rPr>
        <w:t>rts</w:t>
      </w:r>
      <w:r w:rsidR="00BA477C">
        <w:rPr>
          <w:w w:val="105"/>
        </w:rPr>
        <w:t>,</w:t>
      </w:r>
      <w:r w:rsidRPr="00F731D0">
        <w:rPr>
          <w:w w:val="105"/>
        </w:rPr>
        <w:t xml:space="preserve"> Law</w:t>
      </w:r>
      <w:r w:rsidR="00BA477C">
        <w:rPr>
          <w:w w:val="105"/>
        </w:rPr>
        <w:t>,</w:t>
      </w:r>
      <w:r w:rsidRPr="00F731D0">
        <w:rPr>
          <w:w w:val="105"/>
        </w:rPr>
        <w:t xml:space="preserve"> and Other </w:t>
      </w:r>
      <w:r w:rsidR="00811E81">
        <w:rPr>
          <w:w w:val="105"/>
        </w:rPr>
        <w:t>H</w:t>
      </w:r>
      <w:r w:rsidRPr="00F731D0">
        <w:rPr>
          <w:w w:val="105"/>
        </w:rPr>
        <w:t>ealth-</w:t>
      </w:r>
      <w:r w:rsidR="00811E81">
        <w:rPr>
          <w:w w:val="105"/>
        </w:rPr>
        <w:t>R</w:t>
      </w:r>
      <w:r w:rsidRPr="00F731D0">
        <w:rPr>
          <w:w w:val="105"/>
        </w:rPr>
        <w:t>elated disciplines</w:t>
      </w:r>
      <w:r w:rsidR="00C57173" w:rsidRPr="00F731D0">
        <w:rPr>
          <w:w w:val="105"/>
        </w:rPr>
        <w:t xml:space="preserve">. </w:t>
      </w:r>
      <w:r w:rsidRPr="00F731D0">
        <w:rPr>
          <w:w w:val="105"/>
        </w:rPr>
        <w:t xml:space="preserve">Meanwhile, preferences for </w:t>
      </w:r>
      <w:r w:rsidR="006D7DB0">
        <w:rPr>
          <w:w w:val="105"/>
        </w:rPr>
        <w:t>the other nine</w:t>
      </w:r>
      <w:r w:rsidRPr="00F731D0">
        <w:rPr>
          <w:w w:val="105"/>
        </w:rPr>
        <w:t xml:space="preserve"> fields, including Agriculture, </w:t>
      </w:r>
      <w:r w:rsidR="00811E81">
        <w:rPr>
          <w:w w:val="105"/>
        </w:rPr>
        <w:t>E</w:t>
      </w:r>
      <w:r w:rsidRPr="00F731D0">
        <w:rPr>
          <w:w w:val="105"/>
        </w:rPr>
        <w:t xml:space="preserve">nvironment and </w:t>
      </w:r>
      <w:r w:rsidR="00811E81">
        <w:rPr>
          <w:w w:val="105"/>
        </w:rPr>
        <w:t>R</w:t>
      </w:r>
      <w:r w:rsidRPr="00F731D0">
        <w:rPr>
          <w:w w:val="105"/>
        </w:rPr>
        <w:t xml:space="preserve">elated </w:t>
      </w:r>
      <w:r w:rsidR="00811E81">
        <w:rPr>
          <w:w w:val="105"/>
        </w:rPr>
        <w:t>S</w:t>
      </w:r>
      <w:r w:rsidRPr="00F731D0">
        <w:rPr>
          <w:w w:val="105"/>
        </w:rPr>
        <w:t xml:space="preserve">tudies and Medicine, remain </w:t>
      </w:r>
      <w:r w:rsidR="00365CB7">
        <w:rPr>
          <w:w w:val="105"/>
        </w:rPr>
        <w:t>broadly</w:t>
      </w:r>
      <w:r w:rsidRPr="00F731D0">
        <w:rPr>
          <w:w w:val="105"/>
        </w:rPr>
        <w:t xml:space="preserve"> consistent </w:t>
      </w:r>
      <w:r w:rsidR="00365CB7">
        <w:rPr>
          <w:w w:val="105"/>
        </w:rPr>
        <w:t>between</w:t>
      </w:r>
      <w:r w:rsidRPr="00F731D0">
        <w:rPr>
          <w:w w:val="105"/>
        </w:rPr>
        <w:t xml:space="preserve"> the two </w:t>
      </w:r>
      <w:r w:rsidR="00B26F24">
        <w:rPr>
          <w:w w:val="105"/>
        </w:rPr>
        <w:t xml:space="preserve">birth </w:t>
      </w:r>
      <w:r w:rsidRPr="00F731D0">
        <w:rPr>
          <w:w w:val="105"/>
        </w:rPr>
        <w:t xml:space="preserve">cohorts. </w:t>
      </w:r>
      <w:r w:rsidR="005058DD">
        <w:rPr>
          <w:w w:val="105"/>
        </w:rPr>
        <w:t>In particular</w:t>
      </w:r>
      <w:r w:rsidRPr="00F731D0">
        <w:rPr>
          <w:w w:val="105"/>
        </w:rPr>
        <w:t>, the proportion of graduates</w:t>
      </w:r>
      <w:r w:rsidRPr="00E7255A">
        <w:rPr>
          <w:w w:val="105"/>
        </w:rPr>
        <w:t xml:space="preserve"> in STEM-related fields has remained stable</w:t>
      </w:r>
      <w:r w:rsidR="00BD3A0E">
        <w:rPr>
          <w:w w:val="105"/>
        </w:rPr>
        <w:t xml:space="preserve"> </w:t>
      </w:r>
      <w:r w:rsidR="0047397B">
        <w:rPr>
          <w:w w:val="105"/>
        </w:rPr>
        <w:t xml:space="preserve">between </w:t>
      </w:r>
      <w:r w:rsidR="00BD3A0E">
        <w:rPr>
          <w:w w:val="105"/>
        </w:rPr>
        <w:t>the younger and older</w:t>
      </w:r>
      <w:r w:rsidR="008C6BD4">
        <w:rPr>
          <w:w w:val="105"/>
        </w:rPr>
        <w:t xml:space="preserve"> cohorts</w:t>
      </w:r>
      <w:r w:rsidR="00C57173">
        <w:rPr>
          <w:w w:val="105"/>
        </w:rPr>
        <w:t>.</w:t>
      </w:r>
    </w:p>
    <w:p w14:paraId="6A1E0B50" w14:textId="7BFD16D9" w:rsidR="007F5B3C" w:rsidRPr="00B13106" w:rsidRDefault="00B26F24" w:rsidP="00721EB3">
      <w:pPr>
        <w:rPr>
          <w:w w:val="105"/>
        </w:rPr>
      </w:pPr>
      <w:r>
        <w:rPr>
          <w:w w:val="105"/>
        </w:rPr>
        <w:t>T</w:t>
      </w:r>
      <w:r w:rsidR="00AF0E47" w:rsidRPr="00AF0E47">
        <w:rPr>
          <w:w w:val="105"/>
        </w:rPr>
        <w:t xml:space="preserve">o better illustrate </w:t>
      </w:r>
      <w:r w:rsidR="003A217C">
        <w:rPr>
          <w:w w:val="105"/>
        </w:rPr>
        <w:t xml:space="preserve">the </w:t>
      </w:r>
      <w:r w:rsidR="00AF0E47" w:rsidRPr="00AF0E47">
        <w:rPr>
          <w:w w:val="105"/>
        </w:rPr>
        <w:t xml:space="preserve">patterns in subject choice, we </w:t>
      </w:r>
      <w:r>
        <w:rPr>
          <w:w w:val="105"/>
        </w:rPr>
        <w:t>divide</w:t>
      </w:r>
      <w:r w:rsidR="00AF0E47" w:rsidRPr="00AF0E47">
        <w:rPr>
          <w:w w:val="105"/>
        </w:rPr>
        <w:t xml:space="preserve"> the 15 fields of study into three groups</w:t>
      </w:r>
      <w:r w:rsidR="00811E81">
        <w:rPr>
          <w:w w:val="105"/>
        </w:rPr>
        <w:t>—</w:t>
      </w:r>
      <w:r w:rsidR="00AF0E47" w:rsidRPr="00AF0E47">
        <w:rPr>
          <w:w w:val="105"/>
        </w:rPr>
        <w:t>high-paying, middle-paying, and low-paying</w:t>
      </w:r>
      <w:r w:rsidR="00811E81">
        <w:rPr>
          <w:w w:val="105"/>
        </w:rPr>
        <w:t>—</w:t>
      </w:r>
      <w:r w:rsidR="00AF0E47" w:rsidRPr="00AF0E47">
        <w:rPr>
          <w:w w:val="105"/>
        </w:rPr>
        <w:t xml:space="preserve">each containing five fields. This classification is based on the gross weekly earnings data </w:t>
      </w:r>
      <w:r>
        <w:rPr>
          <w:w w:val="105"/>
        </w:rPr>
        <w:t>shown</w:t>
      </w:r>
      <w:r w:rsidR="00AF0E47" w:rsidRPr="00AF0E47">
        <w:rPr>
          <w:w w:val="105"/>
        </w:rPr>
        <w:t xml:space="preserve"> in Figure 4</w:t>
      </w:r>
      <w:r w:rsidR="00165D38">
        <w:rPr>
          <w:w w:val="105"/>
        </w:rPr>
        <w:t>.</w:t>
      </w:r>
      <w:r w:rsidR="00AF0E47" w:rsidRPr="00AF0E47">
        <w:t xml:space="preserve"> </w:t>
      </w:r>
      <w:r w:rsidR="00AF0E47" w:rsidRPr="00AF0E47">
        <w:rPr>
          <w:w w:val="105"/>
        </w:rPr>
        <w:t xml:space="preserve">Grouping the fields in this way helps </w:t>
      </w:r>
      <w:r w:rsidR="00983F9E">
        <w:rPr>
          <w:w w:val="105"/>
        </w:rPr>
        <w:t xml:space="preserve">to </w:t>
      </w:r>
      <w:r w:rsidR="00AF0E47" w:rsidRPr="00AF0E47">
        <w:rPr>
          <w:w w:val="105"/>
        </w:rPr>
        <w:t>address the issue of small sample sizes for certain disadvantaged groups, wh</w:t>
      </w:r>
      <w:r>
        <w:rPr>
          <w:w w:val="105"/>
        </w:rPr>
        <w:t>ich make up</w:t>
      </w:r>
      <w:r w:rsidR="00AF0E47" w:rsidRPr="00AF0E47">
        <w:rPr>
          <w:w w:val="105"/>
        </w:rPr>
        <w:t xml:space="preserve"> a relatively small proportion of our analysis sample.</w:t>
      </w:r>
      <w:r w:rsidR="007F5B3C" w:rsidRPr="0016620E">
        <w:rPr>
          <w:rStyle w:val="FootnoteReference"/>
          <w:rFonts w:cs="Arial"/>
        </w:rPr>
        <w:footnoteReference w:id="14"/>
      </w:r>
      <w:r w:rsidR="007F5B3C">
        <w:t xml:space="preserve"> </w:t>
      </w:r>
      <w:r w:rsidR="007F5B3C" w:rsidRPr="00B13106">
        <w:rPr>
          <w:w w:val="105"/>
        </w:rPr>
        <w:t xml:space="preserve">These three </w:t>
      </w:r>
      <w:r w:rsidR="0078043B" w:rsidRPr="00B13106">
        <w:rPr>
          <w:w w:val="105"/>
        </w:rPr>
        <w:t xml:space="preserve">categorised </w:t>
      </w:r>
      <w:r w:rsidR="007F5B3C" w:rsidRPr="00B13106">
        <w:rPr>
          <w:w w:val="105"/>
        </w:rPr>
        <w:t xml:space="preserve">groups are: </w:t>
      </w:r>
    </w:p>
    <w:p w14:paraId="25CCCC29" w14:textId="57232DD9" w:rsidR="00253537" w:rsidRPr="00B13106" w:rsidRDefault="007B5A8E" w:rsidP="00B47946">
      <w:pPr>
        <w:spacing w:after="120"/>
        <w:ind w:left="340"/>
        <w:rPr>
          <w:rFonts w:eastAsia="Arial" w:cs="Arial"/>
          <w:w w:val="105"/>
          <w:kern w:val="0"/>
          <w14:ligatures w14:val="none"/>
        </w:rPr>
      </w:pPr>
      <w:r w:rsidRPr="00B13106">
        <w:rPr>
          <w:rFonts w:eastAsia="Arial" w:cs="Arial"/>
          <w:w w:val="105"/>
          <w:kern w:val="0"/>
          <w14:ligatures w14:val="none"/>
        </w:rPr>
        <w:t>(1)</w:t>
      </w:r>
      <w:r w:rsidR="00A93A50" w:rsidRPr="00B13106">
        <w:rPr>
          <w:rFonts w:eastAsia="Arial" w:cs="Arial"/>
          <w:w w:val="105"/>
          <w:kern w:val="0"/>
          <w14:ligatures w14:val="none"/>
        </w:rPr>
        <w:t xml:space="preserve"> </w:t>
      </w:r>
      <w:r w:rsidR="001B5B42" w:rsidRPr="00B13106">
        <w:rPr>
          <w:rFonts w:eastAsia="Arial" w:cs="Arial"/>
          <w:b/>
          <w:bCs/>
          <w:w w:val="105"/>
          <w:kern w:val="0"/>
          <w14:ligatures w14:val="none"/>
        </w:rPr>
        <w:t xml:space="preserve">High-paying </w:t>
      </w:r>
      <w:r w:rsidR="00FC0299" w:rsidRPr="00B13106">
        <w:rPr>
          <w:rFonts w:eastAsia="Arial" w:cs="Arial"/>
          <w:b/>
          <w:bCs/>
          <w:w w:val="105"/>
          <w:kern w:val="0"/>
          <w14:ligatures w14:val="none"/>
        </w:rPr>
        <w:t>fields of study</w:t>
      </w:r>
      <w:r w:rsidR="001B5B42" w:rsidRPr="00B13106">
        <w:rPr>
          <w:rFonts w:eastAsia="Arial" w:cs="Arial"/>
          <w:w w:val="105"/>
          <w:kern w:val="0"/>
          <w14:ligatures w14:val="none"/>
        </w:rPr>
        <w:t xml:space="preserve">: </w:t>
      </w:r>
      <w:r w:rsidR="00DC064B" w:rsidRPr="00B13106">
        <w:rPr>
          <w:rFonts w:eastAsia="Arial" w:cs="Arial"/>
          <w:w w:val="105"/>
          <w:kern w:val="0"/>
          <w14:ligatures w14:val="none"/>
        </w:rPr>
        <w:t xml:space="preserve">Information </w:t>
      </w:r>
      <w:r w:rsidR="00811E81">
        <w:rPr>
          <w:rFonts w:eastAsia="Arial" w:cs="Arial"/>
          <w:w w:val="105"/>
          <w:kern w:val="0"/>
          <w14:ligatures w14:val="none"/>
        </w:rPr>
        <w:t>T</w:t>
      </w:r>
      <w:r w:rsidR="00DC064B" w:rsidRPr="00B13106">
        <w:rPr>
          <w:rFonts w:eastAsia="Arial" w:cs="Arial"/>
          <w:w w:val="105"/>
          <w:kern w:val="0"/>
          <w14:ligatures w14:val="none"/>
        </w:rPr>
        <w:t>echnology</w:t>
      </w:r>
      <w:r w:rsidR="00811E81">
        <w:rPr>
          <w:rFonts w:eastAsia="Arial" w:cs="Arial"/>
          <w:w w:val="105"/>
          <w:kern w:val="0"/>
          <w14:ligatures w14:val="none"/>
        </w:rPr>
        <w:t>;</w:t>
      </w:r>
      <w:r w:rsidR="00DC064B" w:rsidRPr="00B13106">
        <w:rPr>
          <w:rFonts w:eastAsia="Arial" w:cs="Arial"/>
          <w:w w:val="105"/>
          <w:kern w:val="0"/>
          <w14:ligatures w14:val="none"/>
        </w:rPr>
        <w:t xml:space="preserve"> Engineering and </w:t>
      </w:r>
      <w:r w:rsidR="00811E81">
        <w:rPr>
          <w:rFonts w:eastAsia="Arial" w:cs="Arial"/>
          <w:w w:val="105"/>
          <w:kern w:val="0"/>
          <w14:ligatures w14:val="none"/>
        </w:rPr>
        <w:t>R</w:t>
      </w:r>
      <w:r w:rsidR="00DC064B" w:rsidRPr="00B13106">
        <w:rPr>
          <w:rFonts w:eastAsia="Arial" w:cs="Arial"/>
          <w:w w:val="105"/>
          <w:kern w:val="0"/>
          <w14:ligatures w14:val="none"/>
        </w:rPr>
        <w:t xml:space="preserve">elated </w:t>
      </w:r>
      <w:r w:rsidR="00811E81">
        <w:rPr>
          <w:rFonts w:eastAsia="Arial" w:cs="Arial"/>
          <w:w w:val="105"/>
          <w:kern w:val="0"/>
          <w14:ligatures w14:val="none"/>
        </w:rPr>
        <w:t>T</w:t>
      </w:r>
      <w:r w:rsidR="00DC064B" w:rsidRPr="00B13106">
        <w:rPr>
          <w:rFonts w:eastAsia="Arial" w:cs="Arial"/>
          <w:w w:val="105"/>
          <w:kern w:val="0"/>
          <w14:ligatures w14:val="none"/>
        </w:rPr>
        <w:t>echnologies</w:t>
      </w:r>
      <w:r w:rsidR="00811E81">
        <w:rPr>
          <w:rFonts w:eastAsia="Arial" w:cs="Arial"/>
          <w:w w:val="105"/>
          <w:kern w:val="0"/>
          <w14:ligatures w14:val="none"/>
        </w:rPr>
        <w:t>;</w:t>
      </w:r>
      <w:r w:rsidR="00DC064B" w:rsidRPr="00B13106">
        <w:rPr>
          <w:rFonts w:eastAsia="Arial" w:cs="Arial"/>
          <w:w w:val="105"/>
          <w:kern w:val="0"/>
          <w14:ligatures w14:val="none"/>
        </w:rPr>
        <w:t xml:space="preserve"> Medicine</w:t>
      </w:r>
      <w:r w:rsidR="00811E81">
        <w:rPr>
          <w:rFonts w:eastAsia="Arial" w:cs="Arial"/>
          <w:w w:val="105"/>
          <w:kern w:val="0"/>
          <w14:ligatures w14:val="none"/>
        </w:rPr>
        <w:t>;</w:t>
      </w:r>
      <w:r w:rsidR="00DC064B" w:rsidRPr="00B13106">
        <w:rPr>
          <w:rFonts w:eastAsia="Arial" w:cs="Arial"/>
          <w:w w:val="105"/>
          <w:kern w:val="0"/>
          <w14:ligatures w14:val="none"/>
        </w:rPr>
        <w:t xml:space="preserve"> Management and </w:t>
      </w:r>
      <w:r w:rsidR="00811E81">
        <w:rPr>
          <w:rFonts w:eastAsia="Arial" w:cs="Arial"/>
          <w:w w:val="105"/>
          <w:kern w:val="0"/>
          <w14:ligatures w14:val="none"/>
        </w:rPr>
        <w:t>C</w:t>
      </w:r>
      <w:r w:rsidR="00DC064B" w:rsidRPr="00B13106">
        <w:rPr>
          <w:rFonts w:eastAsia="Arial" w:cs="Arial"/>
          <w:w w:val="105"/>
          <w:kern w:val="0"/>
          <w14:ligatures w14:val="none"/>
        </w:rPr>
        <w:t>ommerce</w:t>
      </w:r>
      <w:r w:rsidR="00811E81">
        <w:rPr>
          <w:rFonts w:eastAsia="Arial" w:cs="Arial"/>
          <w:w w:val="105"/>
          <w:kern w:val="0"/>
          <w14:ligatures w14:val="none"/>
        </w:rPr>
        <w:t>;</w:t>
      </w:r>
      <w:r w:rsidR="00DC064B" w:rsidRPr="00B13106">
        <w:rPr>
          <w:rFonts w:eastAsia="Arial" w:cs="Arial"/>
          <w:w w:val="105"/>
          <w:kern w:val="0"/>
          <w14:ligatures w14:val="none"/>
        </w:rPr>
        <w:t xml:space="preserve"> </w:t>
      </w:r>
      <w:r w:rsidR="006B2857" w:rsidRPr="00B13106">
        <w:rPr>
          <w:rFonts w:eastAsia="Arial" w:cs="Arial"/>
          <w:w w:val="105"/>
          <w:kern w:val="0"/>
          <w14:ligatures w14:val="none"/>
        </w:rPr>
        <w:t xml:space="preserve">and </w:t>
      </w:r>
      <w:r w:rsidR="00DC064B" w:rsidRPr="00B13106">
        <w:rPr>
          <w:rFonts w:eastAsia="Arial" w:cs="Arial"/>
          <w:w w:val="105"/>
          <w:kern w:val="0"/>
          <w14:ligatures w14:val="none"/>
        </w:rPr>
        <w:t>Law</w:t>
      </w:r>
      <w:r w:rsidR="001022BF" w:rsidRPr="00B13106">
        <w:rPr>
          <w:rFonts w:eastAsia="Arial" w:cs="Arial"/>
          <w:w w:val="105"/>
          <w:kern w:val="0"/>
          <w14:ligatures w14:val="none"/>
        </w:rPr>
        <w:t>.</w:t>
      </w:r>
    </w:p>
    <w:p w14:paraId="5584E2FB" w14:textId="6A6F1674" w:rsidR="00253537" w:rsidRPr="00B13106" w:rsidRDefault="00A93A50" w:rsidP="00B47946">
      <w:pPr>
        <w:spacing w:after="120"/>
        <w:ind w:left="340"/>
        <w:rPr>
          <w:rFonts w:eastAsia="Arial" w:cs="Arial"/>
          <w:w w:val="105"/>
          <w:kern w:val="0"/>
          <w14:ligatures w14:val="none"/>
        </w:rPr>
      </w:pPr>
      <w:r w:rsidRPr="00B13106">
        <w:rPr>
          <w:rFonts w:eastAsia="Arial" w:cs="Arial"/>
          <w:w w:val="105"/>
          <w:kern w:val="0"/>
          <w14:ligatures w14:val="none"/>
        </w:rPr>
        <w:t xml:space="preserve">(2) </w:t>
      </w:r>
      <w:r w:rsidR="00DC064B" w:rsidRPr="00B13106">
        <w:rPr>
          <w:rFonts w:eastAsia="Arial" w:cs="Arial"/>
          <w:b/>
          <w:bCs/>
          <w:w w:val="105"/>
          <w:kern w:val="0"/>
          <w14:ligatures w14:val="none"/>
        </w:rPr>
        <w:t>Middle-paying fields of study</w:t>
      </w:r>
      <w:r w:rsidR="00DC064B" w:rsidRPr="00B13106">
        <w:rPr>
          <w:rFonts w:eastAsia="Arial" w:cs="Arial"/>
          <w:w w:val="105"/>
          <w:kern w:val="0"/>
          <w14:ligatures w14:val="none"/>
        </w:rPr>
        <w:t xml:space="preserve">: Natural and </w:t>
      </w:r>
      <w:r w:rsidR="00811E81">
        <w:rPr>
          <w:rFonts w:eastAsia="Arial" w:cs="Arial"/>
          <w:w w:val="105"/>
          <w:kern w:val="0"/>
          <w14:ligatures w14:val="none"/>
        </w:rPr>
        <w:t>P</w:t>
      </w:r>
      <w:r w:rsidR="00DC064B" w:rsidRPr="00B13106">
        <w:rPr>
          <w:rFonts w:eastAsia="Arial" w:cs="Arial"/>
          <w:w w:val="105"/>
          <w:kern w:val="0"/>
          <w14:ligatures w14:val="none"/>
        </w:rPr>
        <w:t xml:space="preserve">hysical </w:t>
      </w:r>
      <w:r w:rsidR="00811E81">
        <w:rPr>
          <w:rFonts w:eastAsia="Arial" w:cs="Arial"/>
          <w:w w:val="105"/>
          <w:kern w:val="0"/>
          <w14:ligatures w14:val="none"/>
        </w:rPr>
        <w:t>S</w:t>
      </w:r>
      <w:r w:rsidR="00DC064B" w:rsidRPr="00B13106">
        <w:rPr>
          <w:rFonts w:eastAsia="Arial" w:cs="Arial"/>
          <w:w w:val="105"/>
          <w:kern w:val="0"/>
          <w14:ligatures w14:val="none"/>
        </w:rPr>
        <w:t>ciences</w:t>
      </w:r>
      <w:r w:rsidR="00811E81">
        <w:rPr>
          <w:rFonts w:eastAsia="Arial" w:cs="Arial"/>
          <w:w w:val="105"/>
          <w:kern w:val="0"/>
          <w14:ligatures w14:val="none"/>
        </w:rPr>
        <w:t>;</w:t>
      </w:r>
      <w:r w:rsidR="00DC064B" w:rsidRPr="00B13106">
        <w:rPr>
          <w:rFonts w:eastAsia="Arial" w:cs="Arial"/>
          <w:w w:val="105"/>
          <w:kern w:val="0"/>
          <w14:ligatures w14:val="none"/>
        </w:rPr>
        <w:t xml:space="preserve"> Architecture and </w:t>
      </w:r>
      <w:r w:rsidR="00811E81">
        <w:rPr>
          <w:rFonts w:eastAsia="Arial" w:cs="Arial"/>
          <w:w w:val="105"/>
          <w:kern w:val="0"/>
          <w14:ligatures w14:val="none"/>
        </w:rPr>
        <w:t>B</w:t>
      </w:r>
      <w:r w:rsidR="00DC064B" w:rsidRPr="00B13106">
        <w:rPr>
          <w:rFonts w:eastAsia="Arial" w:cs="Arial"/>
          <w:w w:val="105"/>
          <w:kern w:val="0"/>
          <w14:ligatures w14:val="none"/>
        </w:rPr>
        <w:t>uilding</w:t>
      </w:r>
      <w:r w:rsidR="00811E81">
        <w:rPr>
          <w:rFonts w:eastAsia="Arial" w:cs="Arial"/>
          <w:w w:val="105"/>
          <w:kern w:val="0"/>
          <w14:ligatures w14:val="none"/>
        </w:rPr>
        <w:t>;</w:t>
      </w:r>
      <w:r w:rsidR="00DC064B" w:rsidRPr="00B13106">
        <w:rPr>
          <w:rFonts w:eastAsia="Arial" w:cs="Arial"/>
          <w:w w:val="105"/>
          <w:kern w:val="0"/>
          <w14:ligatures w14:val="none"/>
        </w:rPr>
        <w:t xml:space="preserve"> Education</w:t>
      </w:r>
      <w:r w:rsidR="00811E81">
        <w:rPr>
          <w:rFonts w:eastAsia="Arial" w:cs="Arial"/>
          <w:w w:val="105"/>
          <w:kern w:val="0"/>
          <w14:ligatures w14:val="none"/>
        </w:rPr>
        <w:t>;</w:t>
      </w:r>
      <w:r w:rsidR="00DC064B" w:rsidRPr="00B13106">
        <w:rPr>
          <w:rFonts w:eastAsia="Arial" w:cs="Arial"/>
          <w:w w:val="105"/>
          <w:kern w:val="0"/>
          <w14:ligatures w14:val="none"/>
        </w:rPr>
        <w:t xml:space="preserve"> </w:t>
      </w:r>
      <w:r w:rsidR="00793FBD" w:rsidRPr="00B13106">
        <w:rPr>
          <w:rFonts w:eastAsia="Arial" w:cs="Arial"/>
          <w:w w:val="105"/>
          <w:kern w:val="0"/>
          <w14:ligatures w14:val="none"/>
        </w:rPr>
        <w:t>Nursing</w:t>
      </w:r>
      <w:r w:rsidR="00811E81">
        <w:rPr>
          <w:rFonts w:eastAsia="Arial" w:cs="Arial"/>
          <w:w w:val="105"/>
          <w:kern w:val="0"/>
          <w14:ligatures w14:val="none"/>
        </w:rPr>
        <w:t>;</w:t>
      </w:r>
      <w:r w:rsidR="006B2857" w:rsidRPr="00B13106">
        <w:rPr>
          <w:rFonts w:eastAsia="Arial" w:cs="Arial"/>
          <w:w w:val="105"/>
          <w:kern w:val="0"/>
          <w14:ligatures w14:val="none"/>
        </w:rPr>
        <w:t xml:space="preserve"> and</w:t>
      </w:r>
      <w:r w:rsidR="00DC064B" w:rsidRPr="00B13106">
        <w:rPr>
          <w:rFonts w:eastAsia="Arial" w:cs="Arial"/>
          <w:w w:val="105"/>
          <w:kern w:val="0"/>
          <w14:ligatures w14:val="none"/>
        </w:rPr>
        <w:t xml:space="preserve"> Other</w:t>
      </w:r>
      <w:r w:rsidR="0009178C">
        <w:rPr>
          <w:rFonts w:eastAsia="Arial" w:cs="Arial"/>
          <w:w w:val="105"/>
          <w:kern w:val="0"/>
          <w14:ligatures w14:val="none"/>
        </w:rPr>
        <w:t>s</w:t>
      </w:r>
      <w:r w:rsidR="001022BF" w:rsidRPr="00B13106">
        <w:rPr>
          <w:rFonts w:eastAsia="Arial" w:cs="Arial"/>
          <w:w w:val="105"/>
          <w:kern w:val="0"/>
          <w14:ligatures w14:val="none"/>
        </w:rPr>
        <w:t>.</w:t>
      </w:r>
    </w:p>
    <w:p w14:paraId="5C240B46" w14:textId="3D74AB51" w:rsidR="00DC064B" w:rsidRPr="00B13106" w:rsidRDefault="00A93A50" w:rsidP="00B47946">
      <w:pPr>
        <w:spacing w:after="120"/>
        <w:ind w:left="340"/>
        <w:rPr>
          <w:rFonts w:eastAsia="Arial" w:cs="Arial"/>
          <w:w w:val="105"/>
          <w:kern w:val="0"/>
          <w14:ligatures w14:val="none"/>
        </w:rPr>
      </w:pPr>
      <w:r w:rsidRPr="00B13106">
        <w:rPr>
          <w:rFonts w:eastAsia="Arial" w:cs="Arial"/>
          <w:w w:val="105"/>
          <w:kern w:val="0"/>
          <w14:ligatures w14:val="none"/>
        </w:rPr>
        <w:lastRenderedPageBreak/>
        <w:t xml:space="preserve">(3) </w:t>
      </w:r>
      <w:r w:rsidR="00DC064B" w:rsidRPr="00B13106">
        <w:rPr>
          <w:rFonts w:eastAsia="Arial" w:cs="Arial"/>
          <w:b/>
          <w:bCs/>
          <w:w w:val="105"/>
          <w:kern w:val="0"/>
          <w14:ligatures w14:val="none"/>
        </w:rPr>
        <w:t>Low-paying fields of study</w:t>
      </w:r>
      <w:r w:rsidR="00DC064B" w:rsidRPr="00B13106">
        <w:rPr>
          <w:rFonts w:eastAsia="Arial" w:cs="Arial"/>
          <w:w w:val="105"/>
          <w:kern w:val="0"/>
          <w14:ligatures w14:val="none"/>
        </w:rPr>
        <w:t xml:space="preserve">: Agriculture, </w:t>
      </w:r>
      <w:r w:rsidR="00811E81">
        <w:rPr>
          <w:rFonts w:eastAsia="Arial" w:cs="Arial"/>
          <w:w w:val="105"/>
          <w:kern w:val="0"/>
          <w14:ligatures w14:val="none"/>
        </w:rPr>
        <w:t>E</w:t>
      </w:r>
      <w:r w:rsidR="00DC064B" w:rsidRPr="00B13106">
        <w:rPr>
          <w:rFonts w:eastAsia="Arial" w:cs="Arial"/>
          <w:w w:val="105"/>
          <w:kern w:val="0"/>
          <w14:ligatures w14:val="none"/>
        </w:rPr>
        <w:t xml:space="preserve">nvironment, and </w:t>
      </w:r>
      <w:r w:rsidR="00811E81">
        <w:rPr>
          <w:rFonts w:eastAsia="Arial" w:cs="Arial"/>
          <w:w w:val="105"/>
          <w:kern w:val="0"/>
          <w14:ligatures w14:val="none"/>
        </w:rPr>
        <w:t>R</w:t>
      </w:r>
      <w:r w:rsidR="00DC064B" w:rsidRPr="00B13106">
        <w:rPr>
          <w:rFonts w:eastAsia="Arial" w:cs="Arial"/>
          <w:w w:val="105"/>
          <w:kern w:val="0"/>
          <w14:ligatures w14:val="none"/>
        </w:rPr>
        <w:t>elate</w:t>
      </w:r>
      <w:r w:rsidR="004C6E4E">
        <w:rPr>
          <w:rFonts w:eastAsia="Arial" w:cs="Arial"/>
          <w:w w:val="105"/>
          <w:kern w:val="0"/>
          <w14:ligatures w14:val="none"/>
        </w:rPr>
        <w:t>d</w:t>
      </w:r>
      <w:r w:rsidR="00DC064B" w:rsidRPr="00B13106">
        <w:rPr>
          <w:rFonts w:eastAsia="Arial" w:cs="Arial"/>
          <w:w w:val="105"/>
          <w:kern w:val="0"/>
          <w14:ligatures w14:val="none"/>
        </w:rPr>
        <w:t xml:space="preserve"> </w:t>
      </w:r>
      <w:r w:rsidR="00811E81">
        <w:rPr>
          <w:rFonts w:eastAsia="Arial" w:cs="Arial"/>
          <w:w w:val="105"/>
          <w:kern w:val="0"/>
          <w14:ligatures w14:val="none"/>
        </w:rPr>
        <w:t>S</w:t>
      </w:r>
      <w:r w:rsidR="00DC064B" w:rsidRPr="00B13106">
        <w:rPr>
          <w:rFonts w:eastAsia="Arial" w:cs="Arial"/>
          <w:w w:val="105"/>
          <w:kern w:val="0"/>
          <w14:ligatures w14:val="none"/>
        </w:rPr>
        <w:t>tudies</w:t>
      </w:r>
      <w:r w:rsidR="00811E81">
        <w:rPr>
          <w:rFonts w:eastAsia="Arial" w:cs="Arial"/>
          <w:w w:val="105"/>
          <w:kern w:val="0"/>
          <w14:ligatures w14:val="none"/>
        </w:rPr>
        <w:t>;</w:t>
      </w:r>
      <w:r w:rsidR="00DC064B" w:rsidRPr="00B13106">
        <w:rPr>
          <w:rFonts w:eastAsia="Arial" w:cs="Arial"/>
          <w:w w:val="105"/>
          <w:kern w:val="0"/>
          <w14:ligatures w14:val="none"/>
        </w:rPr>
        <w:t xml:space="preserve"> </w:t>
      </w:r>
      <w:r w:rsidR="00793FBD" w:rsidRPr="00B13106">
        <w:rPr>
          <w:rFonts w:eastAsia="Arial" w:cs="Arial"/>
          <w:w w:val="105"/>
          <w:kern w:val="0"/>
          <w14:ligatures w14:val="none"/>
        </w:rPr>
        <w:t xml:space="preserve">Society and </w:t>
      </w:r>
      <w:r w:rsidR="00811E81">
        <w:rPr>
          <w:rFonts w:eastAsia="Arial" w:cs="Arial"/>
          <w:w w:val="105"/>
          <w:kern w:val="0"/>
          <w14:ligatures w14:val="none"/>
        </w:rPr>
        <w:t>C</w:t>
      </w:r>
      <w:r w:rsidR="00793FBD" w:rsidRPr="00B13106">
        <w:rPr>
          <w:rFonts w:eastAsia="Arial" w:cs="Arial"/>
          <w:w w:val="105"/>
          <w:kern w:val="0"/>
          <w14:ligatures w14:val="none"/>
        </w:rPr>
        <w:t>ulture</w:t>
      </w:r>
      <w:r w:rsidR="00811E81">
        <w:rPr>
          <w:rFonts w:eastAsia="Arial" w:cs="Arial"/>
          <w:w w:val="105"/>
          <w:kern w:val="0"/>
          <w14:ligatures w14:val="none"/>
        </w:rPr>
        <w:t>;</w:t>
      </w:r>
      <w:r w:rsidR="00DC064B" w:rsidRPr="00B13106">
        <w:rPr>
          <w:rFonts w:eastAsia="Arial" w:cs="Arial"/>
          <w:w w:val="105"/>
          <w:kern w:val="0"/>
          <w14:ligatures w14:val="none"/>
        </w:rPr>
        <w:t xml:space="preserve"> Other </w:t>
      </w:r>
      <w:r w:rsidR="00811E81">
        <w:rPr>
          <w:rFonts w:eastAsia="Arial" w:cs="Arial"/>
          <w:w w:val="105"/>
          <w:kern w:val="0"/>
          <w14:ligatures w14:val="none"/>
        </w:rPr>
        <w:t>H</w:t>
      </w:r>
      <w:r w:rsidR="00DC064B" w:rsidRPr="00B13106">
        <w:rPr>
          <w:rFonts w:eastAsia="Arial" w:cs="Arial"/>
          <w:w w:val="105"/>
          <w:kern w:val="0"/>
          <w14:ligatures w14:val="none"/>
        </w:rPr>
        <w:t>ealth-</w:t>
      </w:r>
      <w:r w:rsidR="00811E81">
        <w:rPr>
          <w:rFonts w:eastAsia="Arial" w:cs="Arial"/>
          <w:w w:val="105"/>
          <w:kern w:val="0"/>
          <w14:ligatures w14:val="none"/>
        </w:rPr>
        <w:t>R</w:t>
      </w:r>
      <w:r w:rsidR="00DC064B" w:rsidRPr="00B13106">
        <w:rPr>
          <w:rFonts w:eastAsia="Arial" w:cs="Arial"/>
          <w:w w:val="105"/>
          <w:kern w:val="0"/>
          <w14:ligatures w14:val="none"/>
        </w:rPr>
        <w:t>elated</w:t>
      </w:r>
      <w:r w:rsidR="00811E81">
        <w:rPr>
          <w:rFonts w:eastAsia="Arial" w:cs="Arial"/>
          <w:w w:val="105"/>
          <w:kern w:val="0"/>
          <w14:ligatures w14:val="none"/>
        </w:rPr>
        <w:t>;</w:t>
      </w:r>
      <w:r w:rsidR="00DC064B" w:rsidRPr="00B13106">
        <w:rPr>
          <w:rFonts w:eastAsia="Arial" w:cs="Arial"/>
          <w:w w:val="105"/>
          <w:kern w:val="0"/>
          <w14:ligatures w14:val="none"/>
        </w:rPr>
        <w:t xml:space="preserve"> Creative </w:t>
      </w:r>
      <w:r w:rsidR="00811E81">
        <w:rPr>
          <w:rFonts w:eastAsia="Arial" w:cs="Arial"/>
          <w:w w:val="105"/>
          <w:kern w:val="0"/>
          <w14:ligatures w14:val="none"/>
        </w:rPr>
        <w:t>A</w:t>
      </w:r>
      <w:r w:rsidR="00DC064B" w:rsidRPr="00B13106">
        <w:rPr>
          <w:rFonts w:eastAsia="Arial" w:cs="Arial"/>
          <w:w w:val="105"/>
          <w:kern w:val="0"/>
          <w14:ligatures w14:val="none"/>
        </w:rPr>
        <w:t>rts</w:t>
      </w:r>
      <w:r w:rsidR="00811E81">
        <w:rPr>
          <w:rFonts w:eastAsia="Arial" w:cs="Arial"/>
          <w:w w:val="105"/>
          <w:kern w:val="0"/>
          <w14:ligatures w14:val="none"/>
        </w:rPr>
        <w:t>;</w:t>
      </w:r>
      <w:r w:rsidR="00DC064B" w:rsidRPr="00B13106">
        <w:rPr>
          <w:rFonts w:eastAsia="Arial" w:cs="Arial"/>
          <w:w w:val="105"/>
          <w:kern w:val="0"/>
          <w14:ligatures w14:val="none"/>
        </w:rPr>
        <w:t xml:space="preserve"> </w:t>
      </w:r>
      <w:r w:rsidR="006B2857" w:rsidRPr="00B13106">
        <w:rPr>
          <w:rFonts w:eastAsia="Arial" w:cs="Arial"/>
          <w:w w:val="105"/>
          <w:kern w:val="0"/>
          <w14:ligatures w14:val="none"/>
        </w:rPr>
        <w:t xml:space="preserve">and </w:t>
      </w:r>
      <w:r w:rsidR="00DC064B" w:rsidRPr="00B13106">
        <w:rPr>
          <w:rFonts w:eastAsia="Arial" w:cs="Arial"/>
          <w:w w:val="105"/>
          <w:kern w:val="0"/>
          <w14:ligatures w14:val="none"/>
        </w:rPr>
        <w:t xml:space="preserve">Food, </w:t>
      </w:r>
      <w:r w:rsidR="00811E81">
        <w:rPr>
          <w:rFonts w:eastAsia="Arial" w:cs="Arial"/>
          <w:w w:val="105"/>
          <w:kern w:val="0"/>
          <w14:ligatures w14:val="none"/>
        </w:rPr>
        <w:t>H</w:t>
      </w:r>
      <w:r w:rsidR="00DC064B" w:rsidRPr="00B13106">
        <w:rPr>
          <w:rFonts w:eastAsia="Arial" w:cs="Arial"/>
          <w:w w:val="105"/>
          <w:kern w:val="0"/>
          <w14:ligatures w14:val="none"/>
        </w:rPr>
        <w:t xml:space="preserve">ospitality, and </w:t>
      </w:r>
      <w:r w:rsidR="00811E81">
        <w:rPr>
          <w:rFonts w:eastAsia="Arial" w:cs="Arial"/>
          <w:w w:val="105"/>
          <w:kern w:val="0"/>
          <w14:ligatures w14:val="none"/>
        </w:rPr>
        <w:t>P</w:t>
      </w:r>
      <w:r w:rsidR="00DC064B" w:rsidRPr="00B13106">
        <w:rPr>
          <w:rFonts w:eastAsia="Arial" w:cs="Arial"/>
          <w:w w:val="105"/>
          <w:kern w:val="0"/>
          <w14:ligatures w14:val="none"/>
        </w:rPr>
        <w:t xml:space="preserve">ersonal </w:t>
      </w:r>
      <w:r w:rsidR="00811E81">
        <w:rPr>
          <w:rFonts w:eastAsia="Arial" w:cs="Arial"/>
          <w:w w:val="105"/>
          <w:kern w:val="0"/>
          <w14:ligatures w14:val="none"/>
        </w:rPr>
        <w:t>S</w:t>
      </w:r>
      <w:r w:rsidR="00DC064B" w:rsidRPr="00B13106">
        <w:rPr>
          <w:rFonts w:eastAsia="Arial" w:cs="Arial"/>
          <w:w w:val="105"/>
          <w:kern w:val="0"/>
          <w14:ligatures w14:val="none"/>
        </w:rPr>
        <w:t>ervices.</w:t>
      </w:r>
    </w:p>
    <w:p w14:paraId="634AD3E3" w14:textId="3FDD1479" w:rsidR="005868D2" w:rsidRDefault="003D26B4" w:rsidP="00721EB3">
      <w:pPr>
        <w:rPr>
          <w:w w:val="105"/>
        </w:rPr>
      </w:pPr>
      <w:r w:rsidRPr="00B13106">
        <w:rPr>
          <w:w w:val="105"/>
        </w:rPr>
        <w:t xml:space="preserve">We </w:t>
      </w:r>
      <w:r w:rsidR="006D672C" w:rsidRPr="00B13106">
        <w:rPr>
          <w:w w:val="105"/>
        </w:rPr>
        <w:t>then conduct a cross</w:t>
      </w:r>
      <w:r w:rsidR="00282893">
        <w:rPr>
          <w:w w:val="105"/>
        </w:rPr>
        <w:t>-</w:t>
      </w:r>
      <w:r w:rsidR="006D672C" w:rsidRPr="00B13106">
        <w:rPr>
          <w:w w:val="105"/>
        </w:rPr>
        <w:t xml:space="preserve">tabulation analysis </w:t>
      </w:r>
      <w:r w:rsidRPr="00B13106">
        <w:rPr>
          <w:w w:val="105"/>
        </w:rPr>
        <w:t>between the</w:t>
      </w:r>
      <w:r w:rsidR="00E010B6" w:rsidRPr="00B13106">
        <w:rPr>
          <w:w w:val="105"/>
        </w:rPr>
        <w:t>se</w:t>
      </w:r>
      <w:r w:rsidRPr="00B13106">
        <w:rPr>
          <w:w w:val="105"/>
        </w:rPr>
        <w:t xml:space="preserve"> </w:t>
      </w:r>
      <w:r w:rsidR="0059650B" w:rsidRPr="00B13106">
        <w:rPr>
          <w:w w:val="105"/>
        </w:rPr>
        <w:t>categorised</w:t>
      </w:r>
      <w:r w:rsidRPr="00B13106">
        <w:rPr>
          <w:w w:val="105"/>
        </w:rPr>
        <w:t xml:space="preserve"> field</w:t>
      </w:r>
      <w:r w:rsidR="00782BAA" w:rsidRPr="00B13106">
        <w:rPr>
          <w:w w:val="105"/>
        </w:rPr>
        <w:t>s</w:t>
      </w:r>
      <w:r w:rsidRPr="00B13106">
        <w:rPr>
          <w:w w:val="105"/>
        </w:rPr>
        <w:t xml:space="preserve"> of education and each of the five </w:t>
      </w:r>
      <w:r w:rsidR="00C515BC" w:rsidRPr="00B13106">
        <w:rPr>
          <w:w w:val="105"/>
        </w:rPr>
        <w:t xml:space="preserve">measures of </w:t>
      </w:r>
      <w:r w:rsidR="0097512D">
        <w:rPr>
          <w:w w:val="105"/>
        </w:rPr>
        <w:t>socio-economic</w:t>
      </w:r>
      <w:r w:rsidR="00364521">
        <w:rPr>
          <w:w w:val="105"/>
        </w:rPr>
        <w:t xml:space="preserve"> </w:t>
      </w:r>
      <w:r w:rsidR="00364521" w:rsidRPr="00BD38F3">
        <w:rPr>
          <w:w w:val="105"/>
        </w:rPr>
        <w:t>backgrounds</w:t>
      </w:r>
      <w:r w:rsidR="00364521">
        <w:rPr>
          <w:w w:val="105"/>
        </w:rPr>
        <w:t xml:space="preserve"> </w:t>
      </w:r>
      <w:r w:rsidR="009F17D7">
        <w:rPr>
          <w:w w:val="105"/>
        </w:rPr>
        <w:t>described</w:t>
      </w:r>
      <w:r w:rsidR="000563D5" w:rsidRPr="00B13106">
        <w:rPr>
          <w:w w:val="105"/>
        </w:rPr>
        <w:t xml:space="preserve"> </w:t>
      </w:r>
      <w:r w:rsidR="0018550B">
        <w:rPr>
          <w:w w:val="105"/>
        </w:rPr>
        <w:t>in Section</w:t>
      </w:r>
      <w:r w:rsidR="008260C0">
        <w:rPr>
          <w:w w:val="105"/>
        </w:rPr>
        <w:t xml:space="preserve"> 5.1</w:t>
      </w:r>
      <w:r w:rsidRPr="00B13106">
        <w:rPr>
          <w:w w:val="105"/>
        </w:rPr>
        <w:t>.</w:t>
      </w:r>
      <w:r w:rsidR="0083376B">
        <w:rPr>
          <w:w w:val="105"/>
        </w:rPr>
        <w:t xml:space="preserve"> The results</w:t>
      </w:r>
      <w:r w:rsidR="00ED3EFF">
        <w:rPr>
          <w:w w:val="105"/>
        </w:rPr>
        <w:t>,</w:t>
      </w:r>
      <w:r w:rsidR="0083376B">
        <w:rPr>
          <w:w w:val="105"/>
        </w:rPr>
        <w:t xml:space="preserve"> summarised in Figures 7</w:t>
      </w:r>
      <w:r w:rsidR="004E1742" w:rsidRPr="00B506F2">
        <w:t>–</w:t>
      </w:r>
      <w:r w:rsidR="0083376B">
        <w:rPr>
          <w:w w:val="105"/>
        </w:rPr>
        <w:t>11</w:t>
      </w:r>
      <w:r w:rsidR="00ED3EFF">
        <w:rPr>
          <w:w w:val="105"/>
        </w:rPr>
        <w:t xml:space="preserve">, </w:t>
      </w:r>
      <w:r w:rsidR="0064380E">
        <w:rPr>
          <w:w w:val="105"/>
        </w:rPr>
        <w:t>show</w:t>
      </w:r>
      <w:r w:rsidR="00BD67FE">
        <w:rPr>
          <w:w w:val="105"/>
        </w:rPr>
        <w:t xml:space="preserve"> the following patterns.</w:t>
      </w:r>
      <w:r w:rsidR="00B20C9D">
        <w:rPr>
          <w:w w:val="105"/>
        </w:rPr>
        <w:t xml:space="preserve"> </w:t>
      </w:r>
    </w:p>
    <w:p w14:paraId="155F7C0C" w14:textId="1F673BD4" w:rsidR="005868D2" w:rsidRDefault="00C46921" w:rsidP="00721EB3">
      <w:pPr>
        <w:rPr>
          <w:w w:val="105"/>
        </w:rPr>
      </w:pPr>
      <w:r w:rsidRPr="00C46921">
        <w:rPr>
          <w:w w:val="105"/>
        </w:rPr>
        <w:t xml:space="preserve">First, </w:t>
      </w:r>
      <w:r w:rsidR="00DE09FB" w:rsidRPr="00165D38">
        <w:rPr>
          <w:w w:val="105"/>
        </w:rPr>
        <w:t>except for</w:t>
      </w:r>
      <w:r w:rsidR="00165D38" w:rsidRPr="00165D38">
        <w:rPr>
          <w:w w:val="105"/>
        </w:rPr>
        <w:t xml:space="preserve"> NESB individuals</w:t>
      </w:r>
      <w:r w:rsidRPr="00C46921">
        <w:rPr>
          <w:w w:val="105"/>
        </w:rPr>
        <w:t xml:space="preserve">, graduates from disadvantaged backgrounds are less likely to pursue high-paying fields of study. This trend is evident across several </w:t>
      </w:r>
      <w:r w:rsidR="00E13BA9" w:rsidRPr="00E13BA9">
        <w:rPr>
          <w:w w:val="105"/>
        </w:rPr>
        <w:t xml:space="preserve">indicators of </w:t>
      </w:r>
      <w:r w:rsidR="00E13BA9">
        <w:rPr>
          <w:w w:val="105"/>
        </w:rPr>
        <w:t xml:space="preserve">childhood </w:t>
      </w:r>
      <w:r w:rsidR="0097512D">
        <w:rPr>
          <w:w w:val="105"/>
        </w:rPr>
        <w:t>socio-economic</w:t>
      </w:r>
      <w:r w:rsidR="00993AAA" w:rsidRPr="00BC1650">
        <w:rPr>
          <w:w w:val="105"/>
        </w:rPr>
        <w:t xml:space="preserve"> background</w:t>
      </w:r>
      <w:r w:rsidR="00993AAA">
        <w:rPr>
          <w:w w:val="105"/>
        </w:rPr>
        <w:t>s</w:t>
      </w:r>
      <w:r w:rsidR="00E13BA9" w:rsidRPr="00E13BA9">
        <w:rPr>
          <w:w w:val="105"/>
        </w:rPr>
        <w:t>,</w:t>
      </w:r>
      <w:r w:rsidRPr="00C46921">
        <w:rPr>
          <w:w w:val="105"/>
        </w:rPr>
        <w:t xml:space="preserve"> including Indigenous status, low </w:t>
      </w:r>
      <w:r w:rsidR="00F95764">
        <w:rPr>
          <w:w w:val="105"/>
        </w:rPr>
        <w:t xml:space="preserve">SES in </w:t>
      </w:r>
      <w:r w:rsidRPr="00C46921">
        <w:rPr>
          <w:w w:val="105"/>
        </w:rPr>
        <w:t xml:space="preserve">childhood, having a father who was unemployed for six months or more during childhood, and </w:t>
      </w:r>
      <w:r>
        <w:rPr>
          <w:w w:val="105"/>
        </w:rPr>
        <w:t>living</w:t>
      </w:r>
      <w:r w:rsidRPr="00C46921">
        <w:rPr>
          <w:w w:val="105"/>
        </w:rPr>
        <w:t xml:space="preserve"> in a single-parent family at age 14. The gap is </w:t>
      </w:r>
      <w:r w:rsidR="00F95764">
        <w:rPr>
          <w:w w:val="105"/>
        </w:rPr>
        <w:t xml:space="preserve">most pronounced </w:t>
      </w:r>
      <w:r w:rsidRPr="00C46921">
        <w:rPr>
          <w:w w:val="105"/>
        </w:rPr>
        <w:t>between Indigenous and non-Indigenous graduates, with 31% of Indigenous graduates entering high-paying fields compared to 39% of their non-Indigenous counterparts.</w:t>
      </w:r>
      <w:r w:rsidR="00B20C9D">
        <w:rPr>
          <w:w w:val="105"/>
        </w:rPr>
        <w:t xml:space="preserve"> </w:t>
      </w:r>
    </w:p>
    <w:p w14:paraId="62BAEC4C" w14:textId="2BA1B5F6" w:rsidR="005868D2" w:rsidRDefault="00C46921" w:rsidP="00721EB3">
      <w:pPr>
        <w:rPr>
          <w:w w:val="105"/>
        </w:rPr>
      </w:pPr>
      <w:r w:rsidRPr="00C46921">
        <w:rPr>
          <w:w w:val="105"/>
        </w:rPr>
        <w:t xml:space="preserve">Second, </w:t>
      </w:r>
      <w:r w:rsidR="00B3716A" w:rsidRPr="00B3716A">
        <w:rPr>
          <w:w w:val="105"/>
        </w:rPr>
        <w:t>NESB individuals are significantly more likely to choose high-paying fields of study</w:t>
      </w:r>
      <w:r w:rsidR="00EB287A" w:rsidRPr="00EB287A">
        <w:rPr>
          <w:w w:val="105"/>
        </w:rPr>
        <w:t xml:space="preserve"> </w:t>
      </w:r>
      <w:r w:rsidR="00EB287A" w:rsidRPr="00B3716A">
        <w:rPr>
          <w:w w:val="105"/>
        </w:rPr>
        <w:t>than their ESB counterparts</w:t>
      </w:r>
      <w:r w:rsidR="004036E6">
        <w:rPr>
          <w:w w:val="105"/>
        </w:rPr>
        <w:t xml:space="preserve"> (58% vs. 36%)</w:t>
      </w:r>
      <w:r w:rsidR="00B3716A" w:rsidRPr="00B3716A">
        <w:rPr>
          <w:w w:val="105"/>
        </w:rPr>
        <w:t>. They are also less likely to choose low-paying fields of study</w:t>
      </w:r>
      <w:r w:rsidR="004036E6">
        <w:rPr>
          <w:w w:val="105"/>
        </w:rPr>
        <w:t xml:space="preserve"> (22% vs. 31%)</w:t>
      </w:r>
      <w:r w:rsidR="00B3716A" w:rsidRPr="00B3716A">
        <w:rPr>
          <w:w w:val="105"/>
        </w:rPr>
        <w:t>.</w:t>
      </w:r>
      <w:r w:rsidRPr="00C46921">
        <w:rPr>
          <w:w w:val="105"/>
        </w:rPr>
        <w:t xml:space="preserve"> This trend may be </w:t>
      </w:r>
      <w:r w:rsidR="00165D38">
        <w:rPr>
          <w:w w:val="105"/>
        </w:rPr>
        <w:t>due</w:t>
      </w:r>
      <w:r w:rsidRPr="00C46921">
        <w:rPr>
          <w:w w:val="105"/>
        </w:rPr>
        <w:t xml:space="preserve"> to the high proportion of NESB individuals who are migrants, many of whom come from relatively affluent families, have received </w:t>
      </w:r>
      <w:r w:rsidR="00B3716A">
        <w:rPr>
          <w:w w:val="105"/>
        </w:rPr>
        <w:t xml:space="preserve">an </w:t>
      </w:r>
      <w:r w:rsidRPr="00C46921">
        <w:rPr>
          <w:w w:val="105"/>
        </w:rPr>
        <w:t>above-average education, or both</w:t>
      </w:r>
      <w:r w:rsidR="00260574">
        <w:rPr>
          <w:w w:val="105"/>
        </w:rPr>
        <w:t xml:space="preserve">. These </w:t>
      </w:r>
      <w:r w:rsidR="00696F11">
        <w:rPr>
          <w:w w:val="105"/>
        </w:rPr>
        <w:t xml:space="preserve">family </w:t>
      </w:r>
      <w:r w:rsidRPr="00C46921">
        <w:rPr>
          <w:w w:val="105"/>
        </w:rPr>
        <w:t xml:space="preserve">factors </w:t>
      </w:r>
      <w:r w:rsidR="006C5DD9">
        <w:rPr>
          <w:w w:val="105"/>
        </w:rPr>
        <w:t>may have</w:t>
      </w:r>
      <w:r w:rsidRPr="00C46921">
        <w:rPr>
          <w:w w:val="105"/>
        </w:rPr>
        <w:t xml:space="preserve"> influence</w:t>
      </w:r>
      <w:r w:rsidR="006C5DD9">
        <w:rPr>
          <w:w w:val="105"/>
        </w:rPr>
        <w:t>d</w:t>
      </w:r>
      <w:r w:rsidRPr="00C46921">
        <w:rPr>
          <w:w w:val="105"/>
        </w:rPr>
        <w:t xml:space="preserve"> their academic and </w:t>
      </w:r>
      <w:r w:rsidR="00165D38">
        <w:rPr>
          <w:w w:val="105"/>
        </w:rPr>
        <w:t>occupational</w:t>
      </w:r>
      <w:r w:rsidRPr="00C46921">
        <w:rPr>
          <w:w w:val="105"/>
        </w:rPr>
        <w:t xml:space="preserve"> </w:t>
      </w:r>
      <w:r w:rsidR="00EB155F">
        <w:rPr>
          <w:w w:val="105"/>
        </w:rPr>
        <w:t xml:space="preserve">preferences and </w:t>
      </w:r>
      <w:r w:rsidRPr="00C46921">
        <w:rPr>
          <w:w w:val="105"/>
        </w:rPr>
        <w:t>choices.</w:t>
      </w:r>
      <w:r w:rsidR="00B20C9D">
        <w:rPr>
          <w:w w:val="105"/>
        </w:rPr>
        <w:t xml:space="preserve"> </w:t>
      </w:r>
    </w:p>
    <w:p w14:paraId="40992FCB" w14:textId="566EEDA2" w:rsidR="00950719" w:rsidRDefault="00950719" w:rsidP="00721EB3">
      <w:pPr>
        <w:rPr>
          <w:w w:val="105"/>
        </w:rPr>
      </w:pPr>
      <w:r w:rsidRPr="00950719">
        <w:rPr>
          <w:w w:val="105"/>
        </w:rPr>
        <w:t xml:space="preserve">Overall, the patterns in Figures </w:t>
      </w:r>
      <w:r>
        <w:rPr>
          <w:w w:val="105"/>
        </w:rPr>
        <w:t>7</w:t>
      </w:r>
      <w:r w:rsidRPr="00B506F2">
        <w:t>–</w:t>
      </w:r>
      <w:r w:rsidRPr="00950719">
        <w:rPr>
          <w:w w:val="105"/>
        </w:rPr>
        <w:t xml:space="preserve">11 suggest that </w:t>
      </w:r>
      <w:r w:rsidR="00E10CCA">
        <w:rPr>
          <w:w w:val="105"/>
        </w:rPr>
        <w:t xml:space="preserve">different </w:t>
      </w:r>
      <w:r w:rsidR="0097512D">
        <w:rPr>
          <w:w w:val="105"/>
        </w:rPr>
        <w:t>socio-economic</w:t>
      </w:r>
      <w:r w:rsidR="00364521">
        <w:rPr>
          <w:w w:val="105"/>
        </w:rPr>
        <w:t xml:space="preserve"> </w:t>
      </w:r>
      <w:r w:rsidR="00364521" w:rsidRPr="00BD38F3">
        <w:rPr>
          <w:w w:val="105"/>
        </w:rPr>
        <w:t>backgrounds</w:t>
      </w:r>
      <w:r w:rsidRPr="00950719">
        <w:rPr>
          <w:w w:val="105"/>
        </w:rPr>
        <w:t xml:space="preserve"> may </w:t>
      </w:r>
      <w:r w:rsidR="004036E6">
        <w:rPr>
          <w:w w:val="105"/>
        </w:rPr>
        <w:t>be linked to</w:t>
      </w:r>
      <w:r w:rsidRPr="00950719">
        <w:rPr>
          <w:w w:val="105"/>
        </w:rPr>
        <w:t xml:space="preserve"> </w:t>
      </w:r>
      <w:r w:rsidR="00A66819" w:rsidRPr="00A66819">
        <w:rPr>
          <w:w w:val="105"/>
        </w:rPr>
        <w:t>university subject</w:t>
      </w:r>
      <w:r w:rsidR="006B40D9">
        <w:rPr>
          <w:w w:val="105"/>
        </w:rPr>
        <w:t xml:space="preserve"> choice</w:t>
      </w:r>
      <w:r w:rsidR="003816EA">
        <w:rPr>
          <w:w w:val="105"/>
        </w:rPr>
        <w:t xml:space="preserve"> </w:t>
      </w:r>
      <w:r w:rsidR="003816EA" w:rsidRPr="003816EA">
        <w:rPr>
          <w:w w:val="105"/>
        </w:rPr>
        <w:t>in different ways</w:t>
      </w:r>
      <w:r w:rsidR="000E5EEC">
        <w:rPr>
          <w:w w:val="105"/>
        </w:rPr>
        <w:t>, which</w:t>
      </w:r>
      <w:r w:rsidR="00E10CCA">
        <w:rPr>
          <w:w w:val="105"/>
        </w:rPr>
        <w:t xml:space="preserve"> will be ex</w:t>
      </w:r>
      <w:r w:rsidR="003816EA">
        <w:rPr>
          <w:w w:val="105"/>
        </w:rPr>
        <w:t>plored</w:t>
      </w:r>
      <w:r w:rsidR="00E10CCA">
        <w:rPr>
          <w:w w:val="105"/>
        </w:rPr>
        <w:t xml:space="preserve"> </w:t>
      </w:r>
      <w:r w:rsidR="008D0441">
        <w:rPr>
          <w:w w:val="105"/>
        </w:rPr>
        <w:t xml:space="preserve">in more detail </w:t>
      </w:r>
      <w:r w:rsidR="00E10CCA">
        <w:rPr>
          <w:w w:val="105"/>
        </w:rPr>
        <w:t>in the next section</w:t>
      </w:r>
      <w:r w:rsidR="00875172">
        <w:rPr>
          <w:w w:val="105"/>
        </w:rPr>
        <w:t xml:space="preserve"> using multivariate regression analysis</w:t>
      </w:r>
      <w:r w:rsidR="00E10CCA">
        <w:rPr>
          <w:w w:val="105"/>
        </w:rPr>
        <w:t xml:space="preserve">. </w:t>
      </w:r>
      <w:r w:rsidRPr="00950719">
        <w:rPr>
          <w:w w:val="105"/>
        </w:rPr>
        <w:t xml:space="preserve"> </w:t>
      </w:r>
    </w:p>
    <w:p w14:paraId="3A0EB881" w14:textId="259B04B7" w:rsidR="00811E81" w:rsidRDefault="00811E81" w:rsidP="00BF48E1">
      <w:pPr>
        <w:pStyle w:val="Caption"/>
        <w:rPr>
          <w:w w:val="105"/>
        </w:rPr>
      </w:pPr>
      <w:bookmarkStart w:id="36" w:name="_Ref184722985"/>
      <w:bookmarkStart w:id="37" w:name="_Toc222998802"/>
      <w:bookmarkStart w:id="38" w:name="_Ref184722972"/>
      <w:r w:rsidRPr="00BF48E1">
        <w:rPr>
          <w:sz w:val="20"/>
          <w:szCs w:val="20"/>
        </w:rPr>
        <w:t xml:space="preserve">Figure </w:t>
      </w:r>
      <w:r w:rsidRPr="00BF48E1">
        <w:rPr>
          <w:sz w:val="20"/>
          <w:szCs w:val="20"/>
        </w:rPr>
        <w:fldChar w:fldCharType="begin"/>
      </w:r>
      <w:r w:rsidRPr="00BF48E1">
        <w:rPr>
          <w:sz w:val="20"/>
          <w:szCs w:val="20"/>
        </w:rPr>
        <w:instrText xml:space="preserve"> SEQ Figure \* ARABIC </w:instrText>
      </w:r>
      <w:r w:rsidRPr="00BF48E1">
        <w:rPr>
          <w:sz w:val="20"/>
          <w:szCs w:val="20"/>
        </w:rPr>
        <w:fldChar w:fldCharType="separate"/>
      </w:r>
      <w:r w:rsidRPr="00BF48E1">
        <w:rPr>
          <w:noProof/>
          <w:sz w:val="20"/>
          <w:szCs w:val="20"/>
        </w:rPr>
        <w:t>7</w:t>
      </w:r>
      <w:r w:rsidRPr="00BF48E1">
        <w:rPr>
          <w:sz w:val="20"/>
          <w:szCs w:val="20"/>
        </w:rPr>
        <w:fldChar w:fldCharType="end"/>
      </w:r>
      <w:bookmarkEnd w:id="36"/>
      <w:r w:rsidRPr="00BF48E1">
        <w:rPr>
          <w:rFonts w:eastAsia="Arial" w:cs="Arial"/>
          <w:w w:val="105"/>
          <w:kern w:val="0"/>
          <w:sz w:val="20"/>
          <w:szCs w:val="20"/>
          <w14:ligatures w14:val="none"/>
        </w:rPr>
        <w:t>: Distribution of categorised fields of study by Indigenous status</w:t>
      </w:r>
      <w:bookmarkEnd w:id="37"/>
      <w:bookmarkEnd w:id="38"/>
    </w:p>
    <w:p w14:paraId="7AA5F6C2" w14:textId="33BB5CEE" w:rsidR="00C441CF" w:rsidRPr="00454174" w:rsidRDefault="00C441CF" w:rsidP="00B47946">
      <w:r>
        <w:rPr>
          <w:noProof/>
        </w:rPr>
        <w:drawing>
          <wp:inline distT="0" distB="0" distL="0" distR="0" wp14:anchorId="35E8E835" wp14:editId="0D4E3A75">
            <wp:extent cx="4667250" cy="2876550"/>
            <wp:effectExtent l="0" t="0" r="0" b="0"/>
            <wp:docPr id="955045206" name="Chart 1" descr="Bar chart showing the distribution of high-paying, middle-paying, and low-paying fields of study by Indigenous origin. Australians from Indigenous background are less likely to pursue high-paying fields of study. ">
              <a:extLst xmlns:a="http://schemas.openxmlformats.org/drawingml/2006/main">
                <a:ext uri="{FF2B5EF4-FFF2-40B4-BE49-F238E27FC236}">
                  <a16:creationId xmlns:a16="http://schemas.microsoft.com/office/drawing/2014/main" id="{E73491B6-3FA2-1DE2-8411-068F239748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CCF0015" w14:textId="77777777" w:rsidR="00811E81" w:rsidRDefault="00811E81" w:rsidP="00811E81">
      <w:pPr>
        <w:pStyle w:val="Caption"/>
        <w:jc w:val="center"/>
        <w:rPr>
          <w:b/>
          <w:bCs/>
          <w:i w:val="0"/>
          <w:iCs w:val="0"/>
          <w:sz w:val="20"/>
          <w:szCs w:val="20"/>
        </w:rPr>
      </w:pPr>
    </w:p>
    <w:p w14:paraId="6ADE0D67" w14:textId="77777777" w:rsidR="00B47946" w:rsidRDefault="00B47946">
      <w:pPr>
        <w:spacing w:line="259" w:lineRule="auto"/>
        <w:rPr>
          <w:i/>
          <w:iCs/>
          <w:color w:val="351C26" w:themeColor="text2"/>
          <w:sz w:val="20"/>
          <w:szCs w:val="20"/>
        </w:rPr>
      </w:pPr>
      <w:r>
        <w:rPr>
          <w:sz w:val="20"/>
          <w:szCs w:val="20"/>
        </w:rPr>
        <w:br w:type="page"/>
      </w:r>
    </w:p>
    <w:p w14:paraId="31FEFB43" w14:textId="06544B6B" w:rsidR="00811E81" w:rsidRPr="00BF48E1" w:rsidDel="00811E81" w:rsidRDefault="00811E81" w:rsidP="00BF48E1">
      <w:pPr>
        <w:pStyle w:val="Caption"/>
        <w:rPr>
          <w:rFonts w:eastAsia="Arial" w:cs="Arial"/>
          <w:color w:val="auto"/>
          <w:w w:val="105"/>
          <w:kern w:val="0"/>
          <w:sz w:val="20"/>
          <w:szCs w:val="20"/>
          <w14:ligatures w14:val="none"/>
        </w:rPr>
      </w:pPr>
      <w:bookmarkStart w:id="39" w:name="_Toc222998803"/>
      <w:r w:rsidRPr="00BF48E1">
        <w:rPr>
          <w:sz w:val="20"/>
          <w:szCs w:val="20"/>
        </w:rPr>
        <w:lastRenderedPageBreak/>
        <w:t xml:space="preserve">Figure </w:t>
      </w:r>
      <w:r w:rsidRPr="00BF48E1">
        <w:rPr>
          <w:sz w:val="20"/>
          <w:szCs w:val="20"/>
        </w:rPr>
        <w:fldChar w:fldCharType="begin"/>
      </w:r>
      <w:r w:rsidRPr="00BF48E1">
        <w:rPr>
          <w:sz w:val="20"/>
          <w:szCs w:val="20"/>
        </w:rPr>
        <w:instrText xml:space="preserve"> SEQ Figure \* ARABIC </w:instrText>
      </w:r>
      <w:r w:rsidRPr="00BF48E1">
        <w:rPr>
          <w:sz w:val="20"/>
          <w:szCs w:val="20"/>
        </w:rPr>
        <w:fldChar w:fldCharType="separate"/>
      </w:r>
      <w:r w:rsidRPr="00BF48E1">
        <w:rPr>
          <w:noProof/>
          <w:sz w:val="20"/>
          <w:szCs w:val="20"/>
        </w:rPr>
        <w:t>8</w:t>
      </w:r>
      <w:r w:rsidRPr="00BF48E1">
        <w:rPr>
          <w:sz w:val="20"/>
          <w:szCs w:val="20"/>
        </w:rPr>
        <w:fldChar w:fldCharType="end"/>
      </w:r>
      <w:r w:rsidRPr="00BF48E1">
        <w:rPr>
          <w:rFonts w:eastAsia="Arial" w:cs="Arial"/>
          <w:color w:val="auto"/>
          <w:w w:val="105"/>
          <w:kern w:val="0"/>
          <w:sz w:val="20"/>
          <w:szCs w:val="20"/>
          <w14:ligatures w14:val="none"/>
        </w:rPr>
        <w:t>: Distribution of categorised fields of study by NESB</w:t>
      </w:r>
      <w:bookmarkEnd w:id="39"/>
    </w:p>
    <w:p w14:paraId="7C5F785E" w14:textId="3C1A3E9B" w:rsidR="00001E44" w:rsidRPr="00454174" w:rsidRDefault="00001E44" w:rsidP="00B47946">
      <w:r>
        <w:rPr>
          <w:noProof/>
        </w:rPr>
        <w:drawing>
          <wp:inline distT="0" distB="0" distL="0" distR="0" wp14:anchorId="55E096DA" wp14:editId="743E2919">
            <wp:extent cx="4581525" cy="3009900"/>
            <wp:effectExtent l="0" t="0" r="9525" b="0"/>
            <wp:docPr id="323163705" name="Chart 1" descr="Bar chart showing the distribution of high-paying, middle-paying, and low-paying fields of study by NESB. Compared to their ESB counterparts, Australians from NESB background are more likely to pursue high-paying fields of study. ">
              <a:extLst xmlns:a="http://schemas.openxmlformats.org/drawingml/2006/main">
                <a:ext uri="{FF2B5EF4-FFF2-40B4-BE49-F238E27FC236}">
                  <a16:creationId xmlns:a16="http://schemas.microsoft.com/office/drawing/2014/main" id="{8BA7AE18-1E17-07F4-74A4-16392F0628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F15A95D" w14:textId="77777777" w:rsidR="00811E81" w:rsidRDefault="00811E81" w:rsidP="00AF34B0">
      <w:pPr>
        <w:spacing w:after="0" w:line="240" w:lineRule="auto"/>
        <w:rPr>
          <w:b/>
          <w:bCs/>
          <w:sz w:val="20"/>
          <w:szCs w:val="20"/>
        </w:rPr>
      </w:pPr>
    </w:p>
    <w:p w14:paraId="4EE86EF1" w14:textId="421C3AB3" w:rsidR="00811E81" w:rsidRPr="00014489" w:rsidRDefault="00811E81" w:rsidP="00B47946">
      <w:pPr>
        <w:pStyle w:val="Caption"/>
      </w:pPr>
      <w:bookmarkStart w:id="40" w:name="_Toc222998804"/>
      <w:r w:rsidRPr="00BF48E1">
        <w:t xml:space="preserve">Figure </w:t>
      </w:r>
      <w:r w:rsidRPr="00BF48E1">
        <w:fldChar w:fldCharType="begin"/>
      </w:r>
      <w:r w:rsidRPr="00BF48E1">
        <w:instrText xml:space="preserve"> SEQ Figure \* ARABIC </w:instrText>
      </w:r>
      <w:r w:rsidRPr="00BF48E1">
        <w:fldChar w:fldCharType="separate"/>
      </w:r>
      <w:r w:rsidRPr="00BF48E1">
        <w:rPr>
          <w:noProof/>
        </w:rPr>
        <w:t>9</w:t>
      </w:r>
      <w:r w:rsidRPr="00BF48E1">
        <w:fldChar w:fldCharType="end"/>
      </w:r>
      <w:r w:rsidRPr="00BF48E1">
        <w:rPr>
          <w:w w:val="105"/>
        </w:rPr>
        <w:t>: Distribution of categorised fields of study by childhood SES</w:t>
      </w:r>
      <w:bookmarkEnd w:id="40"/>
    </w:p>
    <w:p w14:paraId="064088F0" w14:textId="578D7449" w:rsidR="00F97125" w:rsidRPr="00454174" w:rsidRDefault="00F97125" w:rsidP="00B47946">
      <w:r>
        <w:rPr>
          <w:noProof/>
        </w:rPr>
        <w:drawing>
          <wp:inline distT="0" distB="0" distL="0" distR="0" wp14:anchorId="68B2F9D2" wp14:editId="36DA807D">
            <wp:extent cx="4591050" cy="2952750"/>
            <wp:effectExtent l="0" t="0" r="0" b="0"/>
            <wp:docPr id="2046917650" name="Chart 1" descr="Bar chart showing the distribution of high-paying, middle-paying, and low-paying fields of study by childhood SES. Australians from lower childhood SES are less likely to pursue high-paying fields of study. ">
              <a:extLst xmlns:a="http://schemas.openxmlformats.org/drawingml/2006/main">
                <a:ext uri="{FF2B5EF4-FFF2-40B4-BE49-F238E27FC236}">
                  <a16:creationId xmlns:a16="http://schemas.microsoft.com/office/drawing/2014/main" id="{984A0D94-F7F6-EFEA-D6EF-DAEC22DE1E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6000559" w14:textId="77777777" w:rsidR="00B47946" w:rsidRDefault="00B47946">
      <w:pPr>
        <w:spacing w:line="259" w:lineRule="auto"/>
        <w:rPr>
          <w:i/>
          <w:iCs/>
          <w:color w:val="351C26" w:themeColor="text2"/>
          <w:sz w:val="20"/>
          <w:szCs w:val="20"/>
        </w:rPr>
      </w:pPr>
      <w:r>
        <w:rPr>
          <w:sz w:val="20"/>
          <w:szCs w:val="20"/>
        </w:rPr>
        <w:br w:type="page"/>
      </w:r>
    </w:p>
    <w:p w14:paraId="7B363299" w14:textId="48198494" w:rsidR="00811E81" w:rsidRPr="00BF48E1" w:rsidRDefault="00811E81" w:rsidP="00BF48E1">
      <w:pPr>
        <w:pStyle w:val="Caption"/>
        <w:rPr>
          <w:rFonts w:eastAsia="Arial" w:cs="Arial"/>
          <w:color w:val="auto"/>
          <w:w w:val="105"/>
          <w:kern w:val="0"/>
          <w:sz w:val="20"/>
          <w:szCs w:val="20"/>
          <w14:ligatures w14:val="none"/>
        </w:rPr>
      </w:pPr>
      <w:bookmarkStart w:id="41" w:name="_Toc222998805"/>
      <w:r w:rsidRPr="00BF48E1">
        <w:rPr>
          <w:sz w:val="20"/>
          <w:szCs w:val="20"/>
        </w:rPr>
        <w:lastRenderedPageBreak/>
        <w:t xml:space="preserve">Figure </w:t>
      </w:r>
      <w:r w:rsidRPr="00BF48E1">
        <w:rPr>
          <w:sz w:val="20"/>
          <w:szCs w:val="20"/>
        </w:rPr>
        <w:fldChar w:fldCharType="begin"/>
      </w:r>
      <w:r w:rsidRPr="00BF48E1">
        <w:rPr>
          <w:sz w:val="20"/>
          <w:szCs w:val="20"/>
        </w:rPr>
        <w:instrText xml:space="preserve"> SEQ Figure \* ARABIC </w:instrText>
      </w:r>
      <w:r w:rsidRPr="00BF48E1">
        <w:rPr>
          <w:sz w:val="20"/>
          <w:szCs w:val="20"/>
        </w:rPr>
        <w:fldChar w:fldCharType="separate"/>
      </w:r>
      <w:r w:rsidRPr="00BF48E1">
        <w:rPr>
          <w:noProof/>
          <w:sz w:val="20"/>
          <w:szCs w:val="20"/>
        </w:rPr>
        <w:t>10</w:t>
      </w:r>
      <w:r w:rsidRPr="00BF48E1">
        <w:rPr>
          <w:sz w:val="20"/>
          <w:szCs w:val="20"/>
        </w:rPr>
        <w:fldChar w:fldCharType="end"/>
      </w:r>
      <w:r w:rsidRPr="00BF48E1">
        <w:rPr>
          <w:rFonts w:eastAsia="Arial" w:cs="Arial"/>
          <w:color w:val="auto"/>
          <w:w w:val="105"/>
          <w:kern w:val="0"/>
          <w:sz w:val="20"/>
          <w:szCs w:val="20"/>
          <w14:ligatures w14:val="none"/>
        </w:rPr>
        <w:t>: Distribution of categorised fields of study by father’s unemployment experience</w:t>
      </w:r>
      <w:bookmarkEnd w:id="41"/>
    </w:p>
    <w:p w14:paraId="74FCDD3A" w14:textId="2F903225" w:rsidR="00F97125" w:rsidRPr="00454174" w:rsidRDefault="00F97125" w:rsidP="00B47946">
      <w:r>
        <w:rPr>
          <w:noProof/>
        </w:rPr>
        <w:drawing>
          <wp:inline distT="0" distB="0" distL="0" distR="0" wp14:anchorId="49E08205" wp14:editId="6FBA3D11">
            <wp:extent cx="4486275" cy="2886075"/>
            <wp:effectExtent l="0" t="0" r="9525" b="9525"/>
            <wp:docPr id="1173750693" name="Chart 1" descr="Bar chart showing the distribution of high-paying, middle-paying, and low-paying fields of study by father's unemployment experience. Those who experienced paternal unemployment for 6+months in childhood are less likely to pursue high-paying fields of study. ">
              <a:extLst xmlns:a="http://schemas.openxmlformats.org/drawingml/2006/main">
                <a:ext uri="{FF2B5EF4-FFF2-40B4-BE49-F238E27FC236}">
                  <a16:creationId xmlns:a16="http://schemas.microsoft.com/office/drawing/2014/main" id="{4ABB1C36-F9D1-B238-E67A-FF703CD162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763640F" w14:textId="2722B624" w:rsidR="009953A1" w:rsidRPr="009953A1" w:rsidRDefault="009953A1" w:rsidP="00B47946">
      <w:pPr>
        <w:pStyle w:val="Caption"/>
        <w:spacing w:before="240"/>
      </w:pPr>
      <w:bookmarkStart w:id="42" w:name="_Toc222998806"/>
      <w:r w:rsidRPr="00BF48E1">
        <w:t xml:space="preserve">Figure </w:t>
      </w:r>
      <w:r w:rsidRPr="00BF48E1">
        <w:fldChar w:fldCharType="begin"/>
      </w:r>
      <w:r w:rsidRPr="00BF48E1">
        <w:instrText xml:space="preserve"> SEQ Figure \* ARABIC </w:instrText>
      </w:r>
      <w:r w:rsidRPr="00BF48E1">
        <w:fldChar w:fldCharType="separate"/>
      </w:r>
      <w:r w:rsidRPr="00BF48E1">
        <w:rPr>
          <w:noProof/>
        </w:rPr>
        <w:t>11</w:t>
      </w:r>
      <w:r w:rsidRPr="00BF48E1">
        <w:fldChar w:fldCharType="end"/>
      </w:r>
      <w:r w:rsidRPr="00BF48E1">
        <w:rPr>
          <w:w w:val="105"/>
        </w:rPr>
        <w:t>: Distribution of categorised fields of study by whether living in a single-parent family at age 14</w:t>
      </w:r>
      <w:bookmarkEnd w:id="42"/>
    </w:p>
    <w:p w14:paraId="2B8D0CA6" w14:textId="64DB5411" w:rsidR="00B97F19" w:rsidRPr="00454174" w:rsidRDefault="00B97F19" w:rsidP="00B47946">
      <w:r>
        <w:rPr>
          <w:noProof/>
        </w:rPr>
        <w:drawing>
          <wp:inline distT="0" distB="0" distL="0" distR="0" wp14:anchorId="4D34FBFF" wp14:editId="70FE12C7">
            <wp:extent cx="4486275" cy="2971800"/>
            <wp:effectExtent l="0" t="0" r="9525" b="0"/>
            <wp:docPr id="1790775812" name="Chart 1" descr="Bar chart showing the distribution of high-paying, middle-paying, and low-paying fields of study by whether living in a single-parent family at age 14. Those from single-parent family are less likely to pursue high-paying fields of study. ">
              <a:extLst xmlns:a="http://schemas.openxmlformats.org/drawingml/2006/main">
                <a:ext uri="{FF2B5EF4-FFF2-40B4-BE49-F238E27FC236}">
                  <a16:creationId xmlns:a16="http://schemas.microsoft.com/office/drawing/2014/main" id="{9CFBFC80-8D5E-E4B4-B2A5-600220655D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DAB81C7" w14:textId="77777777" w:rsidR="00B47946" w:rsidRDefault="00B47946">
      <w:pPr>
        <w:spacing w:line="259" w:lineRule="auto"/>
        <w:rPr>
          <w:rFonts w:eastAsiaTheme="majorEastAsia" w:cs="Arial"/>
          <w:b/>
          <w:bCs/>
          <w:color w:val="6B3B57"/>
          <w:sz w:val="20"/>
          <w:szCs w:val="20"/>
          <w:lang w:eastAsia="en-AU"/>
        </w:rPr>
      </w:pPr>
      <w:r>
        <w:rPr>
          <w:b/>
          <w:bCs/>
          <w:sz w:val="20"/>
          <w:szCs w:val="20"/>
        </w:rPr>
        <w:br w:type="page"/>
      </w:r>
    </w:p>
    <w:p w14:paraId="11EDC2DE" w14:textId="45FD6A95" w:rsidR="00B17D2E" w:rsidRPr="0016620E" w:rsidRDefault="001A0550" w:rsidP="00B17D2E">
      <w:pPr>
        <w:pStyle w:val="Heading2"/>
      </w:pPr>
      <w:bookmarkStart w:id="43" w:name="_Toc188384212"/>
      <w:bookmarkStart w:id="44" w:name="_Toc222998773"/>
      <w:bookmarkStart w:id="45" w:name="_Toc178584728"/>
      <w:bookmarkStart w:id="46" w:name="_Ref184722547"/>
      <w:bookmarkStart w:id="47" w:name="_Ref185012948"/>
      <w:r>
        <w:lastRenderedPageBreak/>
        <w:t>Socio-economic</w:t>
      </w:r>
      <w:r w:rsidR="006F511C">
        <w:rPr>
          <w:rFonts w:eastAsia="Arial"/>
          <w:w w:val="105"/>
          <w:kern w:val="0"/>
          <w14:ligatures w14:val="none"/>
        </w:rPr>
        <w:t xml:space="preserve"> </w:t>
      </w:r>
      <w:r w:rsidR="006F511C" w:rsidRPr="00BD38F3">
        <w:rPr>
          <w:rFonts w:eastAsia="Arial"/>
          <w:w w:val="105"/>
          <w:kern w:val="0"/>
          <w14:ligatures w14:val="none"/>
        </w:rPr>
        <w:t>backgrounds</w:t>
      </w:r>
      <w:r w:rsidR="006F511C">
        <w:rPr>
          <w:rFonts w:eastAsia="Arial"/>
          <w:w w:val="105"/>
          <w:kern w:val="0"/>
          <w14:ligatures w14:val="none"/>
        </w:rPr>
        <w:t xml:space="preserve"> </w:t>
      </w:r>
      <w:r w:rsidR="00B17D2E">
        <w:t xml:space="preserve">and </w:t>
      </w:r>
      <w:r w:rsidR="00E87AB0">
        <w:t xml:space="preserve">the choice of </w:t>
      </w:r>
      <w:r w:rsidR="00910E70">
        <w:t>field</w:t>
      </w:r>
      <w:r w:rsidR="007C042C">
        <w:t>s</w:t>
      </w:r>
      <w:r w:rsidR="00910E70">
        <w:t xml:space="preserve"> of study</w:t>
      </w:r>
      <w:bookmarkEnd w:id="43"/>
      <w:bookmarkEnd w:id="44"/>
    </w:p>
    <w:bookmarkEnd w:id="45"/>
    <w:bookmarkEnd w:id="46"/>
    <w:bookmarkEnd w:id="47"/>
    <w:p w14:paraId="690C5420" w14:textId="3FCACFEE" w:rsidR="00CD07F4" w:rsidRPr="00590838" w:rsidRDefault="00B12AAC" w:rsidP="00721EB3">
      <w:pPr>
        <w:rPr>
          <w:w w:val="105"/>
        </w:rPr>
      </w:pPr>
      <w:r w:rsidRPr="00B12AAC">
        <w:rPr>
          <w:w w:val="105"/>
        </w:rPr>
        <w:t xml:space="preserve">This section </w:t>
      </w:r>
      <w:r w:rsidR="0028756F">
        <w:rPr>
          <w:w w:val="105"/>
        </w:rPr>
        <w:t>addresse</w:t>
      </w:r>
      <w:r w:rsidRPr="00B12AAC">
        <w:rPr>
          <w:w w:val="105"/>
        </w:rPr>
        <w:t xml:space="preserve">s our second research question: </w:t>
      </w:r>
      <w:r w:rsidR="00F12D7D">
        <w:rPr>
          <w:w w:val="105"/>
        </w:rPr>
        <w:t>H</w:t>
      </w:r>
      <w:r w:rsidRPr="00B12AAC">
        <w:rPr>
          <w:w w:val="105"/>
        </w:rPr>
        <w:t xml:space="preserve">ow do multidimensional </w:t>
      </w:r>
      <w:r w:rsidR="0097512D">
        <w:rPr>
          <w:w w:val="105"/>
        </w:rPr>
        <w:t>socio-economic</w:t>
      </w:r>
      <w:r w:rsidR="006F511C">
        <w:rPr>
          <w:w w:val="105"/>
        </w:rPr>
        <w:t xml:space="preserve"> </w:t>
      </w:r>
      <w:r w:rsidR="006F511C" w:rsidRPr="00BD38F3">
        <w:rPr>
          <w:w w:val="105"/>
        </w:rPr>
        <w:t>backgrounds</w:t>
      </w:r>
      <w:r w:rsidR="006F511C">
        <w:rPr>
          <w:w w:val="105"/>
        </w:rPr>
        <w:t xml:space="preserve"> </w:t>
      </w:r>
      <w:r w:rsidRPr="00B12AAC">
        <w:rPr>
          <w:w w:val="105"/>
        </w:rPr>
        <w:t xml:space="preserve">influence </w:t>
      </w:r>
      <w:r w:rsidR="004A03CA" w:rsidRPr="004A03CA">
        <w:rPr>
          <w:w w:val="105"/>
        </w:rPr>
        <w:t>the choice of tertiary field</w:t>
      </w:r>
      <w:r w:rsidR="00CB1A5D">
        <w:rPr>
          <w:w w:val="105"/>
        </w:rPr>
        <w:t>s</w:t>
      </w:r>
      <w:r w:rsidR="004A03CA" w:rsidRPr="004A03CA">
        <w:rPr>
          <w:w w:val="105"/>
        </w:rPr>
        <w:t xml:space="preserve"> of study</w:t>
      </w:r>
      <w:r w:rsidRPr="00B12AAC">
        <w:rPr>
          <w:w w:val="105"/>
        </w:rPr>
        <w:t xml:space="preserve">? </w:t>
      </w:r>
      <w:r w:rsidR="00EB287A">
        <w:rPr>
          <w:w w:val="105"/>
        </w:rPr>
        <w:t>As discussed in Section 5.2</w:t>
      </w:r>
      <w:r w:rsidRPr="00B12AAC">
        <w:rPr>
          <w:w w:val="105"/>
        </w:rPr>
        <w:t>, we estimate a linear probability model (LPM) as specified in Equation (1). The dependent variables are two binary indicators</w:t>
      </w:r>
      <w:r w:rsidR="00240F68">
        <w:rPr>
          <w:w w:val="105"/>
        </w:rPr>
        <w:t xml:space="preserve"> defined in Section 6.1</w:t>
      </w:r>
      <w:r w:rsidRPr="00B12AAC">
        <w:rPr>
          <w:w w:val="105"/>
        </w:rPr>
        <w:t xml:space="preserve">: (1) whether the field of study </w:t>
      </w:r>
      <w:r w:rsidR="00EB287A" w:rsidRPr="00B12AAC">
        <w:rPr>
          <w:w w:val="105"/>
        </w:rPr>
        <w:t xml:space="preserve">chosen </w:t>
      </w:r>
      <w:r w:rsidRPr="00B12AAC">
        <w:rPr>
          <w:w w:val="105"/>
        </w:rPr>
        <w:t>is high</w:t>
      </w:r>
      <w:r w:rsidR="006354E9">
        <w:rPr>
          <w:w w:val="105"/>
        </w:rPr>
        <w:t>-</w:t>
      </w:r>
      <w:r w:rsidRPr="00B12AAC">
        <w:rPr>
          <w:w w:val="105"/>
        </w:rPr>
        <w:t>paying and (2) whether it is low</w:t>
      </w:r>
      <w:r w:rsidR="006354E9">
        <w:rPr>
          <w:w w:val="105"/>
        </w:rPr>
        <w:t>-</w:t>
      </w:r>
      <w:r w:rsidRPr="00B12AAC">
        <w:rPr>
          <w:w w:val="105"/>
        </w:rPr>
        <w:t xml:space="preserve">paying. The </w:t>
      </w:r>
      <w:r w:rsidR="008A7A2D">
        <w:rPr>
          <w:w w:val="105"/>
        </w:rPr>
        <w:t>main</w:t>
      </w:r>
      <w:r w:rsidRPr="00B12AAC">
        <w:rPr>
          <w:w w:val="105"/>
        </w:rPr>
        <w:t xml:space="preserve"> explanatory variables are five dummy indicators representing different dimensions of </w:t>
      </w:r>
      <w:r w:rsidR="0097512D">
        <w:rPr>
          <w:w w:val="105"/>
        </w:rPr>
        <w:t>socio-economic</w:t>
      </w:r>
      <w:r w:rsidR="0005789E">
        <w:rPr>
          <w:w w:val="105"/>
        </w:rPr>
        <w:t xml:space="preserve"> </w:t>
      </w:r>
      <w:r w:rsidR="0005789E" w:rsidRPr="00BD38F3">
        <w:rPr>
          <w:w w:val="105"/>
        </w:rPr>
        <w:t>backgrounds</w:t>
      </w:r>
      <w:r w:rsidRPr="00B12AAC">
        <w:rPr>
          <w:w w:val="105"/>
        </w:rPr>
        <w:t xml:space="preserve">. </w:t>
      </w:r>
      <w:r w:rsidR="00A51C94">
        <w:rPr>
          <w:w w:val="105"/>
        </w:rPr>
        <w:t>The c</w:t>
      </w:r>
      <w:r w:rsidRPr="00B12AAC">
        <w:rPr>
          <w:w w:val="105"/>
        </w:rPr>
        <w:t xml:space="preserve">ontrol variables include dummies for year of birth, gender, whether the individual was born in Australia, number of siblings, residential location (major city or </w:t>
      </w:r>
      <w:r w:rsidR="00D37124">
        <w:rPr>
          <w:w w:val="105"/>
        </w:rPr>
        <w:t>not</w:t>
      </w:r>
      <w:r w:rsidRPr="00B12AAC">
        <w:rPr>
          <w:w w:val="105"/>
        </w:rPr>
        <w:t xml:space="preserve">), as well as state of residence and HILDA wave dummies. To account for heteroskedasticity of unknown form, we report Huber-White robust standard errors. The analysis is conducted for the full sample and separately for earlier and later birth cohorts. The results for high-paying and low-paying field choices are presented in Tables </w:t>
      </w:r>
      <w:r w:rsidR="00334A4A">
        <w:rPr>
          <w:w w:val="105"/>
        </w:rPr>
        <w:t>3</w:t>
      </w:r>
      <w:r w:rsidR="00334A4A" w:rsidRPr="00B12AAC">
        <w:rPr>
          <w:w w:val="105"/>
        </w:rPr>
        <w:t xml:space="preserve"> </w:t>
      </w:r>
      <w:r w:rsidRPr="00B12AAC">
        <w:rPr>
          <w:w w:val="105"/>
        </w:rPr>
        <w:t xml:space="preserve">and </w:t>
      </w:r>
      <w:r w:rsidR="00334A4A">
        <w:rPr>
          <w:w w:val="105"/>
        </w:rPr>
        <w:t>4</w:t>
      </w:r>
      <w:r w:rsidRPr="00B12AAC">
        <w:rPr>
          <w:w w:val="105"/>
        </w:rPr>
        <w:t>, respectively.</w:t>
      </w:r>
    </w:p>
    <w:p w14:paraId="1394AC42" w14:textId="17C564E0" w:rsidR="004B00E6" w:rsidRPr="00BF48E1" w:rsidRDefault="006A3964" w:rsidP="00BF48E1">
      <w:pPr>
        <w:pStyle w:val="Caption"/>
        <w:rPr>
          <w:rFonts w:cs="Arial"/>
          <w:color w:val="080808"/>
          <w:lang w:eastAsia="en-AU"/>
        </w:rPr>
      </w:pPr>
      <w:bookmarkStart w:id="48" w:name="_Ref184722674"/>
      <w:bookmarkStart w:id="49" w:name="_Ref184722657"/>
      <w:bookmarkStart w:id="50" w:name="_Toc222998786"/>
      <w:r w:rsidRPr="00BF48E1">
        <w:rPr>
          <w:rFonts w:cs="Arial"/>
          <w:color w:val="080808"/>
        </w:rPr>
        <w:t xml:space="preserve">Table </w:t>
      </w:r>
      <w:r w:rsidR="007C1B95" w:rsidRPr="00BF48E1">
        <w:rPr>
          <w:rFonts w:cs="Arial"/>
          <w:color w:val="080808"/>
        </w:rPr>
        <w:fldChar w:fldCharType="begin"/>
      </w:r>
      <w:r w:rsidR="007C1B95" w:rsidRPr="00BF48E1">
        <w:rPr>
          <w:rFonts w:cs="Arial"/>
          <w:color w:val="080808"/>
        </w:rPr>
        <w:instrText xml:space="preserve"> SEQ Table \* ARABIC </w:instrText>
      </w:r>
      <w:r w:rsidR="007C1B95" w:rsidRPr="00BF48E1">
        <w:rPr>
          <w:rFonts w:cs="Arial"/>
          <w:color w:val="080808"/>
        </w:rPr>
        <w:fldChar w:fldCharType="separate"/>
      </w:r>
      <w:r w:rsidR="00392C8C" w:rsidRPr="00BF48E1">
        <w:rPr>
          <w:rFonts w:cs="Arial"/>
          <w:noProof/>
          <w:color w:val="080808"/>
        </w:rPr>
        <w:t>3</w:t>
      </w:r>
      <w:r w:rsidR="007C1B95" w:rsidRPr="00BF48E1">
        <w:rPr>
          <w:rFonts w:cs="Arial"/>
          <w:color w:val="080808"/>
        </w:rPr>
        <w:fldChar w:fldCharType="end"/>
      </w:r>
      <w:bookmarkEnd w:id="48"/>
      <w:r w:rsidR="004B00E6" w:rsidRPr="00BF48E1">
        <w:rPr>
          <w:rFonts w:cs="Arial"/>
          <w:color w:val="080808"/>
          <w:lang w:eastAsia="en-AU"/>
        </w:rPr>
        <w:t xml:space="preserve">: </w:t>
      </w:r>
      <w:r w:rsidR="003D04E9" w:rsidRPr="00BF48E1">
        <w:rPr>
          <w:rFonts w:cs="Arial"/>
          <w:color w:val="080808"/>
          <w:lang w:eastAsia="en-AU"/>
        </w:rPr>
        <w:t>Probability</w:t>
      </w:r>
      <w:r w:rsidR="004B00E6" w:rsidRPr="00BF48E1">
        <w:rPr>
          <w:rFonts w:cs="Arial"/>
          <w:color w:val="080808"/>
          <w:lang w:eastAsia="en-AU"/>
        </w:rPr>
        <w:t xml:space="preserve"> of choosing a high-paying </w:t>
      </w:r>
      <w:bookmarkEnd w:id="49"/>
      <w:r w:rsidR="008B4F30" w:rsidRPr="00BF48E1">
        <w:rPr>
          <w:rFonts w:cs="Arial"/>
          <w:color w:val="080808"/>
          <w:lang w:eastAsia="en-AU"/>
        </w:rPr>
        <w:t>field of study</w:t>
      </w:r>
      <w:bookmarkEnd w:id="50"/>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4253"/>
        <w:gridCol w:w="1271"/>
        <w:gridCol w:w="1559"/>
        <w:gridCol w:w="1701"/>
      </w:tblGrid>
      <w:tr w:rsidR="004B00E6" w:rsidRPr="0016620E" w14:paraId="53F076B3" w14:textId="77777777" w:rsidTr="0095055E">
        <w:trPr>
          <w:jc w:val="center"/>
        </w:trPr>
        <w:tc>
          <w:tcPr>
            <w:tcW w:w="4253" w:type="dxa"/>
            <w:tcBorders>
              <w:top w:val="single" w:sz="4" w:space="0" w:color="auto"/>
              <w:left w:val="nil"/>
              <w:bottom w:val="single" w:sz="4" w:space="0" w:color="auto"/>
            </w:tcBorders>
            <w:shd w:val="clear" w:color="auto" w:fill="78DED9" w:themeFill="accent1"/>
          </w:tcPr>
          <w:p w14:paraId="49A11147" w14:textId="77777777" w:rsidR="004B00E6" w:rsidRPr="00D75CF3" w:rsidRDefault="004B00E6" w:rsidP="00C32DD2">
            <w:pPr>
              <w:spacing w:after="120" w:line="240" w:lineRule="auto"/>
              <w:rPr>
                <w:rFonts w:cs="Arial"/>
                <w:b/>
                <w:bCs/>
                <w:color w:val="351C26" w:themeColor="text1"/>
              </w:rPr>
            </w:pPr>
          </w:p>
        </w:tc>
        <w:tc>
          <w:tcPr>
            <w:tcW w:w="1271" w:type="dxa"/>
            <w:tcBorders>
              <w:top w:val="single" w:sz="4" w:space="0" w:color="auto"/>
              <w:bottom w:val="single" w:sz="4" w:space="0" w:color="auto"/>
            </w:tcBorders>
            <w:shd w:val="clear" w:color="auto" w:fill="78DED9" w:themeFill="accent1"/>
          </w:tcPr>
          <w:p w14:paraId="4320BE90" w14:textId="77777777" w:rsidR="004B00E6" w:rsidRPr="00D75CF3" w:rsidRDefault="004B00E6" w:rsidP="00C32DD2">
            <w:pPr>
              <w:spacing w:after="120" w:line="240" w:lineRule="auto"/>
              <w:rPr>
                <w:rFonts w:cs="Arial"/>
                <w:b/>
                <w:bCs/>
                <w:color w:val="351C26" w:themeColor="text1"/>
              </w:rPr>
            </w:pPr>
            <w:r w:rsidRPr="00D75CF3">
              <w:rPr>
                <w:rFonts w:eastAsiaTheme="majorEastAsia" w:cs="Arial"/>
                <w:b/>
                <w:bCs/>
                <w:color w:val="351C26" w:themeColor="text1"/>
                <w:lang w:val="en-US"/>
                <w14:ligatures w14:val="none"/>
              </w:rPr>
              <w:t>All</w:t>
            </w:r>
          </w:p>
        </w:tc>
        <w:tc>
          <w:tcPr>
            <w:tcW w:w="1559" w:type="dxa"/>
            <w:tcBorders>
              <w:top w:val="single" w:sz="4" w:space="0" w:color="auto"/>
              <w:bottom w:val="single" w:sz="4" w:space="0" w:color="auto"/>
            </w:tcBorders>
            <w:shd w:val="clear" w:color="auto" w:fill="78DED9" w:themeFill="accent1"/>
          </w:tcPr>
          <w:p w14:paraId="5A3B781F" w14:textId="77777777" w:rsidR="004B00E6" w:rsidRPr="00D75CF3" w:rsidRDefault="004B00E6" w:rsidP="00C32DD2">
            <w:pPr>
              <w:spacing w:after="120" w:line="240" w:lineRule="auto"/>
              <w:rPr>
                <w:rFonts w:cs="Arial"/>
                <w:b/>
                <w:bCs/>
                <w:color w:val="351C26" w:themeColor="text1"/>
              </w:rPr>
            </w:pPr>
            <w:r w:rsidRPr="00D75CF3">
              <w:rPr>
                <w:rFonts w:eastAsiaTheme="majorEastAsia" w:cs="Arial"/>
                <w:b/>
                <w:bCs/>
                <w:color w:val="351C26" w:themeColor="text1"/>
                <w:lang w:val="en-US"/>
                <w14:ligatures w14:val="none"/>
              </w:rPr>
              <w:t>Born before 1980</w:t>
            </w:r>
          </w:p>
        </w:tc>
        <w:tc>
          <w:tcPr>
            <w:tcW w:w="1701" w:type="dxa"/>
            <w:tcBorders>
              <w:top w:val="single" w:sz="4" w:space="0" w:color="auto"/>
              <w:bottom w:val="single" w:sz="4" w:space="0" w:color="auto"/>
              <w:right w:val="nil"/>
            </w:tcBorders>
            <w:shd w:val="clear" w:color="auto" w:fill="78DED9" w:themeFill="accent1"/>
          </w:tcPr>
          <w:p w14:paraId="367C26FD" w14:textId="0C097BC6" w:rsidR="004B00E6" w:rsidRPr="00D75CF3" w:rsidRDefault="004B00E6" w:rsidP="00C32DD2">
            <w:pPr>
              <w:spacing w:after="120" w:line="240" w:lineRule="auto"/>
              <w:rPr>
                <w:rFonts w:cs="Arial"/>
                <w:b/>
                <w:bCs/>
                <w:color w:val="351C26" w:themeColor="text1"/>
              </w:rPr>
            </w:pPr>
            <w:r w:rsidRPr="00D75CF3">
              <w:rPr>
                <w:rFonts w:eastAsiaTheme="majorEastAsia" w:cs="Arial"/>
                <w:b/>
                <w:bCs/>
                <w:color w:val="351C26" w:themeColor="text1"/>
                <w:lang w:val="en-US"/>
                <w14:ligatures w14:val="none"/>
              </w:rPr>
              <w:t xml:space="preserve">Born in 1980 </w:t>
            </w:r>
            <w:r w:rsidR="000B3585">
              <w:rPr>
                <w:rFonts w:eastAsiaTheme="majorEastAsia" w:cs="Arial"/>
                <w:b/>
                <w:bCs/>
                <w:color w:val="351C26" w:themeColor="text1"/>
                <w:lang w:val="en-US"/>
                <w14:ligatures w14:val="none"/>
              </w:rPr>
              <w:t>or</w:t>
            </w:r>
            <w:r w:rsidRPr="00D75CF3">
              <w:rPr>
                <w:rFonts w:eastAsiaTheme="majorEastAsia" w:cs="Arial"/>
                <w:b/>
                <w:bCs/>
                <w:color w:val="351C26" w:themeColor="text1"/>
                <w:lang w:val="en-US"/>
                <w14:ligatures w14:val="none"/>
              </w:rPr>
              <w:t xml:space="preserve"> later</w:t>
            </w:r>
          </w:p>
        </w:tc>
      </w:tr>
      <w:tr w:rsidR="004B00E6" w:rsidRPr="0016620E" w14:paraId="4410613C" w14:textId="77777777" w:rsidTr="0095055E">
        <w:trPr>
          <w:jc w:val="center"/>
        </w:trPr>
        <w:tc>
          <w:tcPr>
            <w:tcW w:w="4253" w:type="dxa"/>
            <w:tcBorders>
              <w:top w:val="single" w:sz="4" w:space="0" w:color="auto"/>
              <w:left w:val="nil"/>
            </w:tcBorders>
          </w:tcPr>
          <w:p w14:paraId="4B06931C" w14:textId="723DCDEE" w:rsidR="004B00E6" w:rsidRPr="0016620E" w:rsidRDefault="003023B0" w:rsidP="00C32DD2">
            <w:pPr>
              <w:spacing w:line="240" w:lineRule="auto"/>
              <w:rPr>
                <w:rFonts w:cs="Arial"/>
              </w:rPr>
            </w:pPr>
            <w:r w:rsidRPr="0016620E">
              <w:rPr>
                <w:rFonts w:cs="Arial"/>
              </w:rPr>
              <w:t>Indigenous</w:t>
            </w:r>
          </w:p>
        </w:tc>
        <w:tc>
          <w:tcPr>
            <w:tcW w:w="1271" w:type="dxa"/>
            <w:tcBorders>
              <w:top w:val="single" w:sz="4" w:space="0" w:color="auto"/>
            </w:tcBorders>
          </w:tcPr>
          <w:p w14:paraId="56466A18" w14:textId="77777777" w:rsidR="004B00E6" w:rsidRPr="0016620E" w:rsidRDefault="004B00E6" w:rsidP="00C32DD2">
            <w:pPr>
              <w:spacing w:line="240" w:lineRule="auto"/>
              <w:rPr>
                <w:rFonts w:cs="Arial"/>
              </w:rPr>
            </w:pPr>
            <w:r w:rsidRPr="0016620E">
              <w:rPr>
                <w:rFonts w:cs="Arial"/>
              </w:rPr>
              <w:t>–0.026</w:t>
            </w:r>
          </w:p>
          <w:p w14:paraId="6660FB26" w14:textId="77777777" w:rsidR="004B00E6" w:rsidRPr="0016620E" w:rsidRDefault="004B00E6" w:rsidP="00C32DD2">
            <w:pPr>
              <w:spacing w:line="240" w:lineRule="auto"/>
              <w:rPr>
                <w:rFonts w:cs="Arial"/>
              </w:rPr>
            </w:pPr>
            <w:r w:rsidRPr="0016620E">
              <w:rPr>
                <w:rFonts w:cs="Arial"/>
              </w:rPr>
              <w:t>(0.058)</w:t>
            </w:r>
          </w:p>
        </w:tc>
        <w:tc>
          <w:tcPr>
            <w:tcW w:w="1559" w:type="dxa"/>
            <w:tcBorders>
              <w:top w:val="single" w:sz="4" w:space="0" w:color="auto"/>
            </w:tcBorders>
          </w:tcPr>
          <w:p w14:paraId="318FD83E" w14:textId="77777777" w:rsidR="004B00E6" w:rsidRPr="0016620E" w:rsidRDefault="004B00E6" w:rsidP="00C32DD2">
            <w:pPr>
              <w:spacing w:line="240" w:lineRule="auto"/>
              <w:rPr>
                <w:rFonts w:cs="Arial"/>
              </w:rPr>
            </w:pPr>
            <w:r w:rsidRPr="0016620E">
              <w:rPr>
                <w:rFonts w:cs="Arial"/>
              </w:rPr>
              <w:t>–0.110</w:t>
            </w:r>
          </w:p>
          <w:p w14:paraId="76678A87" w14:textId="77777777" w:rsidR="004B00E6" w:rsidRPr="0016620E" w:rsidRDefault="004B00E6" w:rsidP="00C32DD2">
            <w:pPr>
              <w:spacing w:line="240" w:lineRule="auto"/>
              <w:rPr>
                <w:rFonts w:cs="Arial"/>
              </w:rPr>
            </w:pPr>
            <w:r w:rsidRPr="0016620E">
              <w:rPr>
                <w:rFonts w:cs="Arial"/>
              </w:rPr>
              <w:t>(0.075)</w:t>
            </w:r>
          </w:p>
        </w:tc>
        <w:tc>
          <w:tcPr>
            <w:tcW w:w="1701" w:type="dxa"/>
            <w:tcBorders>
              <w:top w:val="single" w:sz="4" w:space="0" w:color="auto"/>
              <w:right w:val="nil"/>
            </w:tcBorders>
          </w:tcPr>
          <w:p w14:paraId="7D3A4C3C" w14:textId="77777777" w:rsidR="004B00E6" w:rsidRPr="0016620E" w:rsidRDefault="004B00E6" w:rsidP="00C32DD2">
            <w:pPr>
              <w:spacing w:line="240" w:lineRule="auto"/>
              <w:rPr>
                <w:rFonts w:cs="Arial"/>
              </w:rPr>
            </w:pPr>
            <w:r w:rsidRPr="0016620E">
              <w:rPr>
                <w:rFonts w:cs="Arial"/>
              </w:rPr>
              <w:t>0.045</w:t>
            </w:r>
          </w:p>
          <w:p w14:paraId="408B88EA" w14:textId="77777777" w:rsidR="004B00E6" w:rsidRPr="0016620E" w:rsidRDefault="004B00E6" w:rsidP="00C32DD2">
            <w:pPr>
              <w:spacing w:after="120" w:line="240" w:lineRule="auto"/>
              <w:rPr>
                <w:rFonts w:cs="Arial"/>
              </w:rPr>
            </w:pPr>
            <w:r w:rsidRPr="0016620E">
              <w:rPr>
                <w:rFonts w:cs="Arial"/>
              </w:rPr>
              <w:t>(0.087)</w:t>
            </w:r>
          </w:p>
        </w:tc>
      </w:tr>
      <w:tr w:rsidR="004B00E6" w:rsidRPr="0016620E" w14:paraId="5C535014" w14:textId="77777777" w:rsidTr="0095055E">
        <w:trPr>
          <w:jc w:val="center"/>
        </w:trPr>
        <w:tc>
          <w:tcPr>
            <w:tcW w:w="4253" w:type="dxa"/>
            <w:tcBorders>
              <w:left w:val="nil"/>
            </w:tcBorders>
          </w:tcPr>
          <w:p w14:paraId="436F07AC" w14:textId="77777777" w:rsidR="004B00E6" w:rsidRPr="0016620E" w:rsidRDefault="004B00E6" w:rsidP="00C32DD2">
            <w:pPr>
              <w:spacing w:line="240" w:lineRule="auto"/>
              <w:rPr>
                <w:rFonts w:cs="Arial"/>
              </w:rPr>
            </w:pPr>
            <w:r w:rsidRPr="0016620E">
              <w:rPr>
                <w:rFonts w:cs="Arial"/>
              </w:rPr>
              <w:t>NESB</w:t>
            </w:r>
          </w:p>
        </w:tc>
        <w:tc>
          <w:tcPr>
            <w:tcW w:w="1271" w:type="dxa"/>
          </w:tcPr>
          <w:p w14:paraId="15863943" w14:textId="77777777" w:rsidR="004B00E6" w:rsidRPr="0016620E" w:rsidRDefault="004B00E6" w:rsidP="00C32DD2">
            <w:pPr>
              <w:spacing w:line="240" w:lineRule="auto"/>
              <w:rPr>
                <w:rFonts w:cs="Arial"/>
              </w:rPr>
            </w:pPr>
            <w:r w:rsidRPr="0016620E">
              <w:rPr>
                <w:rFonts w:cs="Arial"/>
              </w:rPr>
              <w:t>0.156***</w:t>
            </w:r>
          </w:p>
          <w:p w14:paraId="594F88C5" w14:textId="77777777" w:rsidR="004B00E6" w:rsidRPr="0016620E" w:rsidRDefault="004B00E6" w:rsidP="00C32DD2">
            <w:pPr>
              <w:spacing w:line="240" w:lineRule="auto"/>
              <w:rPr>
                <w:rFonts w:cs="Arial"/>
              </w:rPr>
            </w:pPr>
            <w:r w:rsidRPr="0016620E">
              <w:rPr>
                <w:rFonts w:cs="Arial"/>
              </w:rPr>
              <w:t>(0.027)</w:t>
            </w:r>
          </w:p>
        </w:tc>
        <w:tc>
          <w:tcPr>
            <w:tcW w:w="1559" w:type="dxa"/>
          </w:tcPr>
          <w:p w14:paraId="5B3EC7B4" w14:textId="77777777" w:rsidR="004B00E6" w:rsidRPr="0016620E" w:rsidRDefault="004B00E6" w:rsidP="00C32DD2">
            <w:pPr>
              <w:spacing w:line="240" w:lineRule="auto"/>
              <w:rPr>
                <w:rFonts w:cs="Arial"/>
              </w:rPr>
            </w:pPr>
            <w:r w:rsidRPr="0016620E">
              <w:rPr>
                <w:rFonts w:cs="Arial"/>
              </w:rPr>
              <w:t>0.117***</w:t>
            </w:r>
          </w:p>
          <w:p w14:paraId="128031F0" w14:textId="77777777" w:rsidR="004B00E6" w:rsidRPr="0016620E" w:rsidRDefault="004B00E6" w:rsidP="00C32DD2">
            <w:pPr>
              <w:spacing w:line="240" w:lineRule="auto"/>
              <w:rPr>
                <w:rFonts w:cs="Arial"/>
              </w:rPr>
            </w:pPr>
            <w:r w:rsidRPr="0016620E">
              <w:rPr>
                <w:rFonts w:cs="Arial"/>
              </w:rPr>
              <w:t>(0.035)</w:t>
            </w:r>
          </w:p>
        </w:tc>
        <w:tc>
          <w:tcPr>
            <w:tcW w:w="1701" w:type="dxa"/>
            <w:tcBorders>
              <w:right w:val="nil"/>
            </w:tcBorders>
          </w:tcPr>
          <w:p w14:paraId="5B088D17" w14:textId="77777777" w:rsidR="004B00E6" w:rsidRPr="0016620E" w:rsidRDefault="004B00E6" w:rsidP="00C32DD2">
            <w:pPr>
              <w:spacing w:line="240" w:lineRule="auto"/>
              <w:rPr>
                <w:rFonts w:cs="Arial"/>
              </w:rPr>
            </w:pPr>
            <w:r w:rsidRPr="0016620E">
              <w:rPr>
                <w:rFonts w:cs="Arial"/>
              </w:rPr>
              <w:t>0.206***</w:t>
            </w:r>
          </w:p>
          <w:p w14:paraId="7219A171" w14:textId="77777777" w:rsidR="004B00E6" w:rsidRPr="0016620E" w:rsidRDefault="004B00E6" w:rsidP="00C32DD2">
            <w:pPr>
              <w:spacing w:after="120" w:line="240" w:lineRule="auto"/>
              <w:rPr>
                <w:rFonts w:cs="Arial"/>
              </w:rPr>
            </w:pPr>
            <w:r w:rsidRPr="0016620E">
              <w:rPr>
                <w:rFonts w:cs="Arial"/>
              </w:rPr>
              <w:t>(0.047)</w:t>
            </w:r>
          </w:p>
        </w:tc>
      </w:tr>
      <w:tr w:rsidR="004B00E6" w:rsidRPr="0016620E" w14:paraId="58F22086" w14:textId="77777777" w:rsidTr="0095055E">
        <w:trPr>
          <w:jc w:val="center"/>
        </w:trPr>
        <w:tc>
          <w:tcPr>
            <w:tcW w:w="4253" w:type="dxa"/>
            <w:tcBorders>
              <w:left w:val="nil"/>
            </w:tcBorders>
          </w:tcPr>
          <w:p w14:paraId="0333FBFE" w14:textId="3DE1FB6E" w:rsidR="004B00E6" w:rsidRPr="0016620E" w:rsidRDefault="00BF057E" w:rsidP="00C32DD2">
            <w:pPr>
              <w:spacing w:line="240" w:lineRule="auto"/>
              <w:rPr>
                <w:rFonts w:cs="Arial"/>
              </w:rPr>
            </w:pPr>
            <w:r>
              <w:rPr>
                <w:rFonts w:eastAsia="Arial" w:cs="Arial"/>
                <w:w w:val="105"/>
                <w14:ligatures w14:val="none"/>
              </w:rPr>
              <w:t>L</w:t>
            </w:r>
            <w:r w:rsidRPr="00276F44">
              <w:rPr>
                <w:rFonts w:eastAsia="Arial" w:cs="Arial"/>
                <w:w w:val="105"/>
                <w14:ligatures w14:val="none"/>
              </w:rPr>
              <w:t>ow</w:t>
            </w:r>
            <w:r>
              <w:rPr>
                <w:rFonts w:eastAsia="Arial" w:cs="Arial"/>
                <w:w w:val="105"/>
                <w14:ligatures w14:val="none"/>
              </w:rPr>
              <w:t xml:space="preserve"> </w:t>
            </w:r>
            <w:r w:rsidRPr="00276F44">
              <w:rPr>
                <w:rFonts w:eastAsia="Arial" w:cs="Arial"/>
                <w:w w:val="105"/>
                <w14:ligatures w14:val="none"/>
              </w:rPr>
              <w:t>SES</w:t>
            </w:r>
            <w:r>
              <w:rPr>
                <w:rFonts w:eastAsia="Arial" w:cs="Arial"/>
                <w:w w:val="105"/>
                <w14:ligatures w14:val="none"/>
              </w:rPr>
              <w:t xml:space="preserve"> in childhood</w:t>
            </w:r>
          </w:p>
        </w:tc>
        <w:tc>
          <w:tcPr>
            <w:tcW w:w="1271" w:type="dxa"/>
          </w:tcPr>
          <w:p w14:paraId="7C56E1E3" w14:textId="77777777" w:rsidR="004B00E6" w:rsidRPr="0016620E" w:rsidRDefault="004B00E6" w:rsidP="00C32DD2">
            <w:pPr>
              <w:spacing w:line="240" w:lineRule="auto"/>
              <w:rPr>
                <w:rFonts w:cs="Arial"/>
              </w:rPr>
            </w:pPr>
            <w:r w:rsidRPr="0016620E">
              <w:rPr>
                <w:rFonts w:cs="Arial"/>
              </w:rPr>
              <w:t>–0.013</w:t>
            </w:r>
          </w:p>
          <w:p w14:paraId="2C24BE86" w14:textId="77777777" w:rsidR="004B00E6" w:rsidRPr="0016620E" w:rsidRDefault="004B00E6" w:rsidP="00C32DD2">
            <w:pPr>
              <w:spacing w:line="240" w:lineRule="auto"/>
              <w:rPr>
                <w:rFonts w:cs="Arial"/>
              </w:rPr>
            </w:pPr>
            <w:r w:rsidRPr="0016620E">
              <w:rPr>
                <w:rFonts w:cs="Arial"/>
              </w:rPr>
              <w:t>(0.014)</w:t>
            </w:r>
          </w:p>
        </w:tc>
        <w:tc>
          <w:tcPr>
            <w:tcW w:w="1559" w:type="dxa"/>
          </w:tcPr>
          <w:p w14:paraId="18ADEB3B" w14:textId="77777777" w:rsidR="004B00E6" w:rsidRPr="0016620E" w:rsidRDefault="004B00E6" w:rsidP="00C32DD2">
            <w:pPr>
              <w:spacing w:line="240" w:lineRule="auto"/>
              <w:rPr>
                <w:rFonts w:cs="Arial"/>
              </w:rPr>
            </w:pPr>
            <w:r w:rsidRPr="0016620E">
              <w:rPr>
                <w:rFonts w:cs="Arial"/>
              </w:rPr>
              <w:t>–0.003</w:t>
            </w:r>
          </w:p>
          <w:p w14:paraId="6325F406" w14:textId="77777777" w:rsidR="004B00E6" w:rsidRPr="0016620E" w:rsidRDefault="004B00E6" w:rsidP="00C32DD2">
            <w:pPr>
              <w:spacing w:line="240" w:lineRule="auto"/>
              <w:rPr>
                <w:rFonts w:cs="Arial"/>
              </w:rPr>
            </w:pPr>
            <w:r w:rsidRPr="0016620E">
              <w:rPr>
                <w:rFonts w:cs="Arial"/>
              </w:rPr>
              <w:t>(0.019)</w:t>
            </w:r>
          </w:p>
        </w:tc>
        <w:tc>
          <w:tcPr>
            <w:tcW w:w="1701" w:type="dxa"/>
            <w:tcBorders>
              <w:right w:val="nil"/>
            </w:tcBorders>
          </w:tcPr>
          <w:p w14:paraId="420F6FDC" w14:textId="77777777" w:rsidR="004B00E6" w:rsidRPr="0016620E" w:rsidRDefault="004B00E6" w:rsidP="00C32DD2">
            <w:pPr>
              <w:spacing w:line="240" w:lineRule="auto"/>
              <w:rPr>
                <w:rFonts w:cs="Arial"/>
              </w:rPr>
            </w:pPr>
            <w:r w:rsidRPr="0016620E">
              <w:rPr>
                <w:rFonts w:cs="Arial"/>
              </w:rPr>
              <w:t>–0.029</w:t>
            </w:r>
          </w:p>
          <w:p w14:paraId="6543110E" w14:textId="77777777" w:rsidR="004B00E6" w:rsidRPr="0016620E" w:rsidRDefault="004B00E6" w:rsidP="00C32DD2">
            <w:pPr>
              <w:spacing w:after="120" w:line="240" w:lineRule="auto"/>
              <w:rPr>
                <w:rFonts w:cs="Arial"/>
              </w:rPr>
            </w:pPr>
            <w:r w:rsidRPr="0016620E">
              <w:rPr>
                <w:rFonts w:cs="Arial"/>
              </w:rPr>
              <w:t>(0.021)</w:t>
            </w:r>
          </w:p>
        </w:tc>
      </w:tr>
      <w:tr w:rsidR="004B00E6" w:rsidRPr="0016620E" w14:paraId="388CFEDC" w14:textId="77777777" w:rsidTr="0095055E">
        <w:trPr>
          <w:jc w:val="center"/>
        </w:trPr>
        <w:tc>
          <w:tcPr>
            <w:tcW w:w="4253" w:type="dxa"/>
            <w:tcBorders>
              <w:left w:val="nil"/>
            </w:tcBorders>
          </w:tcPr>
          <w:p w14:paraId="5BD697BC" w14:textId="06655A8E" w:rsidR="004B00E6" w:rsidRPr="0016620E" w:rsidRDefault="00614B27" w:rsidP="00C32DD2">
            <w:pPr>
              <w:spacing w:line="240" w:lineRule="auto"/>
              <w:rPr>
                <w:rFonts w:cs="Arial"/>
              </w:rPr>
            </w:pPr>
            <w:r w:rsidRPr="0016620E">
              <w:rPr>
                <w:rFonts w:cs="Arial"/>
                <w:w w:val="105"/>
              </w:rPr>
              <w:t>Father unemployed for 6+ months</w:t>
            </w:r>
          </w:p>
        </w:tc>
        <w:tc>
          <w:tcPr>
            <w:tcW w:w="1271" w:type="dxa"/>
          </w:tcPr>
          <w:p w14:paraId="5287E615" w14:textId="77777777" w:rsidR="004B00E6" w:rsidRPr="0016620E" w:rsidRDefault="004B00E6" w:rsidP="00C32DD2">
            <w:pPr>
              <w:spacing w:line="240" w:lineRule="auto"/>
              <w:rPr>
                <w:rFonts w:cs="Arial"/>
              </w:rPr>
            </w:pPr>
            <w:r w:rsidRPr="0016620E">
              <w:rPr>
                <w:rFonts w:cs="Arial"/>
              </w:rPr>
              <w:t>–0.011</w:t>
            </w:r>
          </w:p>
          <w:p w14:paraId="429284DA" w14:textId="77777777" w:rsidR="004B00E6" w:rsidRPr="0016620E" w:rsidRDefault="004B00E6" w:rsidP="00C32DD2">
            <w:pPr>
              <w:spacing w:line="240" w:lineRule="auto"/>
              <w:rPr>
                <w:rFonts w:cs="Arial"/>
              </w:rPr>
            </w:pPr>
            <w:r w:rsidRPr="0016620E">
              <w:rPr>
                <w:rFonts w:cs="Arial"/>
              </w:rPr>
              <w:t>(0.021)</w:t>
            </w:r>
          </w:p>
        </w:tc>
        <w:tc>
          <w:tcPr>
            <w:tcW w:w="1559" w:type="dxa"/>
          </w:tcPr>
          <w:p w14:paraId="09FF7524" w14:textId="77777777" w:rsidR="004B00E6" w:rsidRPr="0016620E" w:rsidRDefault="004B00E6" w:rsidP="00C32DD2">
            <w:pPr>
              <w:spacing w:line="240" w:lineRule="auto"/>
              <w:rPr>
                <w:rFonts w:cs="Arial"/>
              </w:rPr>
            </w:pPr>
            <w:r w:rsidRPr="0016620E">
              <w:rPr>
                <w:rFonts w:cs="Arial"/>
              </w:rPr>
              <w:t>0.021</w:t>
            </w:r>
          </w:p>
          <w:p w14:paraId="283DA6AB" w14:textId="77777777" w:rsidR="004B00E6" w:rsidRPr="0016620E" w:rsidRDefault="004B00E6" w:rsidP="00C32DD2">
            <w:pPr>
              <w:spacing w:line="240" w:lineRule="auto"/>
              <w:rPr>
                <w:rFonts w:cs="Arial"/>
              </w:rPr>
            </w:pPr>
            <w:r w:rsidRPr="0016620E">
              <w:rPr>
                <w:rFonts w:cs="Arial"/>
              </w:rPr>
              <w:t>(0.031)</w:t>
            </w:r>
          </w:p>
        </w:tc>
        <w:tc>
          <w:tcPr>
            <w:tcW w:w="1701" w:type="dxa"/>
            <w:tcBorders>
              <w:right w:val="nil"/>
            </w:tcBorders>
          </w:tcPr>
          <w:p w14:paraId="602FB7A0" w14:textId="77777777" w:rsidR="004B00E6" w:rsidRPr="0016620E" w:rsidRDefault="004B00E6" w:rsidP="00C32DD2">
            <w:pPr>
              <w:spacing w:line="240" w:lineRule="auto"/>
              <w:rPr>
                <w:rFonts w:cs="Arial"/>
              </w:rPr>
            </w:pPr>
            <w:r w:rsidRPr="0016620E">
              <w:rPr>
                <w:rFonts w:cs="Arial"/>
              </w:rPr>
              <w:t>–0.040</w:t>
            </w:r>
          </w:p>
          <w:p w14:paraId="21A4563C" w14:textId="77777777" w:rsidR="004B00E6" w:rsidRPr="0016620E" w:rsidRDefault="004B00E6" w:rsidP="00C32DD2">
            <w:pPr>
              <w:spacing w:after="120" w:line="240" w:lineRule="auto"/>
              <w:rPr>
                <w:rFonts w:cs="Arial"/>
              </w:rPr>
            </w:pPr>
            <w:r w:rsidRPr="0016620E">
              <w:rPr>
                <w:rFonts w:cs="Arial"/>
              </w:rPr>
              <w:t>(0.029)</w:t>
            </w:r>
          </w:p>
        </w:tc>
      </w:tr>
      <w:tr w:rsidR="004B00E6" w:rsidRPr="0016620E" w14:paraId="39F0B90C" w14:textId="77777777" w:rsidTr="0095055E">
        <w:trPr>
          <w:jc w:val="center"/>
        </w:trPr>
        <w:tc>
          <w:tcPr>
            <w:tcW w:w="4253" w:type="dxa"/>
            <w:tcBorders>
              <w:left w:val="nil"/>
              <w:bottom w:val="nil"/>
            </w:tcBorders>
          </w:tcPr>
          <w:p w14:paraId="141A0734" w14:textId="77777777" w:rsidR="004B00E6" w:rsidRPr="0016620E" w:rsidRDefault="004B00E6" w:rsidP="00C32DD2">
            <w:pPr>
              <w:spacing w:line="240" w:lineRule="auto"/>
              <w:rPr>
                <w:rFonts w:cs="Arial"/>
              </w:rPr>
            </w:pPr>
            <w:r w:rsidRPr="0016620E">
              <w:rPr>
                <w:rFonts w:cs="Arial"/>
              </w:rPr>
              <w:t>Single-parent family</w:t>
            </w:r>
          </w:p>
        </w:tc>
        <w:tc>
          <w:tcPr>
            <w:tcW w:w="1271" w:type="dxa"/>
            <w:tcBorders>
              <w:bottom w:val="nil"/>
            </w:tcBorders>
          </w:tcPr>
          <w:p w14:paraId="45932218" w14:textId="77777777" w:rsidR="004B00E6" w:rsidRPr="0016620E" w:rsidRDefault="004B00E6" w:rsidP="00C32DD2">
            <w:pPr>
              <w:spacing w:line="240" w:lineRule="auto"/>
              <w:rPr>
                <w:rFonts w:cs="Arial"/>
              </w:rPr>
            </w:pPr>
            <w:r w:rsidRPr="0016620E">
              <w:rPr>
                <w:rFonts w:cs="Arial"/>
              </w:rPr>
              <w:t>–0.035</w:t>
            </w:r>
          </w:p>
          <w:p w14:paraId="388FC225" w14:textId="77777777" w:rsidR="004B00E6" w:rsidRPr="0016620E" w:rsidRDefault="004B00E6" w:rsidP="00C32DD2">
            <w:pPr>
              <w:spacing w:after="120" w:line="240" w:lineRule="auto"/>
              <w:rPr>
                <w:rFonts w:cs="Arial"/>
              </w:rPr>
            </w:pPr>
            <w:r w:rsidRPr="0016620E">
              <w:rPr>
                <w:rFonts w:cs="Arial"/>
              </w:rPr>
              <w:t>(0.035)</w:t>
            </w:r>
          </w:p>
        </w:tc>
        <w:tc>
          <w:tcPr>
            <w:tcW w:w="1559" w:type="dxa"/>
            <w:tcBorders>
              <w:bottom w:val="nil"/>
            </w:tcBorders>
          </w:tcPr>
          <w:p w14:paraId="7E17CD98" w14:textId="77777777" w:rsidR="004B00E6" w:rsidRPr="0016620E" w:rsidRDefault="004B00E6" w:rsidP="00C32DD2">
            <w:pPr>
              <w:spacing w:line="240" w:lineRule="auto"/>
              <w:rPr>
                <w:rFonts w:cs="Arial"/>
              </w:rPr>
            </w:pPr>
            <w:r w:rsidRPr="0016620E">
              <w:rPr>
                <w:rFonts w:cs="Arial"/>
              </w:rPr>
              <w:t>–0.019</w:t>
            </w:r>
          </w:p>
          <w:p w14:paraId="72373D59" w14:textId="77777777" w:rsidR="004B00E6" w:rsidRPr="0016620E" w:rsidRDefault="004B00E6" w:rsidP="00C32DD2">
            <w:pPr>
              <w:spacing w:after="120" w:line="240" w:lineRule="auto"/>
              <w:rPr>
                <w:rFonts w:cs="Arial"/>
              </w:rPr>
            </w:pPr>
            <w:r w:rsidRPr="0016620E">
              <w:rPr>
                <w:rFonts w:cs="Arial"/>
              </w:rPr>
              <w:t>(0.046)</w:t>
            </w:r>
          </w:p>
        </w:tc>
        <w:tc>
          <w:tcPr>
            <w:tcW w:w="1701" w:type="dxa"/>
            <w:tcBorders>
              <w:bottom w:val="nil"/>
              <w:right w:val="nil"/>
            </w:tcBorders>
          </w:tcPr>
          <w:p w14:paraId="4C39665C" w14:textId="77777777" w:rsidR="004B00E6" w:rsidRPr="0016620E" w:rsidRDefault="004B00E6" w:rsidP="00C32DD2">
            <w:pPr>
              <w:spacing w:line="240" w:lineRule="auto"/>
              <w:rPr>
                <w:rFonts w:cs="Arial"/>
              </w:rPr>
            </w:pPr>
            <w:r w:rsidRPr="0016620E">
              <w:rPr>
                <w:rFonts w:cs="Arial"/>
              </w:rPr>
              <w:t>–0.046</w:t>
            </w:r>
          </w:p>
          <w:p w14:paraId="5118A7F8" w14:textId="77777777" w:rsidR="004B00E6" w:rsidRPr="0016620E" w:rsidRDefault="004B00E6" w:rsidP="00C32DD2">
            <w:pPr>
              <w:spacing w:after="120" w:line="240" w:lineRule="auto"/>
              <w:rPr>
                <w:rFonts w:cs="Arial"/>
              </w:rPr>
            </w:pPr>
            <w:r w:rsidRPr="0016620E">
              <w:rPr>
                <w:rFonts w:cs="Arial"/>
              </w:rPr>
              <w:t>(0.055)</w:t>
            </w:r>
          </w:p>
        </w:tc>
      </w:tr>
      <w:tr w:rsidR="00C57A76" w:rsidRPr="0016620E" w14:paraId="1672881F" w14:textId="77777777" w:rsidTr="0095055E">
        <w:trPr>
          <w:jc w:val="center"/>
        </w:trPr>
        <w:tc>
          <w:tcPr>
            <w:tcW w:w="4253" w:type="dxa"/>
            <w:tcBorders>
              <w:top w:val="nil"/>
              <w:left w:val="nil"/>
              <w:bottom w:val="single" w:sz="4" w:space="0" w:color="auto"/>
            </w:tcBorders>
          </w:tcPr>
          <w:p w14:paraId="0EFA5F54" w14:textId="589EC3CC" w:rsidR="00C57A76" w:rsidRPr="0016620E" w:rsidRDefault="00C57A76" w:rsidP="00C32DD2">
            <w:pPr>
              <w:spacing w:after="120" w:line="240" w:lineRule="auto"/>
              <w:rPr>
                <w:rFonts w:cs="Arial"/>
              </w:rPr>
            </w:pPr>
            <w:r w:rsidRPr="0016620E">
              <w:rPr>
                <w:rFonts w:cs="Arial"/>
              </w:rPr>
              <w:t>Control variables</w:t>
            </w:r>
          </w:p>
        </w:tc>
        <w:tc>
          <w:tcPr>
            <w:tcW w:w="1271" w:type="dxa"/>
            <w:tcBorders>
              <w:top w:val="nil"/>
              <w:bottom w:val="single" w:sz="4" w:space="0" w:color="auto"/>
            </w:tcBorders>
          </w:tcPr>
          <w:p w14:paraId="3627D143" w14:textId="3B0F6B7E" w:rsidR="00C57A76" w:rsidRPr="0016620E" w:rsidRDefault="000D34AA" w:rsidP="00C32DD2">
            <w:pPr>
              <w:spacing w:after="120" w:line="240" w:lineRule="auto"/>
              <w:rPr>
                <w:rFonts w:cs="Arial"/>
              </w:rPr>
            </w:pPr>
            <w:r w:rsidRPr="0016620E">
              <w:rPr>
                <w:rFonts w:cs="Arial"/>
              </w:rPr>
              <w:t>Yes</w:t>
            </w:r>
          </w:p>
        </w:tc>
        <w:tc>
          <w:tcPr>
            <w:tcW w:w="1559" w:type="dxa"/>
            <w:tcBorders>
              <w:top w:val="nil"/>
              <w:bottom w:val="single" w:sz="4" w:space="0" w:color="auto"/>
            </w:tcBorders>
          </w:tcPr>
          <w:p w14:paraId="3093D693" w14:textId="3493C926" w:rsidR="00C57A76" w:rsidRPr="0016620E" w:rsidRDefault="00C57A76" w:rsidP="00C32DD2">
            <w:pPr>
              <w:spacing w:after="120" w:line="240" w:lineRule="auto"/>
              <w:rPr>
                <w:rFonts w:cs="Arial"/>
              </w:rPr>
            </w:pPr>
            <w:r w:rsidRPr="0016620E">
              <w:rPr>
                <w:rFonts w:cs="Arial"/>
              </w:rPr>
              <w:t>Yes</w:t>
            </w:r>
          </w:p>
        </w:tc>
        <w:tc>
          <w:tcPr>
            <w:tcW w:w="1701" w:type="dxa"/>
            <w:tcBorders>
              <w:top w:val="nil"/>
              <w:bottom w:val="single" w:sz="4" w:space="0" w:color="auto"/>
              <w:right w:val="nil"/>
            </w:tcBorders>
          </w:tcPr>
          <w:p w14:paraId="329B9A13" w14:textId="249877D8" w:rsidR="00C57A76" w:rsidRPr="0016620E" w:rsidRDefault="00C57A76" w:rsidP="00C32DD2">
            <w:pPr>
              <w:spacing w:after="120" w:line="240" w:lineRule="auto"/>
              <w:rPr>
                <w:rFonts w:cs="Arial"/>
              </w:rPr>
            </w:pPr>
            <w:r w:rsidRPr="0016620E">
              <w:rPr>
                <w:rFonts w:cs="Arial"/>
              </w:rPr>
              <w:t>Yes</w:t>
            </w:r>
          </w:p>
        </w:tc>
      </w:tr>
      <w:tr w:rsidR="004B00E6" w:rsidRPr="0016620E" w14:paraId="0504B4A4" w14:textId="77777777" w:rsidTr="0095055E">
        <w:trPr>
          <w:jc w:val="center"/>
        </w:trPr>
        <w:tc>
          <w:tcPr>
            <w:tcW w:w="4253" w:type="dxa"/>
            <w:tcBorders>
              <w:top w:val="single" w:sz="4" w:space="0" w:color="auto"/>
              <w:left w:val="nil"/>
              <w:bottom w:val="single" w:sz="4" w:space="0" w:color="auto"/>
            </w:tcBorders>
          </w:tcPr>
          <w:p w14:paraId="62F7E709" w14:textId="77777777" w:rsidR="004B00E6" w:rsidRPr="0016620E" w:rsidRDefault="004B00E6" w:rsidP="00C32DD2">
            <w:pPr>
              <w:spacing w:after="120" w:line="240" w:lineRule="auto"/>
              <w:rPr>
                <w:rFonts w:cs="Arial"/>
                <w:i/>
                <w:iCs/>
              </w:rPr>
            </w:pPr>
            <w:r w:rsidRPr="0016620E">
              <w:rPr>
                <w:rFonts w:cs="Arial"/>
                <w:i/>
                <w:iCs/>
              </w:rPr>
              <w:t>Observations</w:t>
            </w:r>
          </w:p>
        </w:tc>
        <w:tc>
          <w:tcPr>
            <w:tcW w:w="1271" w:type="dxa"/>
            <w:tcBorders>
              <w:top w:val="single" w:sz="4" w:space="0" w:color="auto"/>
              <w:bottom w:val="single" w:sz="4" w:space="0" w:color="auto"/>
            </w:tcBorders>
          </w:tcPr>
          <w:p w14:paraId="5B6730C4" w14:textId="76071706" w:rsidR="004B00E6" w:rsidRPr="007017EF" w:rsidRDefault="004B00E6" w:rsidP="00C32DD2">
            <w:pPr>
              <w:spacing w:after="120" w:line="240" w:lineRule="auto"/>
              <w:rPr>
                <w:rFonts w:cs="Arial"/>
              </w:rPr>
            </w:pPr>
            <w:r w:rsidRPr="007017EF">
              <w:rPr>
                <w:rFonts w:cs="Arial"/>
              </w:rPr>
              <w:t>4910</w:t>
            </w:r>
          </w:p>
        </w:tc>
        <w:tc>
          <w:tcPr>
            <w:tcW w:w="1559" w:type="dxa"/>
            <w:tcBorders>
              <w:top w:val="single" w:sz="4" w:space="0" w:color="auto"/>
              <w:bottom w:val="single" w:sz="4" w:space="0" w:color="auto"/>
            </w:tcBorders>
          </w:tcPr>
          <w:p w14:paraId="20C6A9A5" w14:textId="090B2A4F" w:rsidR="004B00E6" w:rsidRPr="007017EF" w:rsidRDefault="004B00E6" w:rsidP="00C32DD2">
            <w:pPr>
              <w:spacing w:after="120" w:line="240" w:lineRule="auto"/>
              <w:rPr>
                <w:rFonts w:cs="Arial"/>
              </w:rPr>
            </w:pPr>
            <w:r w:rsidRPr="007017EF">
              <w:rPr>
                <w:rFonts w:cs="Arial"/>
              </w:rPr>
              <w:t>2578</w:t>
            </w:r>
          </w:p>
        </w:tc>
        <w:tc>
          <w:tcPr>
            <w:tcW w:w="1701" w:type="dxa"/>
            <w:tcBorders>
              <w:top w:val="single" w:sz="4" w:space="0" w:color="auto"/>
              <w:bottom w:val="single" w:sz="4" w:space="0" w:color="auto"/>
              <w:right w:val="nil"/>
            </w:tcBorders>
          </w:tcPr>
          <w:p w14:paraId="0066DBA3" w14:textId="0C62C62F" w:rsidR="004B00E6" w:rsidRPr="007017EF" w:rsidRDefault="004B00E6" w:rsidP="00C32DD2">
            <w:pPr>
              <w:spacing w:after="120" w:line="240" w:lineRule="auto"/>
              <w:rPr>
                <w:rFonts w:cs="Arial"/>
              </w:rPr>
            </w:pPr>
            <w:r w:rsidRPr="007017EF">
              <w:rPr>
                <w:rFonts w:cs="Arial"/>
              </w:rPr>
              <w:t>2332</w:t>
            </w:r>
          </w:p>
        </w:tc>
      </w:tr>
    </w:tbl>
    <w:p w14:paraId="2092A271" w14:textId="614E241B" w:rsidR="004B00E6" w:rsidRPr="0095055E" w:rsidRDefault="004B00E6" w:rsidP="00750DC0">
      <w:pPr>
        <w:spacing w:line="240" w:lineRule="auto"/>
        <w:ind w:left="227" w:right="284"/>
        <w:rPr>
          <w:rFonts w:eastAsia="Arial" w:cs="Arial"/>
          <w:i/>
          <w:iCs/>
          <w:w w:val="105"/>
          <w:kern w:val="0"/>
          <w:sz w:val="18"/>
          <w:szCs w:val="18"/>
          <w14:ligatures w14:val="none"/>
        </w:rPr>
      </w:pPr>
      <w:r w:rsidRPr="0095055E">
        <w:rPr>
          <w:rFonts w:eastAsia="Arial" w:cs="Arial"/>
          <w:i/>
          <w:iCs/>
          <w:w w:val="105"/>
          <w:kern w:val="0"/>
          <w:sz w:val="18"/>
          <w:szCs w:val="18"/>
          <w14:ligatures w14:val="none"/>
        </w:rPr>
        <w:t xml:space="preserve">Notes: </w:t>
      </w:r>
      <w:r w:rsidR="00330547" w:rsidRPr="0095055E">
        <w:rPr>
          <w:rFonts w:eastAsia="Arial" w:cs="Arial"/>
          <w:i/>
          <w:iCs/>
          <w:w w:val="105"/>
          <w:kern w:val="0"/>
          <w:sz w:val="18"/>
          <w:szCs w:val="18"/>
          <w14:ligatures w14:val="none"/>
        </w:rPr>
        <w:t>The c</w:t>
      </w:r>
      <w:r w:rsidRPr="0095055E">
        <w:rPr>
          <w:rFonts w:eastAsia="Arial" w:cs="Arial"/>
          <w:i/>
          <w:iCs/>
          <w:w w:val="105"/>
          <w:kern w:val="0"/>
          <w:sz w:val="18"/>
          <w:szCs w:val="18"/>
          <w14:ligatures w14:val="none"/>
        </w:rPr>
        <w:t xml:space="preserve">ontrol variables include dummies for year of birth, gender, whether born in Australia, number of siblings, whether living in a major city, and dummies for </w:t>
      </w:r>
      <w:r w:rsidR="00A55203" w:rsidRPr="0095055E">
        <w:rPr>
          <w:rFonts w:eastAsia="Arial" w:cs="Arial"/>
          <w:i/>
          <w:iCs/>
          <w:w w:val="105"/>
          <w:kern w:val="0"/>
          <w:sz w:val="18"/>
          <w:szCs w:val="18"/>
          <w14:ligatures w14:val="none"/>
        </w:rPr>
        <w:t>s</w:t>
      </w:r>
      <w:r w:rsidRPr="0095055E">
        <w:rPr>
          <w:rFonts w:eastAsia="Arial" w:cs="Arial"/>
          <w:i/>
          <w:iCs/>
          <w:w w:val="105"/>
          <w:kern w:val="0"/>
          <w:sz w:val="18"/>
          <w:szCs w:val="18"/>
          <w14:ligatures w14:val="none"/>
        </w:rPr>
        <w:t>tate of residence and HILDA waves. Robust standard errors are in parenthes</w:t>
      </w:r>
      <w:r w:rsidR="00BE307E" w:rsidRPr="0095055E">
        <w:rPr>
          <w:rFonts w:eastAsia="Arial" w:cs="Arial"/>
          <w:i/>
          <w:iCs/>
          <w:w w:val="105"/>
          <w:kern w:val="0"/>
          <w:sz w:val="18"/>
          <w:szCs w:val="18"/>
          <w14:ligatures w14:val="none"/>
        </w:rPr>
        <w:t>e</w:t>
      </w:r>
      <w:r w:rsidRPr="0095055E">
        <w:rPr>
          <w:rFonts w:eastAsia="Arial" w:cs="Arial"/>
          <w:i/>
          <w:iCs/>
          <w:w w:val="105"/>
          <w:kern w:val="0"/>
          <w:sz w:val="18"/>
          <w:szCs w:val="18"/>
          <w14:ligatures w14:val="none"/>
        </w:rPr>
        <w:t>s. *** p&lt;0.01; ** p&lt;0.05; * p&lt;0.10.</w:t>
      </w:r>
    </w:p>
    <w:p w14:paraId="6D764CEB" w14:textId="4424FBB0" w:rsidR="007F231A" w:rsidRPr="00590838" w:rsidRDefault="00044C11" w:rsidP="00721EB3">
      <w:pPr>
        <w:rPr>
          <w:w w:val="105"/>
        </w:rPr>
      </w:pPr>
      <w:r>
        <w:rPr>
          <w:w w:val="105"/>
        </w:rPr>
        <w:t xml:space="preserve">As </w:t>
      </w:r>
      <w:r w:rsidR="00B12AAC" w:rsidRPr="00B12AAC">
        <w:rPr>
          <w:w w:val="105"/>
        </w:rPr>
        <w:t xml:space="preserve">shown in Table </w:t>
      </w:r>
      <w:r w:rsidR="0066493B">
        <w:rPr>
          <w:w w:val="105"/>
        </w:rPr>
        <w:t>3</w:t>
      </w:r>
      <w:r w:rsidR="00B12AAC" w:rsidRPr="00B12AAC">
        <w:rPr>
          <w:w w:val="105"/>
        </w:rPr>
        <w:t xml:space="preserve">, </w:t>
      </w:r>
      <w:r w:rsidR="003D195B">
        <w:rPr>
          <w:w w:val="105"/>
        </w:rPr>
        <w:t>of</w:t>
      </w:r>
      <w:r w:rsidR="00B12AAC" w:rsidRPr="00B12AAC">
        <w:rPr>
          <w:w w:val="105"/>
        </w:rPr>
        <w:t xml:space="preserve"> the five indicators of </w:t>
      </w:r>
      <w:r w:rsidR="0097512D">
        <w:rPr>
          <w:w w:val="105"/>
        </w:rPr>
        <w:t>socio-economic</w:t>
      </w:r>
      <w:r w:rsidR="00DB5B67">
        <w:rPr>
          <w:w w:val="105"/>
        </w:rPr>
        <w:t xml:space="preserve"> </w:t>
      </w:r>
      <w:r w:rsidR="00DB5B67" w:rsidRPr="00BD38F3">
        <w:rPr>
          <w:w w:val="105"/>
        </w:rPr>
        <w:t>backgrounds</w:t>
      </w:r>
      <w:r w:rsidR="00B12AAC" w:rsidRPr="00B12AAC">
        <w:rPr>
          <w:w w:val="105"/>
        </w:rPr>
        <w:t xml:space="preserve">, NESB is the only significant predictor of selecting a high-paying field of study. Specifically, </w:t>
      </w:r>
      <w:r w:rsidR="00C47157" w:rsidRPr="00C47157">
        <w:rPr>
          <w:w w:val="105"/>
        </w:rPr>
        <w:t>NESB students are 16 percentage points more likely to choose a high-paying subject than their ESB counterparts</w:t>
      </w:r>
      <w:r w:rsidR="00B12AAC" w:rsidRPr="00B12AAC">
        <w:rPr>
          <w:w w:val="105"/>
        </w:rPr>
        <w:t xml:space="preserve">, </w:t>
      </w:r>
      <w:r w:rsidR="001E6751">
        <w:rPr>
          <w:w w:val="105"/>
        </w:rPr>
        <w:t>and</w:t>
      </w:r>
      <w:r w:rsidR="00B12AAC" w:rsidRPr="00B12AAC">
        <w:rPr>
          <w:w w:val="105"/>
        </w:rPr>
        <w:t xml:space="preserve"> this estimate </w:t>
      </w:r>
      <w:r w:rsidR="001E6751">
        <w:rPr>
          <w:w w:val="105"/>
        </w:rPr>
        <w:t>is</w:t>
      </w:r>
      <w:r w:rsidR="00B12AAC" w:rsidRPr="00B12AAC">
        <w:rPr>
          <w:w w:val="105"/>
        </w:rPr>
        <w:t xml:space="preserve"> statistically significant at the 1% level. </w:t>
      </w:r>
      <w:r w:rsidR="000A1920">
        <w:rPr>
          <w:w w:val="105"/>
        </w:rPr>
        <w:t>Moreover</w:t>
      </w:r>
      <w:r w:rsidR="00B12AAC" w:rsidRPr="00B12AAC">
        <w:rPr>
          <w:w w:val="105"/>
        </w:rPr>
        <w:t xml:space="preserve">, the proportion of NESB Australians in high-paying academic fields is higher </w:t>
      </w:r>
      <w:r w:rsidR="00192918">
        <w:rPr>
          <w:w w:val="105"/>
        </w:rPr>
        <w:t>in</w:t>
      </w:r>
      <w:r w:rsidR="00B12AAC" w:rsidRPr="00B12AAC">
        <w:rPr>
          <w:w w:val="105"/>
        </w:rPr>
        <w:t xml:space="preserve"> the younger birth cohort </w:t>
      </w:r>
      <w:r w:rsidR="004A03CA">
        <w:rPr>
          <w:w w:val="105"/>
        </w:rPr>
        <w:t xml:space="preserve">than </w:t>
      </w:r>
      <w:r w:rsidR="00192918">
        <w:rPr>
          <w:w w:val="105"/>
        </w:rPr>
        <w:t>in</w:t>
      </w:r>
      <w:r w:rsidR="00B12AAC" w:rsidRPr="00B12AAC">
        <w:rPr>
          <w:w w:val="105"/>
        </w:rPr>
        <w:t xml:space="preserve"> the older cohort.</w:t>
      </w:r>
      <w:r w:rsidR="007F231A" w:rsidRPr="00590838">
        <w:rPr>
          <w:w w:val="105"/>
        </w:rPr>
        <w:t xml:space="preserve"> </w:t>
      </w:r>
      <w:r w:rsidR="000A1920" w:rsidRPr="00B12AAC">
        <w:rPr>
          <w:w w:val="105"/>
        </w:rPr>
        <w:t xml:space="preserve">The estimates for the </w:t>
      </w:r>
      <w:r w:rsidR="00192918">
        <w:rPr>
          <w:w w:val="105"/>
        </w:rPr>
        <w:t>other</w:t>
      </w:r>
      <w:r w:rsidR="000A1920" w:rsidRPr="00B12AAC">
        <w:rPr>
          <w:w w:val="105"/>
        </w:rPr>
        <w:t xml:space="preserve"> four indicators of childhood </w:t>
      </w:r>
      <w:r w:rsidR="0097512D">
        <w:rPr>
          <w:w w:val="105"/>
        </w:rPr>
        <w:t>socio-economic</w:t>
      </w:r>
      <w:r w:rsidR="00FB1453" w:rsidRPr="00BC1650">
        <w:rPr>
          <w:w w:val="105"/>
        </w:rPr>
        <w:t xml:space="preserve"> background</w:t>
      </w:r>
      <w:r w:rsidR="00FB1453">
        <w:rPr>
          <w:w w:val="105"/>
        </w:rPr>
        <w:t>s</w:t>
      </w:r>
      <w:r w:rsidR="000A1920" w:rsidRPr="00B12AAC">
        <w:rPr>
          <w:w w:val="105"/>
        </w:rPr>
        <w:t xml:space="preserve"> are generally small, negative, and not statistically significant.</w:t>
      </w:r>
    </w:p>
    <w:p w14:paraId="2DC77227" w14:textId="77777777" w:rsidR="00B47946" w:rsidRDefault="00B47946">
      <w:pPr>
        <w:spacing w:line="259" w:lineRule="auto"/>
        <w:rPr>
          <w:rFonts w:cs="Arial"/>
          <w:i/>
          <w:iCs/>
          <w:color w:val="080808"/>
        </w:rPr>
      </w:pPr>
      <w:bookmarkStart w:id="51" w:name="_Ref184722696"/>
      <w:r>
        <w:rPr>
          <w:rFonts w:cs="Arial"/>
          <w:color w:val="080808"/>
        </w:rPr>
        <w:br w:type="page"/>
      </w:r>
    </w:p>
    <w:p w14:paraId="0F3DFCA2" w14:textId="0D205E1F" w:rsidR="004B00E6" w:rsidRPr="00BF48E1" w:rsidRDefault="006A3964" w:rsidP="00BF48E1">
      <w:pPr>
        <w:pStyle w:val="Caption"/>
        <w:rPr>
          <w:rFonts w:cs="Arial"/>
          <w:color w:val="080808"/>
          <w:lang w:eastAsia="en-AU"/>
        </w:rPr>
      </w:pPr>
      <w:bookmarkStart w:id="52" w:name="_Toc222998787"/>
      <w:r w:rsidRPr="00BF48E1">
        <w:rPr>
          <w:rFonts w:cs="Arial"/>
          <w:color w:val="080808"/>
        </w:rPr>
        <w:lastRenderedPageBreak/>
        <w:t xml:space="preserve">Table </w:t>
      </w:r>
      <w:r w:rsidR="007C1B95" w:rsidRPr="00BF48E1">
        <w:rPr>
          <w:rFonts w:cs="Arial"/>
          <w:color w:val="080808"/>
        </w:rPr>
        <w:fldChar w:fldCharType="begin"/>
      </w:r>
      <w:r w:rsidR="007C1B95" w:rsidRPr="00BF48E1">
        <w:rPr>
          <w:rFonts w:cs="Arial"/>
          <w:color w:val="080808"/>
        </w:rPr>
        <w:instrText xml:space="preserve"> SEQ Table \* ARABIC </w:instrText>
      </w:r>
      <w:r w:rsidR="007C1B95" w:rsidRPr="00BF48E1">
        <w:rPr>
          <w:rFonts w:cs="Arial"/>
          <w:color w:val="080808"/>
        </w:rPr>
        <w:fldChar w:fldCharType="separate"/>
      </w:r>
      <w:r w:rsidR="00392C8C" w:rsidRPr="00BF48E1">
        <w:rPr>
          <w:rFonts w:cs="Arial"/>
          <w:noProof/>
          <w:color w:val="080808"/>
        </w:rPr>
        <w:t>4</w:t>
      </w:r>
      <w:r w:rsidR="007C1B95" w:rsidRPr="00BF48E1">
        <w:rPr>
          <w:rFonts w:cs="Arial"/>
          <w:color w:val="080808"/>
        </w:rPr>
        <w:fldChar w:fldCharType="end"/>
      </w:r>
      <w:bookmarkEnd w:id="51"/>
      <w:r w:rsidR="004B00E6" w:rsidRPr="00BF48E1">
        <w:rPr>
          <w:rFonts w:cs="Arial"/>
          <w:color w:val="080808"/>
          <w:lang w:eastAsia="en-AU"/>
        </w:rPr>
        <w:t xml:space="preserve">: </w:t>
      </w:r>
      <w:r w:rsidR="003D04E9" w:rsidRPr="00BF48E1">
        <w:rPr>
          <w:rFonts w:cs="Arial"/>
          <w:color w:val="080808"/>
          <w:lang w:eastAsia="en-AU"/>
        </w:rPr>
        <w:t>Probability</w:t>
      </w:r>
      <w:r w:rsidR="004B00E6" w:rsidRPr="00BF48E1">
        <w:rPr>
          <w:rFonts w:cs="Arial"/>
          <w:color w:val="080808"/>
          <w:lang w:eastAsia="en-AU"/>
        </w:rPr>
        <w:t xml:space="preserve"> of choosing a low-paying </w:t>
      </w:r>
      <w:r w:rsidR="008B4F30" w:rsidRPr="00BF48E1">
        <w:rPr>
          <w:rFonts w:cs="Arial"/>
          <w:color w:val="080808"/>
          <w:lang w:eastAsia="en-AU"/>
        </w:rPr>
        <w:t>field of study</w:t>
      </w:r>
      <w:bookmarkEnd w:id="52"/>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4253"/>
        <w:gridCol w:w="1271"/>
        <w:gridCol w:w="1559"/>
        <w:gridCol w:w="1701"/>
      </w:tblGrid>
      <w:tr w:rsidR="004B00E6" w:rsidRPr="0016620E" w14:paraId="10CFE3CB" w14:textId="77777777" w:rsidTr="0095055E">
        <w:trPr>
          <w:jc w:val="center"/>
        </w:trPr>
        <w:tc>
          <w:tcPr>
            <w:tcW w:w="4253" w:type="dxa"/>
            <w:tcBorders>
              <w:top w:val="single" w:sz="4" w:space="0" w:color="auto"/>
              <w:left w:val="nil"/>
              <w:bottom w:val="single" w:sz="4" w:space="0" w:color="auto"/>
            </w:tcBorders>
            <w:shd w:val="clear" w:color="auto" w:fill="78DED9" w:themeFill="accent1"/>
          </w:tcPr>
          <w:p w14:paraId="581184B7" w14:textId="77777777" w:rsidR="004B00E6" w:rsidRPr="00D75CF3" w:rsidRDefault="004B00E6" w:rsidP="00C32DD2">
            <w:pPr>
              <w:spacing w:after="120" w:line="240" w:lineRule="auto"/>
              <w:rPr>
                <w:rFonts w:cs="Arial"/>
                <w:b/>
                <w:bCs/>
              </w:rPr>
            </w:pPr>
          </w:p>
        </w:tc>
        <w:tc>
          <w:tcPr>
            <w:tcW w:w="1271" w:type="dxa"/>
            <w:tcBorders>
              <w:top w:val="single" w:sz="4" w:space="0" w:color="auto"/>
              <w:bottom w:val="single" w:sz="4" w:space="0" w:color="auto"/>
            </w:tcBorders>
            <w:shd w:val="clear" w:color="auto" w:fill="78DED9" w:themeFill="accent1"/>
          </w:tcPr>
          <w:p w14:paraId="331D48F8" w14:textId="77777777" w:rsidR="004B00E6" w:rsidRPr="00D75CF3" w:rsidRDefault="004B00E6" w:rsidP="00C32DD2">
            <w:pPr>
              <w:spacing w:after="120" w:line="240" w:lineRule="auto"/>
              <w:rPr>
                <w:rFonts w:cs="Arial"/>
                <w:b/>
                <w:bCs/>
              </w:rPr>
            </w:pPr>
            <w:r w:rsidRPr="00D75CF3">
              <w:rPr>
                <w:rFonts w:cs="Arial"/>
                <w:b/>
                <w:bCs/>
              </w:rPr>
              <w:t>All</w:t>
            </w:r>
          </w:p>
        </w:tc>
        <w:tc>
          <w:tcPr>
            <w:tcW w:w="1559" w:type="dxa"/>
            <w:tcBorders>
              <w:top w:val="single" w:sz="4" w:space="0" w:color="auto"/>
              <w:bottom w:val="single" w:sz="4" w:space="0" w:color="auto"/>
            </w:tcBorders>
            <w:shd w:val="clear" w:color="auto" w:fill="78DED9" w:themeFill="accent1"/>
          </w:tcPr>
          <w:p w14:paraId="05852438" w14:textId="77777777" w:rsidR="004B00E6" w:rsidRPr="00D75CF3" w:rsidRDefault="004B00E6" w:rsidP="00C32DD2">
            <w:pPr>
              <w:spacing w:after="120" w:line="240" w:lineRule="auto"/>
              <w:rPr>
                <w:rFonts w:cs="Arial"/>
                <w:b/>
                <w:bCs/>
              </w:rPr>
            </w:pPr>
            <w:r w:rsidRPr="00D75CF3">
              <w:rPr>
                <w:rFonts w:cs="Arial"/>
                <w:b/>
                <w:bCs/>
              </w:rPr>
              <w:t>Born before 1980</w:t>
            </w:r>
          </w:p>
        </w:tc>
        <w:tc>
          <w:tcPr>
            <w:tcW w:w="1701" w:type="dxa"/>
            <w:tcBorders>
              <w:top w:val="single" w:sz="4" w:space="0" w:color="auto"/>
              <w:bottom w:val="single" w:sz="4" w:space="0" w:color="auto"/>
              <w:right w:val="nil"/>
            </w:tcBorders>
            <w:shd w:val="clear" w:color="auto" w:fill="78DED9" w:themeFill="accent1"/>
          </w:tcPr>
          <w:p w14:paraId="5FCB2ED1" w14:textId="3FF1252D" w:rsidR="004B00E6" w:rsidRPr="00D75CF3" w:rsidRDefault="004B00E6" w:rsidP="00C32DD2">
            <w:pPr>
              <w:spacing w:after="120" w:line="240" w:lineRule="auto"/>
              <w:rPr>
                <w:rFonts w:cs="Arial"/>
                <w:b/>
                <w:bCs/>
              </w:rPr>
            </w:pPr>
            <w:r w:rsidRPr="00D75CF3">
              <w:rPr>
                <w:rFonts w:cs="Arial"/>
                <w:b/>
                <w:bCs/>
              </w:rPr>
              <w:t xml:space="preserve">Born in 1980 </w:t>
            </w:r>
            <w:r w:rsidR="000B3585">
              <w:rPr>
                <w:rFonts w:cs="Arial"/>
                <w:b/>
                <w:bCs/>
              </w:rPr>
              <w:t>or</w:t>
            </w:r>
            <w:r w:rsidRPr="00D75CF3">
              <w:rPr>
                <w:rFonts w:cs="Arial"/>
                <w:b/>
                <w:bCs/>
              </w:rPr>
              <w:t xml:space="preserve"> later</w:t>
            </w:r>
          </w:p>
        </w:tc>
      </w:tr>
      <w:tr w:rsidR="004B00E6" w:rsidRPr="0016620E" w14:paraId="32355D3C" w14:textId="77777777" w:rsidTr="0095055E">
        <w:trPr>
          <w:jc w:val="center"/>
        </w:trPr>
        <w:tc>
          <w:tcPr>
            <w:tcW w:w="4253" w:type="dxa"/>
            <w:tcBorders>
              <w:top w:val="single" w:sz="4" w:space="0" w:color="auto"/>
              <w:left w:val="nil"/>
            </w:tcBorders>
          </w:tcPr>
          <w:p w14:paraId="12628A63" w14:textId="5804B9CE" w:rsidR="004B00E6" w:rsidRPr="0016620E" w:rsidRDefault="003023B0" w:rsidP="00C32DD2">
            <w:pPr>
              <w:spacing w:line="240" w:lineRule="auto"/>
              <w:rPr>
                <w:rFonts w:cs="Arial"/>
              </w:rPr>
            </w:pPr>
            <w:r w:rsidRPr="0016620E">
              <w:rPr>
                <w:rFonts w:cs="Arial"/>
              </w:rPr>
              <w:t>Indigenous</w:t>
            </w:r>
          </w:p>
        </w:tc>
        <w:tc>
          <w:tcPr>
            <w:tcW w:w="1271" w:type="dxa"/>
            <w:tcBorders>
              <w:top w:val="single" w:sz="4" w:space="0" w:color="auto"/>
            </w:tcBorders>
          </w:tcPr>
          <w:p w14:paraId="6963AECF" w14:textId="1E65C5A6" w:rsidR="004B00E6" w:rsidRPr="0016620E" w:rsidRDefault="004B00E6" w:rsidP="00C32DD2">
            <w:pPr>
              <w:spacing w:line="240" w:lineRule="auto"/>
              <w:rPr>
                <w:rFonts w:cs="Arial"/>
              </w:rPr>
            </w:pPr>
            <w:r w:rsidRPr="0016620E">
              <w:rPr>
                <w:rFonts w:cs="Arial"/>
              </w:rPr>
              <w:t>0.</w:t>
            </w:r>
            <w:r w:rsidR="00EB549B" w:rsidRPr="0016620E">
              <w:rPr>
                <w:rFonts w:cs="Arial"/>
              </w:rPr>
              <w:t>00</w:t>
            </w:r>
            <w:r w:rsidR="00EB549B">
              <w:rPr>
                <w:rFonts w:cs="Arial"/>
              </w:rPr>
              <w:t>6</w:t>
            </w:r>
          </w:p>
          <w:p w14:paraId="303639E7" w14:textId="415C2D06" w:rsidR="004B00E6" w:rsidRPr="0016620E" w:rsidRDefault="004B00E6" w:rsidP="00C32DD2">
            <w:pPr>
              <w:spacing w:line="240" w:lineRule="auto"/>
              <w:rPr>
                <w:rFonts w:cs="Arial"/>
              </w:rPr>
            </w:pPr>
            <w:r w:rsidRPr="0016620E">
              <w:rPr>
                <w:rFonts w:cs="Arial"/>
              </w:rPr>
              <w:t>(0.0</w:t>
            </w:r>
            <w:r w:rsidR="00EB549B">
              <w:rPr>
                <w:rFonts w:cs="Arial"/>
              </w:rPr>
              <w:t>64</w:t>
            </w:r>
            <w:r w:rsidRPr="0016620E">
              <w:rPr>
                <w:rFonts w:cs="Arial"/>
              </w:rPr>
              <w:t>)</w:t>
            </w:r>
          </w:p>
        </w:tc>
        <w:tc>
          <w:tcPr>
            <w:tcW w:w="1559" w:type="dxa"/>
            <w:tcBorders>
              <w:top w:val="single" w:sz="4" w:space="0" w:color="auto"/>
            </w:tcBorders>
          </w:tcPr>
          <w:p w14:paraId="2B5832AE" w14:textId="0838101B" w:rsidR="004B00E6" w:rsidRPr="0016620E" w:rsidRDefault="004B00E6" w:rsidP="00C32DD2">
            <w:pPr>
              <w:spacing w:line="240" w:lineRule="auto"/>
              <w:rPr>
                <w:rFonts w:cs="Arial"/>
              </w:rPr>
            </w:pPr>
            <w:r w:rsidRPr="0016620E">
              <w:rPr>
                <w:rFonts w:cs="Arial"/>
              </w:rPr>
              <w:t>0.</w:t>
            </w:r>
            <w:r w:rsidR="0016449C" w:rsidRPr="0016620E">
              <w:rPr>
                <w:rFonts w:cs="Arial"/>
              </w:rPr>
              <w:t>0</w:t>
            </w:r>
            <w:r w:rsidR="0016449C">
              <w:rPr>
                <w:rFonts w:cs="Arial"/>
              </w:rPr>
              <w:t>38</w:t>
            </w:r>
          </w:p>
          <w:p w14:paraId="719CF5EE" w14:textId="69CE95E0" w:rsidR="004B00E6" w:rsidRPr="0016620E" w:rsidRDefault="004B00E6" w:rsidP="00C32DD2">
            <w:pPr>
              <w:spacing w:line="240" w:lineRule="auto"/>
              <w:rPr>
                <w:rFonts w:cs="Arial"/>
              </w:rPr>
            </w:pPr>
            <w:r w:rsidRPr="0016620E">
              <w:rPr>
                <w:rFonts w:cs="Arial"/>
              </w:rPr>
              <w:t>(0.</w:t>
            </w:r>
            <w:r w:rsidR="0016449C" w:rsidRPr="0016620E">
              <w:rPr>
                <w:rFonts w:cs="Arial"/>
              </w:rPr>
              <w:t>0</w:t>
            </w:r>
            <w:r w:rsidR="0016449C">
              <w:rPr>
                <w:rFonts w:cs="Arial"/>
              </w:rPr>
              <w:t>93</w:t>
            </w:r>
            <w:r w:rsidRPr="0016620E">
              <w:rPr>
                <w:rFonts w:cs="Arial"/>
              </w:rPr>
              <w:t>)</w:t>
            </w:r>
          </w:p>
        </w:tc>
        <w:tc>
          <w:tcPr>
            <w:tcW w:w="1701" w:type="dxa"/>
            <w:tcBorders>
              <w:top w:val="single" w:sz="4" w:space="0" w:color="auto"/>
              <w:right w:val="nil"/>
            </w:tcBorders>
          </w:tcPr>
          <w:p w14:paraId="2D93988F" w14:textId="3558A9D0" w:rsidR="004B00E6" w:rsidRPr="0016620E" w:rsidRDefault="004B00E6" w:rsidP="00C32DD2">
            <w:pPr>
              <w:spacing w:line="240" w:lineRule="auto"/>
              <w:rPr>
                <w:rFonts w:cs="Arial"/>
              </w:rPr>
            </w:pPr>
            <w:r w:rsidRPr="0016620E">
              <w:rPr>
                <w:rFonts w:cs="Arial"/>
              </w:rPr>
              <w:t>–0.</w:t>
            </w:r>
            <w:r w:rsidR="001C7D0F" w:rsidRPr="0016620E">
              <w:rPr>
                <w:rFonts w:cs="Arial"/>
              </w:rPr>
              <w:t>02</w:t>
            </w:r>
            <w:r w:rsidR="001C7D0F">
              <w:rPr>
                <w:rFonts w:cs="Arial"/>
              </w:rPr>
              <w:t>6</w:t>
            </w:r>
          </w:p>
          <w:p w14:paraId="12506B69" w14:textId="25775892" w:rsidR="004B00E6" w:rsidRPr="0016620E" w:rsidRDefault="004B00E6" w:rsidP="00C32DD2">
            <w:pPr>
              <w:spacing w:after="120" w:line="240" w:lineRule="auto"/>
              <w:rPr>
                <w:rFonts w:cs="Arial"/>
              </w:rPr>
            </w:pPr>
            <w:r w:rsidRPr="0016620E">
              <w:rPr>
                <w:rFonts w:cs="Arial"/>
              </w:rPr>
              <w:t>(0.</w:t>
            </w:r>
            <w:r w:rsidR="001C7D0F" w:rsidRPr="0016620E">
              <w:rPr>
                <w:rFonts w:cs="Arial"/>
              </w:rPr>
              <w:t>08</w:t>
            </w:r>
            <w:r w:rsidR="001C7D0F">
              <w:rPr>
                <w:rFonts w:cs="Arial"/>
              </w:rPr>
              <w:t>7</w:t>
            </w:r>
            <w:r w:rsidRPr="0016620E">
              <w:rPr>
                <w:rFonts w:cs="Arial"/>
              </w:rPr>
              <w:t>)</w:t>
            </w:r>
          </w:p>
        </w:tc>
      </w:tr>
      <w:tr w:rsidR="004B00E6" w:rsidRPr="0016620E" w14:paraId="20F16900" w14:textId="77777777" w:rsidTr="0095055E">
        <w:trPr>
          <w:jc w:val="center"/>
        </w:trPr>
        <w:tc>
          <w:tcPr>
            <w:tcW w:w="4253" w:type="dxa"/>
            <w:tcBorders>
              <w:left w:val="nil"/>
            </w:tcBorders>
          </w:tcPr>
          <w:p w14:paraId="44468237" w14:textId="77777777" w:rsidR="004B00E6" w:rsidRPr="0016620E" w:rsidRDefault="004B00E6" w:rsidP="00C32DD2">
            <w:pPr>
              <w:spacing w:line="240" w:lineRule="auto"/>
              <w:rPr>
                <w:rFonts w:cs="Arial"/>
              </w:rPr>
            </w:pPr>
            <w:r w:rsidRPr="0016620E">
              <w:rPr>
                <w:rFonts w:cs="Arial"/>
              </w:rPr>
              <w:t>NESB</w:t>
            </w:r>
          </w:p>
        </w:tc>
        <w:tc>
          <w:tcPr>
            <w:tcW w:w="1271" w:type="dxa"/>
          </w:tcPr>
          <w:p w14:paraId="5FFE5364" w14:textId="6E8DA1DE" w:rsidR="004B00E6" w:rsidRPr="0016620E" w:rsidRDefault="004B00E6" w:rsidP="00C32DD2">
            <w:pPr>
              <w:spacing w:line="240" w:lineRule="auto"/>
              <w:rPr>
                <w:rFonts w:cs="Arial"/>
              </w:rPr>
            </w:pPr>
            <w:r w:rsidRPr="0016620E">
              <w:rPr>
                <w:rFonts w:cs="Arial"/>
              </w:rPr>
              <w:t>–0.</w:t>
            </w:r>
            <w:r w:rsidR="00EB549B">
              <w:rPr>
                <w:rFonts w:cs="Arial"/>
              </w:rPr>
              <w:t>107*</w:t>
            </w:r>
            <w:r w:rsidRPr="0016620E">
              <w:rPr>
                <w:rFonts w:cs="Arial"/>
              </w:rPr>
              <w:t>*</w:t>
            </w:r>
          </w:p>
          <w:p w14:paraId="3AD2143F" w14:textId="4A87B0C4" w:rsidR="004B00E6" w:rsidRPr="0016620E" w:rsidRDefault="004B00E6" w:rsidP="00C32DD2">
            <w:pPr>
              <w:spacing w:line="240" w:lineRule="auto"/>
              <w:rPr>
                <w:rFonts w:cs="Arial"/>
              </w:rPr>
            </w:pPr>
            <w:r w:rsidRPr="0016620E">
              <w:rPr>
                <w:rFonts w:cs="Arial"/>
              </w:rPr>
              <w:t>(0.</w:t>
            </w:r>
            <w:r w:rsidR="00EB549B" w:rsidRPr="0016620E">
              <w:rPr>
                <w:rFonts w:cs="Arial"/>
              </w:rPr>
              <w:t>02</w:t>
            </w:r>
            <w:r w:rsidR="00EB549B">
              <w:rPr>
                <w:rFonts w:cs="Arial"/>
              </w:rPr>
              <w:t>5</w:t>
            </w:r>
            <w:r w:rsidRPr="0016620E">
              <w:rPr>
                <w:rFonts w:cs="Arial"/>
              </w:rPr>
              <w:t>)</w:t>
            </w:r>
          </w:p>
        </w:tc>
        <w:tc>
          <w:tcPr>
            <w:tcW w:w="1559" w:type="dxa"/>
          </w:tcPr>
          <w:p w14:paraId="285F8476" w14:textId="5295376D" w:rsidR="004B00E6" w:rsidRPr="0016620E" w:rsidRDefault="004B00E6" w:rsidP="00C32DD2">
            <w:pPr>
              <w:spacing w:line="240" w:lineRule="auto"/>
              <w:rPr>
                <w:rFonts w:cs="Arial"/>
              </w:rPr>
            </w:pPr>
            <w:r w:rsidRPr="0016620E">
              <w:rPr>
                <w:rFonts w:cs="Arial"/>
              </w:rPr>
              <w:t>–0.</w:t>
            </w:r>
            <w:r w:rsidR="0016449C" w:rsidRPr="0016620E">
              <w:rPr>
                <w:rFonts w:cs="Arial"/>
              </w:rPr>
              <w:t>0</w:t>
            </w:r>
            <w:r w:rsidR="0016449C">
              <w:rPr>
                <w:rFonts w:cs="Arial"/>
              </w:rPr>
              <w:t>73**</w:t>
            </w:r>
          </w:p>
          <w:p w14:paraId="736978F5" w14:textId="417C43D6" w:rsidR="004B00E6" w:rsidRPr="0016620E" w:rsidRDefault="004B00E6" w:rsidP="00C32DD2">
            <w:pPr>
              <w:spacing w:line="240" w:lineRule="auto"/>
              <w:rPr>
                <w:rFonts w:cs="Arial"/>
              </w:rPr>
            </w:pPr>
            <w:r w:rsidRPr="0016620E">
              <w:rPr>
                <w:rFonts w:cs="Arial"/>
              </w:rPr>
              <w:t>(0.</w:t>
            </w:r>
            <w:r w:rsidR="0016449C" w:rsidRPr="0016620E">
              <w:rPr>
                <w:rFonts w:cs="Arial"/>
              </w:rPr>
              <w:t>0</w:t>
            </w:r>
            <w:r w:rsidR="0016449C">
              <w:rPr>
                <w:rFonts w:cs="Arial"/>
              </w:rPr>
              <w:t>32</w:t>
            </w:r>
            <w:r w:rsidRPr="0016620E">
              <w:rPr>
                <w:rFonts w:cs="Arial"/>
              </w:rPr>
              <w:t>)</w:t>
            </w:r>
          </w:p>
        </w:tc>
        <w:tc>
          <w:tcPr>
            <w:tcW w:w="1701" w:type="dxa"/>
            <w:tcBorders>
              <w:right w:val="nil"/>
            </w:tcBorders>
          </w:tcPr>
          <w:p w14:paraId="305243E5" w14:textId="57435084" w:rsidR="004B00E6" w:rsidRPr="0016620E" w:rsidRDefault="004B00E6" w:rsidP="00C32DD2">
            <w:pPr>
              <w:spacing w:line="240" w:lineRule="auto"/>
              <w:rPr>
                <w:rFonts w:cs="Arial"/>
              </w:rPr>
            </w:pPr>
            <w:r w:rsidRPr="0016620E">
              <w:rPr>
                <w:rFonts w:cs="Arial"/>
              </w:rPr>
              <w:t>–0.</w:t>
            </w:r>
            <w:r w:rsidR="001C7D0F">
              <w:rPr>
                <w:rFonts w:cs="Arial"/>
              </w:rPr>
              <w:t>149***</w:t>
            </w:r>
          </w:p>
          <w:p w14:paraId="5F036974" w14:textId="4C74C7BF" w:rsidR="004B00E6" w:rsidRPr="0016620E" w:rsidRDefault="004B00E6" w:rsidP="00C32DD2">
            <w:pPr>
              <w:spacing w:after="120" w:line="240" w:lineRule="auto"/>
              <w:rPr>
                <w:rFonts w:cs="Arial"/>
              </w:rPr>
            </w:pPr>
            <w:r w:rsidRPr="0016620E">
              <w:rPr>
                <w:rFonts w:cs="Arial"/>
              </w:rPr>
              <w:t>(0.</w:t>
            </w:r>
            <w:r w:rsidR="001C7D0F" w:rsidRPr="0016620E">
              <w:rPr>
                <w:rFonts w:cs="Arial"/>
              </w:rPr>
              <w:t>04</w:t>
            </w:r>
            <w:r w:rsidR="001C7D0F">
              <w:rPr>
                <w:rFonts w:cs="Arial"/>
              </w:rPr>
              <w:t>3</w:t>
            </w:r>
            <w:r w:rsidRPr="0016620E">
              <w:rPr>
                <w:rFonts w:cs="Arial"/>
              </w:rPr>
              <w:t>)</w:t>
            </w:r>
          </w:p>
        </w:tc>
      </w:tr>
      <w:tr w:rsidR="004B00E6" w:rsidRPr="0016620E" w14:paraId="1AC396A6" w14:textId="77777777" w:rsidTr="0095055E">
        <w:trPr>
          <w:jc w:val="center"/>
        </w:trPr>
        <w:tc>
          <w:tcPr>
            <w:tcW w:w="4253" w:type="dxa"/>
            <w:tcBorders>
              <w:left w:val="nil"/>
            </w:tcBorders>
          </w:tcPr>
          <w:p w14:paraId="6855E104" w14:textId="000C2B36" w:rsidR="004B00E6" w:rsidRPr="0016620E" w:rsidRDefault="00BF057E" w:rsidP="00C32DD2">
            <w:pPr>
              <w:spacing w:line="240" w:lineRule="auto"/>
              <w:rPr>
                <w:rFonts w:cs="Arial"/>
              </w:rPr>
            </w:pPr>
            <w:r>
              <w:rPr>
                <w:rFonts w:eastAsia="Arial" w:cs="Arial"/>
                <w:w w:val="105"/>
                <w14:ligatures w14:val="none"/>
              </w:rPr>
              <w:t>L</w:t>
            </w:r>
            <w:r w:rsidRPr="00276F44">
              <w:rPr>
                <w:rFonts w:eastAsia="Arial" w:cs="Arial"/>
                <w:w w:val="105"/>
                <w14:ligatures w14:val="none"/>
              </w:rPr>
              <w:t>ow</w:t>
            </w:r>
            <w:r>
              <w:rPr>
                <w:rFonts w:eastAsia="Arial" w:cs="Arial"/>
                <w:w w:val="105"/>
                <w14:ligatures w14:val="none"/>
              </w:rPr>
              <w:t xml:space="preserve"> </w:t>
            </w:r>
            <w:r w:rsidRPr="00276F44">
              <w:rPr>
                <w:rFonts w:eastAsia="Arial" w:cs="Arial"/>
                <w:w w:val="105"/>
                <w14:ligatures w14:val="none"/>
              </w:rPr>
              <w:t>SES</w:t>
            </w:r>
            <w:r>
              <w:rPr>
                <w:rFonts w:eastAsia="Arial" w:cs="Arial"/>
                <w:w w:val="105"/>
                <w14:ligatures w14:val="none"/>
              </w:rPr>
              <w:t xml:space="preserve"> in childhood</w:t>
            </w:r>
          </w:p>
        </w:tc>
        <w:tc>
          <w:tcPr>
            <w:tcW w:w="1271" w:type="dxa"/>
          </w:tcPr>
          <w:p w14:paraId="41A64340" w14:textId="371FC487" w:rsidR="004B00E6" w:rsidRPr="0016620E" w:rsidRDefault="00EB549B" w:rsidP="00C32DD2">
            <w:pPr>
              <w:spacing w:line="240" w:lineRule="auto"/>
              <w:rPr>
                <w:rFonts w:cs="Arial"/>
              </w:rPr>
            </w:pPr>
            <w:r w:rsidRPr="0016620E">
              <w:rPr>
                <w:rFonts w:cs="Arial"/>
              </w:rPr>
              <w:t>–</w:t>
            </w:r>
            <w:r w:rsidR="004B00E6" w:rsidRPr="0016620E">
              <w:rPr>
                <w:rFonts w:cs="Arial"/>
              </w:rPr>
              <w:t>0.</w:t>
            </w:r>
            <w:r w:rsidRPr="0016620E">
              <w:rPr>
                <w:rFonts w:cs="Arial"/>
              </w:rPr>
              <w:t>01</w:t>
            </w:r>
            <w:r>
              <w:rPr>
                <w:rFonts w:cs="Arial"/>
              </w:rPr>
              <w:t>7</w:t>
            </w:r>
          </w:p>
          <w:p w14:paraId="226EBE33" w14:textId="77777777" w:rsidR="004B00E6" w:rsidRPr="0016620E" w:rsidRDefault="004B00E6" w:rsidP="00C32DD2">
            <w:pPr>
              <w:spacing w:line="240" w:lineRule="auto"/>
              <w:rPr>
                <w:rFonts w:cs="Arial"/>
              </w:rPr>
            </w:pPr>
            <w:r w:rsidRPr="0016620E">
              <w:rPr>
                <w:rFonts w:cs="Arial"/>
              </w:rPr>
              <w:t>(0.014)</w:t>
            </w:r>
          </w:p>
        </w:tc>
        <w:tc>
          <w:tcPr>
            <w:tcW w:w="1559" w:type="dxa"/>
          </w:tcPr>
          <w:p w14:paraId="0D837D1A" w14:textId="58C33639" w:rsidR="004B00E6" w:rsidRPr="0016620E" w:rsidRDefault="004B00E6" w:rsidP="00C32DD2">
            <w:pPr>
              <w:spacing w:line="240" w:lineRule="auto"/>
              <w:rPr>
                <w:rFonts w:cs="Arial"/>
              </w:rPr>
            </w:pPr>
            <w:r w:rsidRPr="0016620E">
              <w:rPr>
                <w:rFonts w:cs="Arial"/>
              </w:rPr>
              <w:t>–0.</w:t>
            </w:r>
            <w:r w:rsidR="0016449C" w:rsidRPr="0016620E">
              <w:rPr>
                <w:rFonts w:cs="Arial"/>
              </w:rPr>
              <w:t>0</w:t>
            </w:r>
            <w:r w:rsidR="0016449C">
              <w:rPr>
                <w:rFonts w:cs="Arial"/>
              </w:rPr>
              <w:t>20</w:t>
            </w:r>
          </w:p>
          <w:p w14:paraId="0863085E" w14:textId="540417FA" w:rsidR="004B00E6" w:rsidRPr="0016620E" w:rsidRDefault="004B00E6" w:rsidP="00C32DD2">
            <w:pPr>
              <w:spacing w:line="240" w:lineRule="auto"/>
              <w:rPr>
                <w:rFonts w:cs="Arial"/>
              </w:rPr>
            </w:pPr>
            <w:r w:rsidRPr="0016620E">
              <w:rPr>
                <w:rFonts w:cs="Arial"/>
              </w:rPr>
              <w:t>(0.</w:t>
            </w:r>
            <w:r w:rsidR="0016449C" w:rsidRPr="0016620E">
              <w:rPr>
                <w:rFonts w:cs="Arial"/>
              </w:rPr>
              <w:t>01</w:t>
            </w:r>
            <w:r w:rsidR="0016449C">
              <w:rPr>
                <w:rFonts w:cs="Arial"/>
              </w:rPr>
              <w:t>8</w:t>
            </w:r>
            <w:r w:rsidRPr="0016620E">
              <w:rPr>
                <w:rFonts w:cs="Arial"/>
              </w:rPr>
              <w:t>)</w:t>
            </w:r>
          </w:p>
        </w:tc>
        <w:tc>
          <w:tcPr>
            <w:tcW w:w="1701" w:type="dxa"/>
            <w:tcBorders>
              <w:right w:val="nil"/>
            </w:tcBorders>
          </w:tcPr>
          <w:p w14:paraId="5A44C148" w14:textId="3C18A18B" w:rsidR="004B00E6" w:rsidRPr="0016620E" w:rsidRDefault="001C7D0F" w:rsidP="00C32DD2">
            <w:pPr>
              <w:spacing w:line="240" w:lineRule="auto"/>
              <w:rPr>
                <w:rFonts w:cs="Arial"/>
              </w:rPr>
            </w:pPr>
            <w:r w:rsidRPr="0016620E">
              <w:rPr>
                <w:rFonts w:cs="Arial"/>
              </w:rPr>
              <w:t>–</w:t>
            </w:r>
            <w:r w:rsidR="004B00E6" w:rsidRPr="0016620E">
              <w:rPr>
                <w:rFonts w:cs="Arial"/>
              </w:rPr>
              <w:t>0.</w:t>
            </w:r>
            <w:r w:rsidRPr="0016620E">
              <w:rPr>
                <w:rFonts w:cs="Arial"/>
              </w:rPr>
              <w:t>0</w:t>
            </w:r>
            <w:r>
              <w:rPr>
                <w:rFonts w:cs="Arial"/>
              </w:rPr>
              <w:t>12</w:t>
            </w:r>
          </w:p>
          <w:p w14:paraId="1AB7DDC5" w14:textId="17FA3587" w:rsidR="004B00E6" w:rsidRPr="0016620E" w:rsidRDefault="004B00E6" w:rsidP="00C32DD2">
            <w:pPr>
              <w:spacing w:after="120" w:line="240" w:lineRule="auto"/>
              <w:rPr>
                <w:rFonts w:cs="Arial"/>
              </w:rPr>
            </w:pPr>
            <w:r w:rsidRPr="0016620E">
              <w:rPr>
                <w:rFonts w:cs="Arial"/>
              </w:rPr>
              <w:t>(0.</w:t>
            </w:r>
            <w:r w:rsidR="001C7D0F" w:rsidRPr="0016620E">
              <w:rPr>
                <w:rFonts w:cs="Arial"/>
              </w:rPr>
              <w:t>02</w:t>
            </w:r>
            <w:r w:rsidR="001C7D0F">
              <w:rPr>
                <w:rFonts w:cs="Arial"/>
              </w:rPr>
              <w:t>1</w:t>
            </w:r>
            <w:r w:rsidRPr="0016620E">
              <w:rPr>
                <w:rFonts w:cs="Arial"/>
              </w:rPr>
              <w:t>)</w:t>
            </w:r>
          </w:p>
        </w:tc>
      </w:tr>
      <w:tr w:rsidR="004B00E6" w:rsidRPr="0016620E" w14:paraId="6F56AFBE" w14:textId="77777777" w:rsidTr="0095055E">
        <w:trPr>
          <w:jc w:val="center"/>
        </w:trPr>
        <w:tc>
          <w:tcPr>
            <w:tcW w:w="4253" w:type="dxa"/>
            <w:tcBorders>
              <w:left w:val="nil"/>
            </w:tcBorders>
          </w:tcPr>
          <w:p w14:paraId="5C772E1A" w14:textId="03892FA4" w:rsidR="004B00E6" w:rsidRPr="0016620E" w:rsidRDefault="00614B27" w:rsidP="00C32DD2">
            <w:pPr>
              <w:spacing w:line="240" w:lineRule="auto"/>
              <w:rPr>
                <w:rFonts w:cs="Arial"/>
              </w:rPr>
            </w:pPr>
            <w:r w:rsidRPr="0016620E">
              <w:rPr>
                <w:rFonts w:cs="Arial"/>
                <w:w w:val="105"/>
              </w:rPr>
              <w:t>Father unemployed for 6+ months</w:t>
            </w:r>
          </w:p>
        </w:tc>
        <w:tc>
          <w:tcPr>
            <w:tcW w:w="1271" w:type="dxa"/>
          </w:tcPr>
          <w:p w14:paraId="63308671" w14:textId="73D15286" w:rsidR="004B00E6" w:rsidRPr="0016620E" w:rsidRDefault="004B00E6" w:rsidP="00C32DD2">
            <w:pPr>
              <w:spacing w:line="240" w:lineRule="auto"/>
              <w:rPr>
                <w:rFonts w:cs="Arial"/>
              </w:rPr>
            </w:pPr>
            <w:r w:rsidRPr="0016620E">
              <w:rPr>
                <w:rFonts w:cs="Arial"/>
              </w:rPr>
              <w:t>0.</w:t>
            </w:r>
            <w:r w:rsidR="00EB549B" w:rsidRPr="0016620E">
              <w:rPr>
                <w:rFonts w:cs="Arial"/>
              </w:rPr>
              <w:t>0</w:t>
            </w:r>
            <w:r w:rsidR="00EB549B">
              <w:rPr>
                <w:rFonts w:cs="Arial"/>
              </w:rPr>
              <w:t>12</w:t>
            </w:r>
          </w:p>
          <w:p w14:paraId="57A28593" w14:textId="4057DFEE" w:rsidR="004B00E6" w:rsidRPr="0016620E" w:rsidRDefault="004B00E6" w:rsidP="00C32DD2">
            <w:pPr>
              <w:spacing w:line="240" w:lineRule="auto"/>
              <w:rPr>
                <w:rFonts w:cs="Arial"/>
              </w:rPr>
            </w:pPr>
            <w:r w:rsidRPr="0016620E">
              <w:rPr>
                <w:rFonts w:cs="Arial"/>
              </w:rPr>
              <w:t>(0.</w:t>
            </w:r>
            <w:r w:rsidR="00EB549B" w:rsidRPr="0016620E">
              <w:rPr>
                <w:rFonts w:cs="Arial"/>
              </w:rPr>
              <w:t>0</w:t>
            </w:r>
            <w:r w:rsidR="00EB549B">
              <w:rPr>
                <w:rFonts w:cs="Arial"/>
              </w:rPr>
              <w:t>21</w:t>
            </w:r>
            <w:r w:rsidRPr="0016620E">
              <w:rPr>
                <w:rFonts w:cs="Arial"/>
              </w:rPr>
              <w:t>)</w:t>
            </w:r>
          </w:p>
        </w:tc>
        <w:tc>
          <w:tcPr>
            <w:tcW w:w="1559" w:type="dxa"/>
          </w:tcPr>
          <w:p w14:paraId="10EB4128" w14:textId="0636940B" w:rsidR="004B00E6" w:rsidRPr="0016620E" w:rsidRDefault="004B00E6" w:rsidP="00C32DD2">
            <w:pPr>
              <w:spacing w:line="240" w:lineRule="auto"/>
              <w:rPr>
                <w:rFonts w:cs="Arial"/>
              </w:rPr>
            </w:pPr>
            <w:r w:rsidRPr="0016620E">
              <w:rPr>
                <w:rFonts w:cs="Arial"/>
              </w:rPr>
              <w:t>–0.</w:t>
            </w:r>
            <w:r w:rsidR="0016449C" w:rsidRPr="0016620E">
              <w:rPr>
                <w:rFonts w:cs="Arial"/>
              </w:rPr>
              <w:t>02</w:t>
            </w:r>
            <w:r w:rsidR="0016449C">
              <w:rPr>
                <w:rFonts w:cs="Arial"/>
              </w:rPr>
              <w:t>7</w:t>
            </w:r>
          </w:p>
          <w:p w14:paraId="2C2F4C76" w14:textId="76DA10A8" w:rsidR="004B00E6" w:rsidRPr="0016620E" w:rsidRDefault="004B00E6" w:rsidP="00C32DD2">
            <w:pPr>
              <w:spacing w:line="240" w:lineRule="auto"/>
              <w:rPr>
                <w:rFonts w:cs="Arial"/>
              </w:rPr>
            </w:pPr>
            <w:r w:rsidRPr="0016620E">
              <w:rPr>
                <w:rFonts w:cs="Arial"/>
              </w:rPr>
              <w:t>(0.</w:t>
            </w:r>
            <w:r w:rsidR="0016449C" w:rsidRPr="0016620E">
              <w:rPr>
                <w:rFonts w:cs="Arial"/>
              </w:rPr>
              <w:t>02</w:t>
            </w:r>
            <w:r w:rsidR="0016449C">
              <w:rPr>
                <w:rFonts w:cs="Arial"/>
              </w:rPr>
              <w:t>9</w:t>
            </w:r>
            <w:r w:rsidRPr="0016620E">
              <w:rPr>
                <w:rFonts w:cs="Arial"/>
              </w:rPr>
              <w:t>)</w:t>
            </w:r>
          </w:p>
        </w:tc>
        <w:tc>
          <w:tcPr>
            <w:tcW w:w="1701" w:type="dxa"/>
            <w:tcBorders>
              <w:right w:val="nil"/>
            </w:tcBorders>
          </w:tcPr>
          <w:p w14:paraId="2D9515CC" w14:textId="26BDF2BF" w:rsidR="004B00E6" w:rsidRPr="0016620E" w:rsidRDefault="004B00E6" w:rsidP="00C32DD2">
            <w:pPr>
              <w:spacing w:line="240" w:lineRule="auto"/>
              <w:rPr>
                <w:rFonts w:cs="Arial"/>
              </w:rPr>
            </w:pPr>
            <w:r w:rsidRPr="0016620E">
              <w:rPr>
                <w:rFonts w:cs="Arial"/>
              </w:rPr>
              <w:t>0.</w:t>
            </w:r>
            <w:r w:rsidR="001C7D0F" w:rsidRPr="0016620E">
              <w:rPr>
                <w:rFonts w:cs="Arial"/>
              </w:rPr>
              <w:t>0</w:t>
            </w:r>
            <w:r w:rsidR="001C7D0F">
              <w:rPr>
                <w:rFonts w:cs="Arial"/>
              </w:rPr>
              <w:t>49</w:t>
            </w:r>
          </w:p>
          <w:p w14:paraId="4B71FF29" w14:textId="60164AA6" w:rsidR="004B00E6" w:rsidRPr="0016620E" w:rsidRDefault="004B00E6" w:rsidP="00C32DD2">
            <w:pPr>
              <w:spacing w:after="120" w:line="240" w:lineRule="auto"/>
              <w:rPr>
                <w:rFonts w:cs="Arial"/>
              </w:rPr>
            </w:pPr>
            <w:r w:rsidRPr="0016620E">
              <w:rPr>
                <w:rFonts w:cs="Arial"/>
              </w:rPr>
              <w:t>(0.</w:t>
            </w:r>
            <w:r w:rsidR="001C7D0F" w:rsidRPr="0016620E">
              <w:rPr>
                <w:rFonts w:cs="Arial"/>
              </w:rPr>
              <w:t>0</w:t>
            </w:r>
            <w:r w:rsidR="001C7D0F">
              <w:rPr>
                <w:rFonts w:cs="Arial"/>
              </w:rPr>
              <w:t>30</w:t>
            </w:r>
            <w:r w:rsidRPr="0016620E">
              <w:rPr>
                <w:rFonts w:cs="Arial"/>
              </w:rPr>
              <w:t>)</w:t>
            </w:r>
          </w:p>
        </w:tc>
      </w:tr>
      <w:tr w:rsidR="004B00E6" w:rsidRPr="0016620E" w14:paraId="19AFFAEB" w14:textId="77777777" w:rsidTr="0095055E">
        <w:trPr>
          <w:jc w:val="center"/>
        </w:trPr>
        <w:tc>
          <w:tcPr>
            <w:tcW w:w="4253" w:type="dxa"/>
            <w:tcBorders>
              <w:left w:val="nil"/>
              <w:bottom w:val="nil"/>
            </w:tcBorders>
          </w:tcPr>
          <w:p w14:paraId="6BA102C8" w14:textId="77777777" w:rsidR="004B00E6" w:rsidRPr="0016620E" w:rsidRDefault="004B00E6" w:rsidP="00C32DD2">
            <w:pPr>
              <w:spacing w:line="240" w:lineRule="auto"/>
              <w:rPr>
                <w:rFonts w:cs="Arial"/>
              </w:rPr>
            </w:pPr>
            <w:r w:rsidRPr="0016620E">
              <w:rPr>
                <w:rFonts w:cs="Arial"/>
              </w:rPr>
              <w:t>Single-parent family</w:t>
            </w:r>
          </w:p>
        </w:tc>
        <w:tc>
          <w:tcPr>
            <w:tcW w:w="1271" w:type="dxa"/>
            <w:tcBorders>
              <w:bottom w:val="nil"/>
            </w:tcBorders>
          </w:tcPr>
          <w:p w14:paraId="1AF4AF1D" w14:textId="523AA429" w:rsidR="004B00E6" w:rsidRPr="0016620E" w:rsidRDefault="004B00E6" w:rsidP="00C32DD2">
            <w:pPr>
              <w:spacing w:line="240" w:lineRule="auto"/>
              <w:rPr>
                <w:rFonts w:cs="Arial"/>
              </w:rPr>
            </w:pPr>
            <w:r w:rsidRPr="0016620E">
              <w:rPr>
                <w:rFonts w:cs="Arial"/>
              </w:rPr>
              <w:t>0.</w:t>
            </w:r>
            <w:r w:rsidR="00EB549B" w:rsidRPr="0016620E">
              <w:rPr>
                <w:rFonts w:cs="Arial"/>
              </w:rPr>
              <w:t>0</w:t>
            </w:r>
            <w:r w:rsidR="00EB549B">
              <w:rPr>
                <w:rFonts w:cs="Arial"/>
              </w:rPr>
              <w:t>35</w:t>
            </w:r>
          </w:p>
          <w:p w14:paraId="37EEBA23" w14:textId="2EB89B47" w:rsidR="004B00E6" w:rsidRPr="0016620E" w:rsidRDefault="004B00E6" w:rsidP="00C32DD2">
            <w:pPr>
              <w:spacing w:line="240" w:lineRule="auto"/>
              <w:rPr>
                <w:rFonts w:cs="Arial"/>
              </w:rPr>
            </w:pPr>
            <w:r w:rsidRPr="0016620E">
              <w:rPr>
                <w:rFonts w:cs="Arial"/>
              </w:rPr>
              <w:t>(0.</w:t>
            </w:r>
            <w:r w:rsidR="00EB549B" w:rsidRPr="0016620E">
              <w:rPr>
                <w:rFonts w:cs="Arial"/>
              </w:rPr>
              <w:t>03</w:t>
            </w:r>
            <w:r w:rsidR="00EB549B">
              <w:rPr>
                <w:rFonts w:cs="Arial"/>
              </w:rPr>
              <w:t>6</w:t>
            </w:r>
            <w:r w:rsidRPr="0016620E">
              <w:rPr>
                <w:rFonts w:cs="Arial"/>
              </w:rPr>
              <w:t>)</w:t>
            </w:r>
          </w:p>
        </w:tc>
        <w:tc>
          <w:tcPr>
            <w:tcW w:w="1559" w:type="dxa"/>
            <w:tcBorders>
              <w:bottom w:val="nil"/>
            </w:tcBorders>
          </w:tcPr>
          <w:p w14:paraId="5C6798F2" w14:textId="0AB3B606" w:rsidR="004B00E6" w:rsidRPr="0016620E" w:rsidRDefault="004B00E6" w:rsidP="00C32DD2">
            <w:pPr>
              <w:spacing w:line="240" w:lineRule="auto"/>
              <w:rPr>
                <w:rFonts w:cs="Arial"/>
              </w:rPr>
            </w:pPr>
            <w:r w:rsidRPr="0016620E">
              <w:rPr>
                <w:rFonts w:cs="Arial"/>
              </w:rPr>
              <w:t>0.</w:t>
            </w:r>
            <w:r w:rsidR="0016449C" w:rsidRPr="0016620E">
              <w:rPr>
                <w:rFonts w:cs="Arial"/>
              </w:rPr>
              <w:t>0</w:t>
            </w:r>
            <w:r w:rsidR="0016449C">
              <w:rPr>
                <w:rFonts w:cs="Arial"/>
              </w:rPr>
              <w:t>02</w:t>
            </w:r>
          </w:p>
          <w:p w14:paraId="0D6359A7" w14:textId="2B5AB077" w:rsidR="004B00E6" w:rsidRPr="0016620E" w:rsidRDefault="004B00E6" w:rsidP="00C32DD2">
            <w:pPr>
              <w:spacing w:line="240" w:lineRule="auto"/>
              <w:rPr>
                <w:rFonts w:cs="Arial"/>
              </w:rPr>
            </w:pPr>
            <w:r w:rsidRPr="0016620E">
              <w:rPr>
                <w:rFonts w:cs="Arial"/>
              </w:rPr>
              <w:t>(0.</w:t>
            </w:r>
            <w:r w:rsidR="0016449C" w:rsidRPr="0016620E">
              <w:rPr>
                <w:rFonts w:cs="Arial"/>
              </w:rPr>
              <w:t>04</w:t>
            </w:r>
            <w:r w:rsidR="0016449C">
              <w:rPr>
                <w:rFonts w:cs="Arial"/>
              </w:rPr>
              <w:t>6</w:t>
            </w:r>
            <w:r w:rsidRPr="0016620E">
              <w:rPr>
                <w:rFonts w:cs="Arial"/>
              </w:rPr>
              <w:t>)</w:t>
            </w:r>
          </w:p>
        </w:tc>
        <w:tc>
          <w:tcPr>
            <w:tcW w:w="1701" w:type="dxa"/>
            <w:tcBorders>
              <w:bottom w:val="nil"/>
              <w:right w:val="nil"/>
            </w:tcBorders>
          </w:tcPr>
          <w:p w14:paraId="37731810" w14:textId="5130861E" w:rsidR="004B00E6" w:rsidRPr="0016620E" w:rsidRDefault="004B00E6" w:rsidP="00C32DD2">
            <w:pPr>
              <w:spacing w:line="240" w:lineRule="auto"/>
              <w:rPr>
                <w:rFonts w:cs="Arial"/>
              </w:rPr>
            </w:pPr>
            <w:r w:rsidRPr="0016620E">
              <w:rPr>
                <w:rFonts w:cs="Arial"/>
              </w:rPr>
              <w:t>0.</w:t>
            </w:r>
            <w:r w:rsidR="001C7D0F" w:rsidRPr="0016620E">
              <w:rPr>
                <w:rFonts w:cs="Arial"/>
              </w:rPr>
              <w:t>0</w:t>
            </w:r>
            <w:r w:rsidR="001C7D0F">
              <w:rPr>
                <w:rFonts w:cs="Arial"/>
              </w:rPr>
              <w:t>69</w:t>
            </w:r>
          </w:p>
          <w:p w14:paraId="556EE0B9" w14:textId="4D961247" w:rsidR="004B00E6" w:rsidRPr="0016620E" w:rsidRDefault="004B00E6" w:rsidP="00C32DD2">
            <w:pPr>
              <w:spacing w:after="120" w:line="240" w:lineRule="auto"/>
              <w:rPr>
                <w:rFonts w:cs="Arial"/>
              </w:rPr>
            </w:pPr>
            <w:r w:rsidRPr="0016620E">
              <w:rPr>
                <w:rFonts w:cs="Arial"/>
              </w:rPr>
              <w:t>(0.</w:t>
            </w:r>
            <w:r w:rsidR="001C7D0F" w:rsidRPr="0016620E">
              <w:rPr>
                <w:rFonts w:cs="Arial"/>
              </w:rPr>
              <w:t>05</w:t>
            </w:r>
            <w:r w:rsidR="001C7D0F">
              <w:rPr>
                <w:rFonts w:cs="Arial"/>
              </w:rPr>
              <w:t>6</w:t>
            </w:r>
            <w:r w:rsidRPr="0016620E">
              <w:rPr>
                <w:rFonts w:cs="Arial"/>
              </w:rPr>
              <w:t>)</w:t>
            </w:r>
          </w:p>
        </w:tc>
      </w:tr>
      <w:tr w:rsidR="00C57A76" w:rsidRPr="0016620E" w14:paraId="06B23158" w14:textId="77777777" w:rsidTr="0095055E">
        <w:trPr>
          <w:jc w:val="center"/>
        </w:trPr>
        <w:tc>
          <w:tcPr>
            <w:tcW w:w="4253" w:type="dxa"/>
            <w:tcBorders>
              <w:top w:val="nil"/>
              <w:left w:val="nil"/>
              <w:bottom w:val="single" w:sz="4" w:space="0" w:color="auto"/>
            </w:tcBorders>
          </w:tcPr>
          <w:p w14:paraId="2B311007" w14:textId="015CCA71" w:rsidR="00C57A76" w:rsidRPr="0016620E" w:rsidRDefault="00C57A76" w:rsidP="00C32DD2">
            <w:pPr>
              <w:spacing w:line="240" w:lineRule="auto"/>
              <w:rPr>
                <w:rFonts w:cs="Arial"/>
              </w:rPr>
            </w:pPr>
            <w:r w:rsidRPr="0016620E">
              <w:rPr>
                <w:rFonts w:cs="Arial"/>
              </w:rPr>
              <w:t>Control variables</w:t>
            </w:r>
          </w:p>
        </w:tc>
        <w:tc>
          <w:tcPr>
            <w:tcW w:w="1271" w:type="dxa"/>
            <w:tcBorders>
              <w:top w:val="nil"/>
              <w:bottom w:val="single" w:sz="4" w:space="0" w:color="auto"/>
            </w:tcBorders>
          </w:tcPr>
          <w:p w14:paraId="1440A6CD" w14:textId="3EAD2B8E" w:rsidR="00C57A76" w:rsidRPr="0016620E" w:rsidRDefault="000D34AA" w:rsidP="00C32DD2">
            <w:pPr>
              <w:spacing w:line="240" w:lineRule="auto"/>
              <w:rPr>
                <w:rFonts w:cs="Arial"/>
              </w:rPr>
            </w:pPr>
            <w:r w:rsidRPr="0016620E">
              <w:rPr>
                <w:rFonts w:cs="Arial"/>
              </w:rPr>
              <w:t>Yes</w:t>
            </w:r>
          </w:p>
        </w:tc>
        <w:tc>
          <w:tcPr>
            <w:tcW w:w="1559" w:type="dxa"/>
            <w:tcBorders>
              <w:top w:val="nil"/>
              <w:bottom w:val="single" w:sz="4" w:space="0" w:color="auto"/>
            </w:tcBorders>
          </w:tcPr>
          <w:p w14:paraId="0F4BBA2D" w14:textId="20DFA3E5" w:rsidR="00C57A76" w:rsidRPr="0016620E" w:rsidRDefault="00C57A76" w:rsidP="00C32DD2">
            <w:pPr>
              <w:spacing w:line="240" w:lineRule="auto"/>
              <w:rPr>
                <w:rFonts w:cs="Arial"/>
              </w:rPr>
            </w:pPr>
            <w:r w:rsidRPr="0016620E">
              <w:rPr>
                <w:rFonts w:cs="Arial"/>
              </w:rPr>
              <w:t>Yes</w:t>
            </w:r>
          </w:p>
        </w:tc>
        <w:tc>
          <w:tcPr>
            <w:tcW w:w="1701" w:type="dxa"/>
            <w:tcBorders>
              <w:top w:val="nil"/>
              <w:bottom w:val="single" w:sz="4" w:space="0" w:color="auto"/>
              <w:right w:val="nil"/>
            </w:tcBorders>
          </w:tcPr>
          <w:p w14:paraId="6732108F" w14:textId="3E9F4F13" w:rsidR="00C57A76" w:rsidRPr="0016620E" w:rsidRDefault="00C57A76" w:rsidP="00C32DD2">
            <w:pPr>
              <w:spacing w:after="120" w:line="240" w:lineRule="auto"/>
              <w:rPr>
                <w:rFonts w:cs="Arial"/>
              </w:rPr>
            </w:pPr>
            <w:r w:rsidRPr="0016620E">
              <w:rPr>
                <w:rFonts w:cs="Arial"/>
              </w:rPr>
              <w:t>Yes</w:t>
            </w:r>
          </w:p>
        </w:tc>
      </w:tr>
      <w:tr w:rsidR="00C57A76" w:rsidRPr="0016620E" w14:paraId="4BD6384A" w14:textId="77777777" w:rsidTr="0095055E">
        <w:trPr>
          <w:jc w:val="center"/>
        </w:trPr>
        <w:tc>
          <w:tcPr>
            <w:tcW w:w="4253" w:type="dxa"/>
            <w:tcBorders>
              <w:top w:val="single" w:sz="4" w:space="0" w:color="auto"/>
              <w:left w:val="nil"/>
              <w:bottom w:val="single" w:sz="4" w:space="0" w:color="auto"/>
            </w:tcBorders>
          </w:tcPr>
          <w:p w14:paraId="0F39B775" w14:textId="77777777" w:rsidR="00C57A76" w:rsidRPr="0016620E" w:rsidRDefault="00C57A76" w:rsidP="00C32DD2">
            <w:pPr>
              <w:spacing w:line="240" w:lineRule="auto"/>
              <w:rPr>
                <w:rFonts w:cs="Arial"/>
                <w:i/>
                <w:iCs/>
              </w:rPr>
            </w:pPr>
            <w:r w:rsidRPr="0016620E">
              <w:rPr>
                <w:rFonts w:cs="Arial"/>
                <w:i/>
                <w:iCs/>
              </w:rPr>
              <w:t>Observations</w:t>
            </w:r>
          </w:p>
        </w:tc>
        <w:tc>
          <w:tcPr>
            <w:tcW w:w="1271" w:type="dxa"/>
            <w:tcBorders>
              <w:top w:val="single" w:sz="4" w:space="0" w:color="auto"/>
              <w:bottom w:val="single" w:sz="4" w:space="0" w:color="auto"/>
            </w:tcBorders>
          </w:tcPr>
          <w:p w14:paraId="343FABD1" w14:textId="3EAB18D3" w:rsidR="00C57A76" w:rsidRPr="007017EF" w:rsidRDefault="00C57A76" w:rsidP="00C32DD2">
            <w:pPr>
              <w:spacing w:line="240" w:lineRule="auto"/>
              <w:rPr>
                <w:rFonts w:cs="Arial"/>
              </w:rPr>
            </w:pPr>
            <w:r w:rsidRPr="007017EF">
              <w:rPr>
                <w:rFonts w:cs="Arial"/>
              </w:rPr>
              <w:t>4910</w:t>
            </w:r>
          </w:p>
        </w:tc>
        <w:tc>
          <w:tcPr>
            <w:tcW w:w="1559" w:type="dxa"/>
            <w:tcBorders>
              <w:top w:val="single" w:sz="4" w:space="0" w:color="auto"/>
              <w:bottom w:val="single" w:sz="4" w:space="0" w:color="auto"/>
            </w:tcBorders>
          </w:tcPr>
          <w:p w14:paraId="09AF4021" w14:textId="44E42A46" w:rsidR="00C57A76" w:rsidRPr="007017EF" w:rsidRDefault="00C57A76" w:rsidP="00C32DD2">
            <w:pPr>
              <w:spacing w:line="240" w:lineRule="auto"/>
              <w:rPr>
                <w:rFonts w:cs="Arial"/>
              </w:rPr>
            </w:pPr>
            <w:r w:rsidRPr="007017EF">
              <w:rPr>
                <w:rFonts w:cs="Arial"/>
              </w:rPr>
              <w:t>2578</w:t>
            </w:r>
          </w:p>
        </w:tc>
        <w:tc>
          <w:tcPr>
            <w:tcW w:w="1701" w:type="dxa"/>
            <w:tcBorders>
              <w:top w:val="single" w:sz="4" w:space="0" w:color="auto"/>
              <w:bottom w:val="single" w:sz="4" w:space="0" w:color="auto"/>
              <w:right w:val="nil"/>
            </w:tcBorders>
          </w:tcPr>
          <w:p w14:paraId="233BE53E" w14:textId="00368E2F" w:rsidR="00C57A76" w:rsidRPr="007017EF" w:rsidRDefault="00C57A76" w:rsidP="00C32DD2">
            <w:pPr>
              <w:spacing w:after="120" w:line="240" w:lineRule="auto"/>
              <w:rPr>
                <w:rFonts w:cs="Arial"/>
              </w:rPr>
            </w:pPr>
            <w:r w:rsidRPr="007017EF">
              <w:rPr>
                <w:rFonts w:cs="Arial"/>
              </w:rPr>
              <w:t>2332</w:t>
            </w:r>
          </w:p>
        </w:tc>
      </w:tr>
    </w:tbl>
    <w:p w14:paraId="5B65687C" w14:textId="77777777" w:rsidR="00014489" w:rsidRPr="00014489" w:rsidRDefault="00014489" w:rsidP="000F54A6">
      <w:pPr>
        <w:spacing w:line="240" w:lineRule="auto"/>
        <w:ind w:left="227" w:right="284"/>
        <w:rPr>
          <w:rFonts w:eastAsia="Arial" w:cs="Arial"/>
          <w:w w:val="105"/>
          <w:kern w:val="0"/>
          <w:sz w:val="20"/>
          <w:szCs w:val="20"/>
          <w14:ligatures w14:val="none"/>
        </w:rPr>
      </w:pPr>
      <w:r w:rsidRPr="0095055E">
        <w:rPr>
          <w:rFonts w:eastAsia="Arial" w:cs="Arial"/>
          <w:i/>
          <w:iCs/>
          <w:w w:val="105"/>
          <w:kern w:val="0"/>
          <w:sz w:val="18"/>
          <w:szCs w:val="18"/>
          <w14:ligatures w14:val="none"/>
        </w:rPr>
        <w:t>Notes: The control variables include dummies for year of birth, gender, whether born in Australia, number of siblings, whether living in a major city, and dummies for state of residence and HILDA waves. Robust standard errors are in parentheses. *** p&lt;0.01; ** p&lt;0.05; * p&lt;0.10</w:t>
      </w:r>
      <w:r w:rsidRPr="00014489">
        <w:rPr>
          <w:rFonts w:eastAsia="Arial" w:cs="Arial"/>
          <w:w w:val="105"/>
          <w:kern w:val="0"/>
          <w:sz w:val="20"/>
          <w:szCs w:val="20"/>
          <w14:ligatures w14:val="none"/>
        </w:rPr>
        <w:t>.</w:t>
      </w:r>
    </w:p>
    <w:p w14:paraId="6F1AEE53" w14:textId="2D42414F" w:rsidR="00125C56" w:rsidRPr="00590838" w:rsidRDefault="00BF7884" w:rsidP="00721EB3">
      <w:pPr>
        <w:rPr>
          <w:w w:val="105"/>
        </w:rPr>
      </w:pPr>
      <w:r w:rsidRPr="00590838">
        <w:rPr>
          <w:w w:val="105"/>
        </w:rPr>
        <w:t xml:space="preserve">Table </w:t>
      </w:r>
      <w:r w:rsidR="0066493B">
        <w:rPr>
          <w:w w:val="105"/>
        </w:rPr>
        <w:t xml:space="preserve">4 </w:t>
      </w:r>
      <w:r w:rsidR="002B752A">
        <w:rPr>
          <w:w w:val="105"/>
        </w:rPr>
        <w:t>show</w:t>
      </w:r>
      <w:r w:rsidR="006B1AD9" w:rsidRPr="006B1AD9">
        <w:rPr>
          <w:w w:val="105"/>
        </w:rPr>
        <w:t xml:space="preserve">s a similar pattern in the </w:t>
      </w:r>
      <w:r w:rsidR="007C04A5">
        <w:rPr>
          <w:w w:val="105"/>
        </w:rPr>
        <w:t>choice</w:t>
      </w:r>
      <w:r w:rsidR="006B1AD9" w:rsidRPr="006B1AD9">
        <w:rPr>
          <w:w w:val="105"/>
        </w:rPr>
        <w:t xml:space="preserve"> of low-paying subjects. NESB Australians are 11 percentage points less likely to </w:t>
      </w:r>
      <w:r w:rsidR="002E43F5" w:rsidRPr="002E43F5">
        <w:rPr>
          <w:w w:val="105"/>
        </w:rPr>
        <w:t>be enrol</w:t>
      </w:r>
      <w:r w:rsidR="002E43F5">
        <w:rPr>
          <w:w w:val="105"/>
        </w:rPr>
        <w:t>l</w:t>
      </w:r>
      <w:r w:rsidR="002E43F5" w:rsidRPr="002E43F5">
        <w:rPr>
          <w:w w:val="105"/>
        </w:rPr>
        <w:t>ed</w:t>
      </w:r>
      <w:r w:rsidR="006B1AD9" w:rsidRPr="006B1AD9">
        <w:rPr>
          <w:w w:val="105"/>
        </w:rPr>
        <w:t xml:space="preserve"> in a low-paying academic discipline</w:t>
      </w:r>
      <w:r w:rsidR="002E43F5">
        <w:rPr>
          <w:w w:val="105"/>
        </w:rPr>
        <w:t xml:space="preserve"> </w:t>
      </w:r>
      <w:r w:rsidR="002E43F5" w:rsidRPr="006B1AD9">
        <w:rPr>
          <w:w w:val="105"/>
        </w:rPr>
        <w:t>than their ESB counterparts</w:t>
      </w:r>
      <w:r w:rsidR="006B1AD9" w:rsidRPr="006B1AD9">
        <w:rPr>
          <w:w w:val="105"/>
        </w:rPr>
        <w:t xml:space="preserve">. This difference is more pronounced </w:t>
      </w:r>
      <w:r w:rsidR="007C04A5">
        <w:rPr>
          <w:w w:val="105"/>
        </w:rPr>
        <w:t>for</w:t>
      </w:r>
      <w:r w:rsidR="006B1AD9" w:rsidRPr="006B1AD9">
        <w:rPr>
          <w:w w:val="105"/>
        </w:rPr>
        <w:t xml:space="preserve"> the younger cohort (1</w:t>
      </w:r>
      <w:r w:rsidR="00876BB9">
        <w:rPr>
          <w:w w:val="105"/>
        </w:rPr>
        <w:t>5</w:t>
      </w:r>
      <w:r w:rsidR="006B1AD9" w:rsidRPr="006B1AD9">
        <w:rPr>
          <w:w w:val="105"/>
        </w:rPr>
        <w:t xml:space="preserve"> percentage points) </w:t>
      </w:r>
      <w:r w:rsidR="007C04A5">
        <w:rPr>
          <w:w w:val="105"/>
        </w:rPr>
        <w:t>than for</w:t>
      </w:r>
      <w:r w:rsidR="006B1AD9" w:rsidRPr="006B1AD9">
        <w:rPr>
          <w:w w:val="105"/>
        </w:rPr>
        <w:t xml:space="preserve"> the older cohort (7 percentage points). In contrast, there is </w:t>
      </w:r>
      <w:r w:rsidR="006B1AD9">
        <w:rPr>
          <w:w w:val="105"/>
        </w:rPr>
        <w:t>little</w:t>
      </w:r>
      <w:r w:rsidR="006B1AD9" w:rsidRPr="006B1AD9">
        <w:rPr>
          <w:w w:val="105"/>
        </w:rPr>
        <w:t xml:space="preserve"> evidence of systematic sorting into low-paying fields </w:t>
      </w:r>
      <w:r w:rsidR="007549B2">
        <w:rPr>
          <w:w w:val="105"/>
        </w:rPr>
        <w:t>of</w:t>
      </w:r>
      <w:r w:rsidR="006B1AD9" w:rsidRPr="006B1AD9">
        <w:rPr>
          <w:w w:val="105"/>
        </w:rPr>
        <w:t xml:space="preserve"> students from the other four </w:t>
      </w:r>
      <w:r w:rsidR="0097512D">
        <w:rPr>
          <w:w w:val="105"/>
        </w:rPr>
        <w:t>socio-economic</w:t>
      </w:r>
      <w:r w:rsidR="002949F2" w:rsidRPr="006B1AD9">
        <w:rPr>
          <w:w w:val="105"/>
        </w:rPr>
        <w:t xml:space="preserve"> </w:t>
      </w:r>
      <w:r w:rsidR="006B1AD9" w:rsidRPr="006B1AD9">
        <w:rPr>
          <w:w w:val="105"/>
        </w:rPr>
        <w:t>backgrounds, as the estimated differences are small in magnitude and not statistically significant.</w:t>
      </w:r>
    </w:p>
    <w:p w14:paraId="4A9E40AE" w14:textId="0CEB5373" w:rsidR="00907125" w:rsidRPr="00590838" w:rsidRDefault="0015450A" w:rsidP="00721EB3">
      <w:pPr>
        <w:rPr>
          <w:w w:val="105"/>
        </w:rPr>
      </w:pPr>
      <w:r w:rsidRPr="00590838">
        <w:rPr>
          <w:w w:val="105"/>
        </w:rPr>
        <w:t xml:space="preserve">As </w:t>
      </w:r>
      <w:r w:rsidR="00C8383F" w:rsidRPr="00C8383F">
        <w:rPr>
          <w:w w:val="105"/>
        </w:rPr>
        <w:t xml:space="preserve">a robustness check, we </w:t>
      </w:r>
      <w:r w:rsidR="00BE3692">
        <w:rPr>
          <w:w w:val="105"/>
        </w:rPr>
        <w:t>generate</w:t>
      </w:r>
      <w:r w:rsidR="00C8383F" w:rsidRPr="00C8383F">
        <w:rPr>
          <w:w w:val="105"/>
        </w:rPr>
        <w:t xml:space="preserve"> an ordinal variable to represent the three broad categories of fields of study. Specifically, this variable is assigned values of 3, 2, and 1, corresponding to high-paying, middle-paying, and low-paying fields, respectively. We then estimate an ordered probit model to account for the ordinal nature of the dependent variable, using the same set of explanatory variables as in Tables </w:t>
      </w:r>
      <w:r w:rsidR="0066493B">
        <w:rPr>
          <w:w w:val="105"/>
        </w:rPr>
        <w:t>3</w:t>
      </w:r>
      <w:r w:rsidR="0066493B" w:rsidRPr="00C8383F">
        <w:rPr>
          <w:w w:val="105"/>
        </w:rPr>
        <w:t xml:space="preserve"> </w:t>
      </w:r>
      <w:r w:rsidR="00C8383F" w:rsidRPr="00C8383F">
        <w:rPr>
          <w:w w:val="105"/>
        </w:rPr>
        <w:t xml:space="preserve">and </w:t>
      </w:r>
      <w:r w:rsidR="0066493B">
        <w:rPr>
          <w:w w:val="105"/>
        </w:rPr>
        <w:t>4</w:t>
      </w:r>
      <w:r w:rsidR="00C8383F" w:rsidRPr="00C8383F">
        <w:rPr>
          <w:w w:val="105"/>
        </w:rPr>
        <w:t xml:space="preserve">. The estimated coefficients, presented in Table </w:t>
      </w:r>
      <w:r w:rsidR="0066493B">
        <w:rPr>
          <w:w w:val="105"/>
        </w:rPr>
        <w:t>5</w:t>
      </w:r>
      <w:r w:rsidR="00C8383F" w:rsidRPr="00C8383F">
        <w:rPr>
          <w:w w:val="105"/>
        </w:rPr>
        <w:t xml:space="preserve">, </w:t>
      </w:r>
      <w:r w:rsidR="00EA60AB">
        <w:rPr>
          <w:w w:val="105"/>
        </w:rPr>
        <w:t>are consistent with the results in</w:t>
      </w:r>
      <w:r w:rsidR="00C8383F" w:rsidRPr="00C8383F">
        <w:rPr>
          <w:w w:val="105"/>
        </w:rPr>
        <w:t xml:space="preserve"> Tables </w:t>
      </w:r>
      <w:r w:rsidR="0066493B">
        <w:rPr>
          <w:w w:val="105"/>
        </w:rPr>
        <w:t>3</w:t>
      </w:r>
      <w:r w:rsidR="0066493B" w:rsidRPr="00C8383F">
        <w:rPr>
          <w:w w:val="105"/>
        </w:rPr>
        <w:t xml:space="preserve"> </w:t>
      </w:r>
      <w:r w:rsidR="00C8383F" w:rsidRPr="00C8383F">
        <w:rPr>
          <w:w w:val="105"/>
        </w:rPr>
        <w:t xml:space="preserve">and </w:t>
      </w:r>
      <w:r w:rsidR="0066493B">
        <w:rPr>
          <w:w w:val="105"/>
        </w:rPr>
        <w:t>4</w:t>
      </w:r>
      <w:r w:rsidR="00C8383F" w:rsidRPr="00C8383F">
        <w:rPr>
          <w:w w:val="105"/>
        </w:rPr>
        <w:t xml:space="preserve">. Compared to ESB students, NESB students are more likely to </w:t>
      </w:r>
      <w:r w:rsidR="002B752A">
        <w:rPr>
          <w:w w:val="105"/>
        </w:rPr>
        <w:t>choose</w:t>
      </w:r>
      <w:r w:rsidR="00C8383F" w:rsidRPr="00C8383F">
        <w:rPr>
          <w:w w:val="105"/>
        </w:rPr>
        <w:t xml:space="preserve"> a high-paying </w:t>
      </w:r>
      <w:r w:rsidR="00EA60AB">
        <w:rPr>
          <w:w w:val="105"/>
        </w:rPr>
        <w:t>field</w:t>
      </w:r>
      <w:r w:rsidR="00C8383F" w:rsidRPr="00C8383F">
        <w:rPr>
          <w:w w:val="105"/>
        </w:rPr>
        <w:t xml:space="preserve"> and less likely to choose a low-paying one. In contrast, the estimates for the other four indicators of </w:t>
      </w:r>
      <w:r w:rsidR="0097512D">
        <w:rPr>
          <w:w w:val="105"/>
        </w:rPr>
        <w:t>socio-economic</w:t>
      </w:r>
      <w:r w:rsidR="00FB1453" w:rsidRPr="00BC1650">
        <w:rPr>
          <w:w w:val="105"/>
        </w:rPr>
        <w:t xml:space="preserve"> background</w:t>
      </w:r>
      <w:r w:rsidR="00FB1453">
        <w:rPr>
          <w:w w:val="105"/>
        </w:rPr>
        <w:t xml:space="preserve">s </w:t>
      </w:r>
      <w:r w:rsidR="00C8383F" w:rsidRPr="00C8383F">
        <w:rPr>
          <w:w w:val="105"/>
        </w:rPr>
        <w:t>are generally smaller in magnitude and not statistically significant</w:t>
      </w:r>
      <w:r w:rsidR="00240F68">
        <w:rPr>
          <w:w w:val="105"/>
        </w:rPr>
        <w:t xml:space="preserve"> at the 5% level</w:t>
      </w:r>
      <w:r w:rsidR="00C8383F" w:rsidRPr="00C8383F">
        <w:rPr>
          <w:w w:val="105"/>
        </w:rPr>
        <w:t xml:space="preserve">. Overall, </w:t>
      </w:r>
      <w:r w:rsidR="004D1B90">
        <w:rPr>
          <w:w w:val="105"/>
        </w:rPr>
        <w:t>of</w:t>
      </w:r>
      <w:r w:rsidR="00C8383F" w:rsidRPr="00C8383F">
        <w:rPr>
          <w:w w:val="105"/>
        </w:rPr>
        <w:t xml:space="preserve"> the five measures of </w:t>
      </w:r>
      <w:r w:rsidR="0097512D">
        <w:rPr>
          <w:w w:val="105"/>
        </w:rPr>
        <w:t>socio-economic</w:t>
      </w:r>
      <w:r w:rsidR="00DB5B67">
        <w:rPr>
          <w:w w:val="105"/>
        </w:rPr>
        <w:t xml:space="preserve"> </w:t>
      </w:r>
      <w:r w:rsidR="00DB5B67" w:rsidRPr="00BD38F3">
        <w:rPr>
          <w:w w:val="105"/>
        </w:rPr>
        <w:t>backgrounds</w:t>
      </w:r>
      <w:r w:rsidR="00C8383F" w:rsidRPr="00C8383F">
        <w:rPr>
          <w:w w:val="105"/>
        </w:rPr>
        <w:t xml:space="preserve">, </w:t>
      </w:r>
      <w:r w:rsidR="007549B2">
        <w:rPr>
          <w:w w:val="105"/>
        </w:rPr>
        <w:t>coming</w:t>
      </w:r>
      <w:r w:rsidR="001C65CB">
        <w:rPr>
          <w:w w:val="105"/>
        </w:rPr>
        <w:t xml:space="preserve"> from a </w:t>
      </w:r>
      <w:r w:rsidR="00C8383F" w:rsidRPr="00C8383F">
        <w:rPr>
          <w:w w:val="105"/>
        </w:rPr>
        <w:t xml:space="preserve">NESB </w:t>
      </w:r>
      <w:r w:rsidR="006354E9">
        <w:rPr>
          <w:w w:val="105"/>
        </w:rPr>
        <w:t>i</w:t>
      </w:r>
      <w:r w:rsidR="00C8383F" w:rsidRPr="00C8383F">
        <w:rPr>
          <w:w w:val="105"/>
        </w:rPr>
        <w:t>s the only significant predictor of university field of study.</w:t>
      </w:r>
    </w:p>
    <w:p w14:paraId="316AFEE2" w14:textId="77777777" w:rsidR="00B47946" w:rsidRDefault="00B47946">
      <w:pPr>
        <w:spacing w:line="259" w:lineRule="auto"/>
        <w:rPr>
          <w:rFonts w:cs="Arial"/>
          <w:i/>
          <w:iCs/>
          <w:color w:val="080808"/>
        </w:rPr>
      </w:pPr>
      <w:bookmarkStart w:id="53" w:name="_Ref184722724"/>
      <w:bookmarkStart w:id="54" w:name="_Ref185012646"/>
      <w:r>
        <w:rPr>
          <w:rFonts w:cs="Arial"/>
          <w:color w:val="080808"/>
        </w:rPr>
        <w:br w:type="page"/>
      </w:r>
    </w:p>
    <w:p w14:paraId="6148B970" w14:textId="4B204E5C" w:rsidR="002A4A71" w:rsidRPr="00BF48E1" w:rsidRDefault="00B55F0E" w:rsidP="00BF48E1">
      <w:pPr>
        <w:pStyle w:val="Caption"/>
        <w:rPr>
          <w:rFonts w:cs="Arial"/>
          <w:color w:val="080808"/>
          <w:lang w:eastAsia="en-AU"/>
        </w:rPr>
      </w:pPr>
      <w:bookmarkStart w:id="55" w:name="_Toc222998788"/>
      <w:r w:rsidRPr="00BF48E1">
        <w:rPr>
          <w:rFonts w:cs="Arial"/>
          <w:color w:val="080808"/>
        </w:rPr>
        <w:lastRenderedPageBreak/>
        <w:t xml:space="preserve">Table </w:t>
      </w:r>
      <w:r w:rsidRPr="00BF48E1">
        <w:rPr>
          <w:rFonts w:cs="Arial"/>
          <w:color w:val="080808"/>
        </w:rPr>
        <w:fldChar w:fldCharType="begin"/>
      </w:r>
      <w:r w:rsidRPr="00BF48E1">
        <w:rPr>
          <w:rFonts w:cs="Arial"/>
          <w:color w:val="080808"/>
        </w:rPr>
        <w:instrText xml:space="preserve"> SEQ Table \* ARABIC </w:instrText>
      </w:r>
      <w:r w:rsidRPr="00BF48E1">
        <w:rPr>
          <w:rFonts w:cs="Arial"/>
          <w:color w:val="080808"/>
        </w:rPr>
        <w:fldChar w:fldCharType="separate"/>
      </w:r>
      <w:r w:rsidR="00392C8C" w:rsidRPr="00BF48E1">
        <w:rPr>
          <w:rFonts w:cs="Arial"/>
          <w:noProof/>
          <w:color w:val="080808"/>
        </w:rPr>
        <w:t>5</w:t>
      </w:r>
      <w:r w:rsidRPr="00BF48E1">
        <w:rPr>
          <w:rFonts w:cs="Arial"/>
          <w:color w:val="080808"/>
        </w:rPr>
        <w:fldChar w:fldCharType="end"/>
      </w:r>
      <w:bookmarkEnd w:id="53"/>
      <w:r w:rsidR="002A4A71" w:rsidRPr="00BF48E1">
        <w:rPr>
          <w:rFonts w:cs="Arial"/>
          <w:color w:val="080808"/>
          <w:lang w:eastAsia="en-AU"/>
        </w:rPr>
        <w:t xml:space="preserve">: </w:t>
      </w:r>
      <w:r w:rsidR="00C21BDA" w:rsidRPr="00BF48E1">
        <w:rPr>
          <w:rFonts w:cs="Arial"/>
          <w:color w:val="080808"/>
          <w:lang w:eastAsia="en-AU"/>
        </w:rPr>
        <w:t>O</w:t>
      </w:r>
      <w:r w:rsidR="002A4A71" w:rsidRPr="00BF48E1">
        <w:rPr>
          <w:rFonts w:cs="Arial"/>
          <w:color w:val="080808"/>
          <w:lang w:eastAsia="en-AU"/>
        </w:rPr>
        <w:t>rdered probit model</w:t>
      </w:r>
      <w:r w:rsidR="00C21BDA" w:rsidRPr="00BF48E1">
        <w:rPr>
          <w:rFonts w:cs="Arial"/>
          <w:color w:val="080808"/>
          <w:lang w:eastAsia="en-AU"/>
        </w:rPr>
        <w:t xml:space="preserve"> estimate</w:t>
      </w:r>
      <w:r w:rsidR="002A4A71" w:rsidRPr="00BF48E1">
        <w:rPr>
          <w:rFonts w:cs="Arial"/>
          <w:color w:val="080808"/>
          <w:lang w:eastAsia="en-AU"/>
        </w:rPr>
        <w:t xml:space="preserve">s for the choice of </w:t>
      </w:r>
      <w:bookmarkEnd w:id="54"/>
      <w:r w:rsidR="008B4F30" w:rsidRPr="00BF48E1">
        <w:rPr>
          <w:rFonts w:cs="Arial"/>
          <w:color w:val="080808"/>
          <w:lang w:eastAsia="en-AU"/>
        </w:rPr>
        <w:t>field</w:t>
      </w:r>
      <w:r w:rsidR="007C0A0B" w:rsidRPr="00BF48E1">
        <w:rPr>
          <w:rFonts w:cs="Arial"/>
          <w:color w:val="080808"/>
          <w:lang w:eastAsia="en-AU"/>
        </w:rPr>
        <w:t>s</w:t>
      </w:r>
      <w:r w:rsidR="008B4F30" w:rsidRPr="00BF48E1">
        <w:rPr>
          <w:rFonts w:cs="Arial"/>
          <w:color w:val="080808"/>
          <w:lang w:eastAsia="en-AU"/>
        </w:rPr>
        <w:t xml:space="preserve"> of study</w:t>
      </w:r>
      <w:bookmarkEnd w:id="55"/>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4253"/>
        <w:gridCol w:w="1271"/>
        <w:gridCol w:w="1559"/>
        <w:gridCol w:w="1701"/>
      </w:tblGrid>
      <w:tr w:rsidR="002A4A71" w:rsidRPr="0016620E" w14:paraId="0A9DDBB9" w14:textId="77777777" w:rsidTr="0095055E">
        <w:trPr>
          <w:jc w:val="center"/>
        </w:trPr>
        <w:tc>
          <w:tcPr>
            <w:tcW w:w="4253" w:type="dxa"/>
            <w:tcBorders>
              <w:top w:val="single" w:sz="4" w:space="0" w:color="auto"/>
              <w:left w:val="nil"/>
              <w:bottom w:val="single" w:sz="4" w:space="0" w:color="auto"/>
            </w:tcBorders>
            <w:shd w:val="clear" w:color="auto" w:fill="78DED9" w:themeFill="accent1"/>
          </w:tcPr>
          <w:p w14:paraId="3DFEF14D" w14:textId="77777777" w:rsidR="002A4A71" w:rsidRPr="00D75CF3" w:rsidRDefault="002A4A71" w:rsidP="00C32DD2">
            <w:pPr>
              <w:spacing w:after="120" w:line="240" w:lineRule="auto"/>
              <w:rPr>
                <w:rFonts w:cs="Arial"/>
                <w:b/>
                <w:bCs/>
              </w:rPr>
            </w:pPr>
          </w:p>
        </w:tc>
        <w:tc>
          <w:tcPr>
            <w:tcW w:w="1271" w:type="dxa"/>
            <w:tcBorders>
              <w:top w:val="single" w:sz="4" w:space="0" w:color="auto"/>
              <w:bottom w:val="single" w:sz="4" w:space="0" w:color="auto"/>
            </w:tcBorders>
            <w:shd w:val="clear" w:color="auto" w:fill="78DED9" w:themeFill="accent1"/>
          </w:tcPr>
          <w:p w14:paraId="787BFB39" w14:textId="77777777" w:rsidR="002A4A71" w:rsidRPr="00D75CF3" w:rsidRDefault="002A4A71" w:rsidP="00C32DD2">
            <w:pPr>
              <w:spacing w:after="120" w:line="240" w:lineRule="auto"/>
              <w:rPr>
                <w:rFonts w:cs="Arial"/>
                <w:b/>
                <w:bCs/>
              </w:rPr>
            </w:pPr>
            <w:r w:rsidRPr="00D75CF3">
              <w:rPr>
                <w:rFonts w:cs="Arial"/>
                <w:b/>
                <w:bCs/>
              </w:rPr>
              <w:t>All</w:t>
            </w:r>
          </w:p>
        </w:tc>
        <w:tc>
          <w:tcPr>
            <w:tcW w:w="1559" w:type="dxa"/>
            <w:tcBorders>
              <w:top w:val="single" w:sz="4" w:space="0" w:color="auto"/>
              <w:bottom w:val="single" w:sz="4" w:space="0" w:color="auto"/>
            </w:tcBorders>
            <w:shd w:val="clear" w:color="auto" w:fill="78DED9" w:themeFill="accent1"/>
          </w:tcPr>
          <w:p w14:paraId="4761BB42" w14:textId="77777777" w:rsidR="002A4A71" w:rsidRPr="00D75CF3" w:rsidRDefault="002A4A71" w:rsidP="00C32DD2">
            <w:pPr>
              <w:spacing w:after="120" w:line="240" w:lineRule="auto"/>
              <w:rPr>
                <w:rFonts w:cs="Arial"/>
                <w:b/>
                <w:bCs/>
              </w:rPr>
            </w:pPr>
            <w:r w:rsidRPr="00D75CF3">
              <w:rPr>
                <w:rFonts w:cs="Arial"/>
                <w:b/>
                <w:bCs/>
              </w:rPr>
              <w:t>Born before 1980</w:t>
            </w:r>
          </w:p>
        </w:tc>
        <w:tc>
          <w:tcPr>
            <w:tcW w:w="1701" w:type="dxa"/>
            <w:tcBorders>
              <w:top w:val="single" w:sz="4" w:space="0" w:color="auto"/>
              <w:bottom w:val="single" w:sz="4" w:space="0" w:color="auto"/>
              <w:right w:val="nil"/>
            </w:tcBorders>
            <w:shd w:val="clear" w:color="auto" w:fill="78DED9" w:themeFill="accent1"/>
          </w:tcPr>
          <w:p w14:paraId="0B59AF11" w14:textId="63EC98CE" w:rsidR="002A4A71" w:rsidRPr="00D75CF3" w:rsidRDefault="002A4A71" w:rsidP="00C32DD2">
            <w:pPr>
              <w:spacing w:after="120" w:line="240" w:lineRule="auto"/>
              <w:rPr>
                <w:rFonts w:cs="Arial"/>
                <w:b/>
                <w:bCs/>
              </w:rPr>
            </w:pPr>
            <w:r w:rsidRPr="00D75CF3">
              <w:rPr>
                <w:rFonts w:cs="Arial"/>
                <w:b/>
                <w:bCs/>
              </w:rPr>
              <w:t xml:space="preserve">Born in 1980 </w:t>
            </w:r>
            <w:r w:rsidR="000B3585">
              <w:rPr>
                <w:rFonts w:cs="Arial"/>
                <w:b/>
                <w:bCs/>
              </w:rPr>
              <w:t>or</w:t>
            </w:r>
            <w:r w:rsidRPr="00D75CF3">
              <w:rPr>
                <w:rFonts w:cs="Arial"/>
                <w:b/>
                <w:bCs/>
              </w:rPr>
              <w:t xml:space="preserve"> later</w:t>
            </w:r>
          </w:p>
        </w:tc>
      </w:tr>
      <w:tr w:rsidR="002A4A71" w:rsidRPr="0016620E" w14:paraId="3E00C4FD" w14:textId="77777777" w:rsidTr="0095055E">
        <w:trPr>
          <w:jc w:val="center"/>
        </w:trPr>
        <w:tc>
          <w:tcPr>
            <w:tcW w:w="4253" w:type="dxa"/>
            <w:tcBorders>
              <w:top w:val="single" w:sz="4" w:space="0" w:color="auto"/>
              <w:left w:val="nil"/>
            </w:tcBorders>
          </w:tcPr>
          <w:p w14:paraId="6502F2B0" w14:textId="77777777" w:rsidR="002A4A71" w:rsidRPr="0016620E" w:rsidRDefault="002A4A71" w:rsidP="00C32DD2">
            <w:pPr>
              <w:spacing w:line="240" w:lineRule="auto"/>
              <w:rPr>
                <w:rFonts w:cs="Arial"/>
              </w:rPr>
            </w:pPr>
            <w:r w:rsidRPr="0016620E">
              <w:rPr>
                <w:rFonts w:cs="Arial"/>
              </w:rPr>
              <w:t>Indigenous</w:t>
            </w:r>
          </w:p>
        </w:tc>
        <w:tc>
          <w:tcPr>
            <w:tcW w:w="1271" w:type="dxa"/>
            <w:tcBorders>
              <w:top w:val="single" w:sz="4" w:space="0" w:color="auto"/>
            </w:tcBorders>
          </w:tcPr>
          <w:p w14:paraId="3D2549C4" w14:textId="750E4484" w:rsidR="002A4A71" w:rsidRPr="0016620E" w:rsidRDefault="002A4A71" w:rsidP="00C32DD2">
            <w:pPr>
              <w:spacing w:line="240" w:lineRule="auto"/>
              <w:rPr>
                <w:rFonts w:cs="Arial"/>
              </w:rPr>
            </w:pPr>
            <w:r w:rsidRPr="0016620E">
              <w:rPr>
                <w:rFonts w:cs="Arial"/>
              </w:rPr>
              <w:t>–0.</w:t>
            </w:r>
            <w:r w:rsidR="00C474BD" w:rsidRPr="0016620E">
              <w:rPr>
                <w:rFonts w:cs="Arial"/>
              </w:rPr>
              <w:t>03</w:t>
            </w:r>
            <w:r w:rsidR="00C474BD">
              <w:rPr>
                <w:rFonts w:cs="Arial"/>
              </w:rPr>
              <w:t>4</w:t>
            </w:r>
          </w:p>
          <w:p w14:paraId="5A8BB965" w14:textId="77777777" w:rsidR="002A4A71" w:rsidRPr="0016620E" w:rsidRDefault="002A4A71" w:rsidP="00C32DD2">
            <w:pPr>
              <w:spacing w:line="240" w:lineRule="auto"/>
              <w:rPr>
                <w:rFonts w:cs="Arial"/>
              </w:rPr>
            </w:pPr>
            <w:r w:rsidRPr="0016620E">
              <w:rPr>
                <w:rFonts w:cs="Arial"/>
              </w:rPr>
              <w:t>(0.144)</w:t>
            </w:r>
          </w:p>
        </w:tc>
        <w:tc>
          <w:tcPr>
            <w:tcW w:w="1559" w:type="dxa"/>
            <w:tcBorders>
              <w:top w:val="single" w:sz="4" w:space="0" w:color="auto"/>
            </w:tcBorders>
          </w:tcPr>
          <w:p w14:paraId="3D5445B0" w14:textId="3F6768D3" w:rsidR="002A4A71" w:rsidRPr="0016620E" w:rsidRDefault="002A4A71" w:rsidP="00C32DD2">
            <w:pPr>
              <w:spacing w:line="240" w:lineRule="auto"/>
              <w:rPr>
                <w:rFonts w:cs="Arial"/>
              </w:rPr>
            </w:pPr>
            <w:r w:rsidRPr="0016620E">
              <w:rPr>
                <w:rFonts w:cs="Arial"/>
              </w:rPr>
              <w:t>–0.</w:t>
            </w:r>
            <w:r w:rsidR="00406292">
              <w:rPr>
                <w:rFonts w:cs="Arial"/>
              </w:rPr>
              <w:t>205</w:t>
            </w:r>
          </w:p>
          <w:p w14:paraId="65023D4A" w14:textId="7D2D3DA4" w:rsidR="002A4A71" w:rsidRPr="0016620E" w:rsidRDefault="002A4A71" w:rsidP="00C32DD2">
            <w:pPr>
              <w:spacing w:line="240" w:lineRule="auto"/>
              <w:rPr>
                <w:rFonts w:cs="Arial"/>
              </w:rPr>
            </w:pPr>
            <w:r w:rsidRPr="0016620E">
              <w:rPr>
                <w:rFonts w:cs="Arial"/>
              </w:rPr>
              <w:t>(0.</w:t>
            </w:r>
            <w:r w:rsidR="00406292" w:rsidRPr="0016620E">
              <w:rPr>
                <w:rFonts w:cs="Arial"/>
              </w:rPr>
              <w:t>19</w:t>
            </w:r>
            <w:r w:rsidR="00406292">
              <w:rPr>
                <w:rFonts w:cs="Arial"/>
              </w:rPr>
              <w:t>7</w:t>
            </w:r>
            <w:r w:rsidRPr="0016620E">
              <w:rPr>
                <w:rFonts w:cs="Arial"/>
              </w:rPr>
              <w:t>)</w:t>
            </w:r>
          </w:p>
        </w:tc>
        <w:tc>
          <w:tcPr>
            <w:tcW w:w="1701" w:type="dxa"/>
            <w:tcBorders>
              <w:top w:val="single" w:sz="4" w:space="0" w:color="auto"/>
              <w:right w:val="nil"/>
            </w:tcBorders>
          </w:tcPr>
          <w:p w14:paraId="21F61D3F" w14:textId="4BA2B85C" w:rsidR="002A4A71" w:rsidRPr="0016620E" w:rsidRDefault="002A4A71" w:rsidP="00C32DD2">
            <w:pPr>
              <w:spacing w:line="240" w:lineRule="auto"/>
              <w:rPr>
                <w:rFonts w:cs="Arial"/>
              </w:rPr>
            </w:pPr>
            <w:r w:rsidRPr="0016620E">
              <w:rPr>
                <w:rFonts w:cs="Arial"/>
              </w:rPr>
              <w:t>0.</w:t>
            </w:r>
            <w:r w:rsidR="002C63DA" w:rsidRPr="0016620E">
              <w:rPr>
                <w:rFonts w:cs="Arial"/>
              </w:rPr>
              <w:t>1</w:t>
            </w:r>
            <w:r w:rsidR="002C63DA">
              <w:rPr>
                <w:rFonts w:cs="Arial"/>
              </w:rPr>
              <w:t>08</w:t>
            </w:r>
          </w:p>
          <w:p w14:paraId="79CCB9CC" w14:textId="3C877DF5" w:rsidR="002A4A71" w:rsidRPr="0016620E" w:rsidRDefault="002A4A71" w:rsidP="00C32DD2">
            <w:pPr>
              <w:spacing w:after="120" w:line="240" w:lineRule="auto"/>
              <w:rPr>
                <w:rFonts w:cs="Arial"/>
              </w:rPr>
            </w:pPr>
            <w:r w:rsidRPr="0016620E">
              <w:rPr>
                <w:rFonts w:cs="Arial"/>
              </w:rPr>
              <w:t>(0.</w:t>
            </w:r>
            <w:r w:rsidR="002C63DA" w:rsidRPr="0016620E">
              <w:rPr>
                <w:rFonts w:cs="Arial"/>
              </w:rPr>
              <w:t>21</w:t>
            </w:r>
            <w:r w:rsidR="002C63DA">
              <w:rPr>
                <w:rFonts w:cs="Arial"/>
              </w:rPr>
              <w:t>1</w:t>
            </w:r>
            <w:r w:rsidRPr="0016620E">
              <w:rPr>
                <w:rFonts w:cs="Arial"/>
              </w:rPr>
              <w:t>)</w:t>
            </w:r>
          </w:p>
        </w:tc>
      </w:tr>
      <w:tr w:rsidR="002A4A71" w:rsidRPr="0016620E" w14:paraId="10C7F842" w14:textId="77777777" w:rsidTr="0095055E">
        <w:trPr>
          <w:jc w:val="center"/>
        </w:trPr>
        <w:tc>
          <w:tcPr>
            <w:tcW w:w="4253" w:type="dxa"/>
            <w:tcBorders>
              <w:left w:val="nil"/>
            </w:tcBorders>
          </w:tcPr>
          <w:p w14:paraId="3E91FDBE" w14:textId="77777777" w:rsidR="002A4A71" w:rsidRPr="0016620E" w:rsidRDefault="002A4A71" w:rsidP="00C32DD2">
            <w:pPr>
              <w:spacing w:line="240" w:lineRule="auto"/>
              <w:rPr>
                <w:rFonts w:cs="Arial"/>
              </w:rPr>
            </w:pPr>
            <w:r w:rsidRPr="0016620E">
              <w:rPr>
                <w:rFonts w:cs="Arial"/>
              </w:rPr>
              <w:t>NESB</w:t>
            </w:r>
          </w:p>
        </w:tc>
        <w:tc>
          <w:tcPr>
            <w:tcW w:w="1271" w:type="dxa"/>
          </w:tcPr>
          <w:p w14:paraId="01C04814" w14:textId="34F8065B" w:rsidR="002A4A71" w:rsidRPr="0016620E" w:rsidRDefault="002A4A71" w:rsidP="00C32DD2">
            <w:pPr>
              <w:spacing w:line="240" w:lineRule="auto"/>
              <w:rPr>
                <w:rFonts w:cs="Arial"/>
              </w:rPr>
            </w:pPr>
            <w:r w:rsidRPr="0016620E">
              <w:rPr>
                <w:rFonts w:cs="Arial"/>
              </w:rPr>
              <w:t>0.</w:t>
            </w:r>
            <w:r w:rsidR="00C474BD">
              <w:rPr>
                <w:rFonts w:cs="Arial"/>
              </w:rPr>
              <w:t>408</w:t>
            </w:r>
            <w:r w:rsidRPr="0016620E">
              <w:rPr>
                <w:rFonts w:cs="Arial"/>
              </w:rPr>
              <w:t>***</w:t>
            </w:r>
          </w:p>
          <w:p w14:paraId="4899E9E0" w14:textId="2A18AF8B" w:rsidR="002A4A71" w:rsidRPr="0016620E" w:rsidRDefault="002A4A71" w:rsidP="00C32DD2">
            <w:pPr>
              <w:spacing w:line="240" w:lineRule="auto"/>
              <w:rPr>
                <w:rFonts w:cs="Arial"/>
              </w:rPr>
            </w:pPr>
            <w:r w:rsidRPr="0016620E">
              <w:rPr>
                <w:rFonts w:cs="Arial"/>
              </w:rPr>
              <w:t>(0.</w:t>
            </w:r>
            <w:r w:rsidR="00C474BD" w:rsidRPr="0016620E">
              <w:rPr>
                <w:rFonts w:cs="Arial"/>
              </w:rPr>
              <w:t>0</w:t>
            </w:r>
            <w:r w:rsidR="00C474BD">
              <w:rPr>
                <w:rFonts w:cs="Arial"/>
              </w:rPr>
              <w:t>71</w:t>
            </w:r>
            <w:r w:rsidRPr="0016620E">
              <w:rPr>
                <w:rFonts w:cs="Arial"/>
              </w:rPr>
              <w:t>)</w:t>
            </w:r>
          </w:p>
        </w:tc>
        <w:tc>
          <w:tcPr>
            <w:tcW w:w="1559" w:type="dxa"/>
          </w:tcPr>
          <w:p w14:paraId="53AE2293" w14:textId="10134336" w:rsidR="002A4A71" w:rsidRPr="0016620E" w:rsidRDefault="002A4A71" w:rsidP="00C32DD2">
            <w:pPr>
              <w:spacing w:line="240" w:lineRule="auto"/>
              <w:rPr>
                <w:rFonts w:cs="Arial"/>
              </w:rPr>
            </w:pPr>
            <w:r w:rsidRPr="0016620E">
              <w:rPr>
                <w:rFonts w:cs="Arial"/>
              </w:rPr>
              <w:t>0.</w:t>
            </w:r>
            <w:r w:rsidR="00406292">
              <w:rPr>
                <w:rFonts w:cs="Arial"/>
              </w:rPr>
              <w:t>294</w:t>
            </w:r>
            <w:r w:rsidRPr="0016620E">
              <w:rPr>
                <w:rFonts w:cs="Arial"/>
              </w:rPr>
              <w:t>***</w:t>
            </w:r>
          </w:p>
          <w:p w14:paraId="5A7136F8" w14:textId="4E062EAE" w:rsidR="002A4A71" w:rsidRPr="0016620E" w:rsidRDefault="002A4A71" w:rsidP="00C32DD2">
            <w:pPr>
              <w:spacing w:line="240" w:lineRule="auto"/>
              <w:rPr>
                <w:rFonts w:cs="Arial"/>
              </w:rPr>
            </w:pPr>
            <w:r w:rsidRPr="0016620E">
              <w:rPr>
                <w:rFonts w:cs="Arial"/>
              </w:rPr>
              <w:t>(0.</w:t>
            </w:r>
            <w:r w:rsidR="00406292" w:rsidRPr="0016620E">
              <w:rPr>
                <w:rFonts w:cs="Arial"/>
              </w:rPr>
              <w:t>0</w:t>
            </w:r>
            <w:r w:rsidR="00406292">
              <w:rPr>
                <w:rFonts w:cs="Arial"/>
              </w:rPr>
              <w:t>91</w:t>
            </w:r>
            <w:r w:rsidRPr="0016620E">
              <w:rPr>
                <w:rFonts w:cs="Arial"/>
              </w:rPr>
              <w:t>)</w:t>
            </w:r>
          </w:p>
        </w:tc>
        <w:tc>
          <w:tcPr>
            <w:tcW w:w="1701" w:type="dxa"/>
            <w:tcBorders>
              <w:right w:val="nil"/>
            </w:tcBorders>
          </w:tcPr>
          <w:p w14:paraId="4456B291" w14:textId="5E39AEAA" w:rsidR="002A4A71" w:rsidRPr="0016620E" w:rsidRDefault="002A4A71" w:rsidP="00C32DD2">
            <w:pPr>
              <w:spacing w:line="240" w:lineRule="auto"/>
              <w:rPr>
                <w:rFonts w:cs="Arial"/>
              </w:rPr>
            </w:pPr>
            <w:r w:rsidRPr="0016620E">
              <w:rPr>
                <w:rFonts w:cs="Arial"/>
              </w:rPr>
              <w:t>0.</w:t>
            </w:r>
            <w:r w:rsidR="002C63DA">
              <w:rPr>
                <w:rFonts w:cs="Arial"/>
              </w:rPr>
              <w:t>56</w:t>
            </w:r>
            <w:r w:rsidR="002C63DA" w:rsidRPr="0016620E">
              <w:rPr>
                <w:rFonts w:cs="Arial"/>
              </w:rPr>
              <w:t>3</w:t>
            </w:r>
            <w:r w:rsidRPr="0016620E">
              <w:rPr>
                <w:rFonts w:cs="Arial"/>
              </w:rPr>
              <w:t>***</w:t>
            </w:r>
          </w:p>
          <w:p w14:paraId="4D0D42C9" w14:textId="65EE8759" w:rsidR="002A4A71" w:rsidRPr="0016620E" w:rsidRDefault="002A4A71" w:rsidP="00C32DD2">
            <w:pPr>
              <w:spacing w:after="120" w:line="240" w:lineRule="auto"/>
              <w:rPr>
                <w:rFonts w:cs="Arial"/>
              </w:rPr>
            </w:pPr>
            <w:r w:rsidRPr="0016620E">
              <w:rPr>
                <w:rFonts w:cs="Arial"/>
              </w:rPr>
              <w:t>(0.</w:t>
            </w:r>
            <w:r w:rsidR="002C63DA" w:rsidRPr="0016620E">
              <w:rPr>
                <w:rFonts w:cs="Arial"/>
              </w:rPr>
              <w:t>1</w:t>
            </w:r>
            <w:r w:rsidR="002C63DA">
              <w:rPr>
                <w:rFonts w:cs="Arial"/>
              </w:rPr>
              <w:t>22</w:t>
            </w:r>
            <w:r w:rsidRPr="0016620E">
              <w:rPr>
                <w:rFonts w:cs="Arial"/>
              </w:rPr>
              <w:t>)</w:t>
            </w:r>
          </w:p>
        </w:tc>
      </w:tr>
      <w:tr w:rsidR="002A4A71" w:rsidRPr="0016620E" w14:paraId="1D50C23B" w14:textId="77777777" w:rsidTr="0095055E">
        <w:trPr>
          <w:jc w:val="center"/>
        </w:trPr>
        <w:tc>
          <w:tcPr>
            <w:tcW w:w="4253" w:type="dxa"/>
            <w:tcBorders>
              <w:left w:val="nil"/>
            </w:tcBorders>
          </w:tcPr>
          <w:p w14:paraId="628BAA48" w14:textId="211E5721" w:rsidR="002A4A71" w:rsidRPr="0016620E" w:rsidRDefault="00BF057E" w:rsidP="00C32DD2">
            <w:pPr>
              <w:spacing w:line="240" w:lineRule="auto"/>
              <w:rPr>
                <w:rFonts w:cs="Arial"/>
              </w:rPr>
            </w:pPr>
            <w:r>
              <w:rPr>
                <w:rFonts w:eastAsia="Arial" w:cs="Arial"/>
                <w:w w:val="105"/>
                <w14:ligatures w14:val="none"/>
              </w:rPr>
              <w:t>L</w:t>
            </w:r>
            <w:r w:rsidRPr="00276F44">
              <w:rPr>
                <w:rFonts w:eastAsia="Arial" w:cs="Arial"/>
                <w:w w:val="105"/>
                <w14:ligatures w14:val="none"/>
              </w:rPr>
              <w:t>ow</w:t>
            </w:r>
            <w:r>
              <w:rPr>
                <w:rFonts w:eastAsia="Arial" w:cs="Arial"/>
                <w:w w:val="105"/>
                <w14:ligatures w14:val="none"/>
              </w:rPr>
              <w:t xml:space="preserve"> </w:t>
            </w:r>
            <w:r w:rsidRPr="00276F44">
              <w:rPr>
                <w:rFonts w:eastAsia="Arial" w:cs="Arial"/>
                <w:w w:val="105"/>
                <w14:ligatures w14:val="none"/>
              </w:rPr>
              <w:t>SES</w:t>
            </w:r>
            <w:r>
              <w:rPr>
                <w:rFonts w:eastAsia="Arial" w:cs="Arial"/>
                <w:w w:val="105"/>
                <w14:ligatures w14:val="none"/>
              </w:rPr>
              <w:t xml:space="preserve"> in childhood</w:t>
            </w:r>
          </w:p>
        </w:tc>
        <w:tc>
          <w:tcPr>
            <w:tcW w:w="1271" w:type="dxa"/>
          </w:tcPr>
          <w:p w14:paraId="23106FBD" w14:textId="339B2249" w:rsidR="002A4A71" w:rsidRPr="0016620E" w:rsidRDefault="002A4A71" w:rsidP="00C32DD2">
            <w:pPr>
              <w:spacing w:line="240" w:lineRule="auto"/>
              <w:rPr>
                <w:rFonts w:cs="Arial"/>
              </w:rPr>
            </w:pPr>
            <w:r w:rsidRPr="0016620E">
              <w:rPr>
                <w:rFonts w:cs="Arial"/>
              </w:rPr>
              <w:t>0.</w:t>
            </w:r>
            <w:r w:rsidR="00C474BD" w:rsidRPr="0016620E">
              <w:rPr>
                <w:rFonts w:cs="Arial"/>
              </w:rPr>
              <w:t>0</w:t>
            </w:r>
            <w:r w:rsidR="00C474BD">
              <w:rPr>
                <w:rFonts w:cs="Arial"/>
              </w:rPr>
              <w:t>03</w:t>
            </w:r>
          </w:p>
          <w:p w14:paraId="489B687F" w14:textId="77777777" w:rsidR="002A4A71" w:rsidRPr="0016620E" w:rsidRDefault="002A4A71" w:rsidP="00C32DD2">
            <w:pPr>
              <w:spacing w:line="240" w:lineRule="auto"/>
              <w:rPr>
                <w:rFonts w:cs="Arial"/>
              </w:rPr>
            </w:pPr>
            <w:r w:rsidRPr="0016620E">
              <w:rPr>
                <w:rFonts w:cs="Arial"/>
              </w:rPr>
              <w:t>(0.035)</w:t>
            </w:r>
          </w:p>
        </w:tc>
        <w:tc>
          <w:tcPr>
            <w:tcW w:w="1559" w:type="dxa"/>
          </w:tcPr>
          <w:p w14:paraId="0D04AAE1" w14:textId="617F0D81" w:rsidR="002A4A71" w:rsidRPr="0016620E" w:rsidRDefault="002A4A71" w:rsidP="00C32DD2">
            <w:pPr>
              <w:spacing w:line="240" w:lineRule="auto"/>
              <w:rPr>
                <w:rFonts w:cs="Arial"/>
              </w:rPr>
            </w:pPr>
            <w:r w:rsidRPr="0016620E">
              <w:rPr>
                <w:rFonts w:cs="Arial"/>
              </w:rPr>
              <w:t>0.</w:t>
            </w:r>
            <w:r w:rsidR="00406292" w:rsidRPr="0016620E">
              <w:rPr>
                <w:rFonts w:cs="Arial"/>
              </w:rPr>
              <w:t>0</w:t>
            </w:r>
            <w:r w:rsidR="00406292">
              <w:rPr>
                <w:rFonts w:cs="Arial"/>
              </w:rPr>
              <w:t>22</w:t>
            </w:r>
          </w:p>
          <w:p w14:paraId="071C2BF2" w14:textId="6235F689" w:rsidR="002A4A71" w:rsidRPr="0016620E" w:rsidRDefault="002A4A71" w:rsidP="00C32DD2">
            <w:pPr>
              <w:spacing w:line="240" w:lineRule="auto"/>
              <w:rPr>
                <w:rFonts w:cs="Arial"/>
              </w:rPr>
            </w:pPr>
            <w:r w:rsidRPr="0016620E">
              <w:rPr>
                <w:rFonts w:cs="Arial"/>
              </w:rPr>
              <w:t>(0.</w:t>
            </w:r>
            <w:r w:rsidR="00406292" w:rsidRPr="0016620E">
              <w:rPr>
                <w:rFonts w:cs="Arial"/>
              </w:rPr>
              <w:t>04</w:t>
            </w:r>
            <w:r w:rsidR="00406292">
              <w:rPr>
                <w:rFonts w:cs="Arial"/>
              </w:rPr>
              <w:t>7</w:t>
            </w:r>
            <w:r w:rsidRPr="0016620E">
              <w:rPr>
                <w:rFonts w:cs="Arial"/>
              </w:rPr>
              <w:t>)</w:t>
            </w:r>
          </w:p>
        </w:tc>
        <w:tc>
          <w:tcPr>
            <w:tcW w:w="1701" w:type="dxa"/>
            <w:tcBorders>
              <w:right w:val="nil"/>
            </w:tcBorders>
          </w:tcPr>
          <w:p w14:paraId="5ECE8AD9" w14:textId="4B3FDC75" w:rsidR="002A4A71" w:rsidRPr="0016620E" w:rsidRDefault="002A4A71" w:rsidP="00C32DD2">
            <w:pPr>
              <w:spacing w:line="240" w:lineRule="auto"/>
              <w:rPr>
                <w:rFonts w:cs="Arial"/>
              </w:rPr>
            </w:pPr>
            <w:r w:rsidRPr="0016620E">
              <w:rPr>
                <w:rFonts w:cs="Arial"/>
              </w:rPr>
              <w:t>–0.</w:t>
            </w:r>
            <w:r w:rsidR="002C63DA">
              <w:rPr>
                <w:rFonts w:cs="Arial"/>
              </w:rPr>
              <w:t>024</w:t>
            </w:r>
          </w:p>
          <w:p w14:paraId="34B19FEB" w14:textId="6BF9438D" w:rsidR="002A4A71" w:rsidRPr="0016620E" w:rsidRDefault="002A4A71" w:rsidP="00C32DD2">
            <w:pPr>
              <w:spacing w:after="120" w:line="240" w:lineRule="auto"/>
              <w:rPr>
                <w:rFonts w:cs="Arial"/>
              </w:rPr>
            </w:pPr>
            <w:r w:rsidRPr="0016620E">
              <w:rPr>
                <w:rFonts w:cs="Arial"/>
              </w:rPr>
              <w:t>(0.</w:t>
            </w:r>
            <w:r w:rsidR="002C63DA" w:rsidRPr="0016620E">
              <w:rPr>
                <w:rFonts w:cs="Arial"/>
              </w:rPr>
              <w:t>05</w:t>
            </w:r>
            <w:r w:rsidR="002C63DA">
              <w:rPr>
                <w:rFonts w:cs="Arial"/>
              </w:rPr>
              <w:t>2</w:t>
            </w:r>
            <w:r w:rsidRPr="0016620E">
              <w:rPr>
                <w:rFonts w:cs="Arial"/>
              </w:rPr>
              <w:t>)</w:t>
            </w:r>
          </w:p>
        </w:tc>
      </w:tr>
      <w:tr w:rsidR="002A4A71" w:rsidRPr="0016620E" w14:paraId="0A9F3AC8" w14:textId="77777777" w:rsidTr="0095055E">
        <w:trPr>
          <w:jc w:val="center"/>
        </w:trPr>
        <w:tc>
          <w:tcPr>
            <w:tcW w:w="4253" w:type="dxa"/>
            <w:tcBorders>
              <w:left w:val="nil"/>
            </w:tcBorders>
          </w:tcPr>
          <w:p w14:paraId="3E380C54" w14:textId="77777777" w:rsidR="002A4A71" w:rsidRPr="0016620E" w:rsidRDefault="002A4A71" w:rsidP="00C32DD2">
            <w:pPr>
              <w:spacing w:line="240" w:lineRule="auto"/>
              <w:rPr>
                <w:rFonts w:cs="Arial"/>
              </w:rPr>
            </w:pPr>
            <w:r w:rsidRPr="0016620E">
              <w:rPr>
                <w:rFonts w:cs="Arial"/>
                <w:w w:val="105"/>
              </w:rPr>
              <w:t>Father unemployed for 6+ months</w:t>
            </w:r>
          </w:p>
        </w:tc>
        <w:tc>
          <w:tcPr>
            <w:tcW w:w="1271" w:type="dxa"/>
          </w:tcPr>
          <w:p w14:paraId="073DC384" w14:textId="54A16A43" w:rsidR="002A4A71" w:rsidRPr="0016620E" w:rsidRDefault="002A4A71" w:rsidP="00C32DD2">
            <w:pPr>
              <w:spacing w:line="240" w:lineRule="auto"/>
              <w:rPr>
                <w:rFonts w:cs="Arial"/>
              </w:rPr>
            </w:pPr>
            <w:r w:rsidRPr="0016620E">
              <w:rPr>
                <w:rFonts w:cs="Arial"/>
              </w:rPr>
              <w:t>–0.</w:t>
            </w:r>
            <w:r w:rsidR="00C474BD" w:rsidRPr="0016620E">
              <w:rPr>
                <w:rFonts w:cs="Arial"/>
              </w:rPr>
              <w:t>0</w:t>
            </w:r>
            <w:r w:rsidR="00C474BD">
              <w:rPr>
                <w:rFonts w:cs="Arial"/>
              </w:rPr>
              <w:t>3</w:t>
            </w:r>
            <w:r w:rsidR="00C474BD" w:rsidRPr="0016620E">
              <w:rPr>
                <w:rFonts w:cs="Arial"/>
              </w:rPr>
              <w:t>7</w:t>
            </w:r>
          </w:p>
          <w:p w14:paraId="67825FFD" w14:textId="4F7677DC" w:rsidR="002A4A71" w:rsidRPr="0016620E" w:rsidRDefault="002A4A71" w:rsidP="00C32DD2">
            <w:pPr>
              <w:spacing w:line="240" w:lineRule="auto"/>
              <w:rPr>
                <w:rFonts w:cs="Arial"/>
              </w:rPr>
            </w:pPr>
            <w:r w:rsidRPr="0016620E">
              <w:rPr>
                <w:rFonts w:cs="Arial"/>
              </w:rPr>
              <w:t>(0.</w:t>
            </w:r>
            <w:r w:rsidR="00C474BD" w:rsidRPr="0016620E">
              <w:rPr>
                <w:rFonts w:cs="Arial"/>
              </w:rPr>
              <w:t>05</w:t>
            </w:r>
            <w:r w:rsidR="00C474BD">
              <w:rPr>
                <w:rFonts w:cs="Arial"/>
              </w:rPr>
              <w:t>3</w:t>
            </w:r>
            <w:r w:rsidRPr="0016620E">
              <w:rPr>
                <w:rFonts w:cs="Arial"/>
              </w:rPr>
              <w:t>)</w:t>
            </w:r>
          </w:p>
        </w:tc>
        <w:tc>
          <w:tcPr>
            <w:tcW w:w="1559" w:type="dxa"/>
          </w:tcPr>
          <w:p w14:paraId="0FA9603A" w14:textId="0EE125DD" w:rsidR="002A4A71" w:rsidRPr="0016620E" w:rsidRDefault="002A4A71" w:rsidP="00C32DD2">
            <w:pPr>
              <w:spacing w:line="240" w:lineRule="auto"/>
              <w:rPr>
                <w:rFonts w:cs="Arial"/>
              </w:rPr>
            </w:pPr>
            <w:r w:rsidRPr="0016620E">
              <w:rPr>
                <w:rFonts w:cs="Arial"/>
              </w:rPr>
              <w:t>0.</w:t>
            </w:r>
            <w:r w:rsidR="00406292" w:rsidRPr="0016620E">
              <w:rPr>
                <w:rFonts w:cs="Arial"/>
              </w:rPr>
              <w:t>06</w:t>
            </w:r>
            <w:r w:rsidR="00406292">
              <w:rPr>
                <w:rFonts w:cs="Arial"/>
              </w:rPr>
              <w:t>8</w:t>
            </w:r>
          </w:p>
          <w:p w14:paraId="6FDD5973" w14:textId="77777777" w:rsidR="002A4A71" w:rsidRPr="0016620E" w:rsidRDefault="002A4A71" w:rsidP="00C32DD2">
            <w:pPr>
              <w:spacing w:line="240" w:lineRule="auto"/>
              <w:rPr>
                <w:rFonts w:cs="Arial"/>
              </w:rPr>
            </w:pPr>
            <w:r w:rsidRPr="0016620E">
              <w:rPr>
                <w:rFonts w:cs="Arial"/>
              </w:rPr>
              <w:t>(0.077)</w:t>
            </w:r>
          </w:p>
        </w:tc>
        <w:tc>
          <w:tcPr>
            <w:tcW w:w="1701" w:type="dxa"/>
            <w:tcBorders>
              <w:right w:val="nil"/>
            </w:tcBorders>
          </w:tcPr>
          <w:p w14:paraId="19BD7C74" w14:textId="6E765B2F" w:rsidR="002A4A71" w:rsidRPr="0016620E" w:rsidRDefault="002A4A71" w:rsidP="00C32DD2">
            <w:pPr>
              <w:spacing w:line="240" w:lineRule="auto"/>
              <w:rPr>
                <w:rFonts w:cs="Arial"/>
              </w:rPr>
            </w:pPr>
            <w:r w:rsidRPr="0016620E">
              <w:rPr>
                <w:rFonts w:cs="Arial"/>
              </w:rPr>
              <w:t>–0.</w:t>
            </w:r>
            <w:r w:rsidR="002C63DA">
              <w:rPr>
                <w:rFonts w:cs="Arial"/>
              </w:rPr>
              <w:t>129*</w:t>
            </w:r>
          </w:p>
          <w:p w14:paraId="155C225E" w14:textId="4D951A5A" w:rsidR="002A4A71" w:rsidRPr="0016620E" w:rsidRDefault="002A4A71" w:rsidP="00C32DD2">
            <w:pPr>
              <w:spacing w:after="120" w:line="240" w:lineRule="auto"/>
              <w:rPr>
                <w:rFonts w:cs="Arial"/>
              </w:rPr>
            </w:pPr>
            <w:r w:rsidRPr="0016620E">
              <w:rPr>
                <w:rFonts w:cs="Arial"/>
              </w:rPr>
              <w:t>(0.</w:t>
            </w:r>
            <w:r w:rsidR="002C63DA" w:rsidRPr="0016620E">
              <w:rPr>
                <w:rFonts w:cs="Arial"/>
              </w:rPr>
              <w:t>07</w:t>
            </w:r>
            <w:r w:rsidR="002C63DA">
              <w:rPr>
                <w:rFonts w:cs="Arial"/>
              </w:rPr>
              <w:t>3</w:t>
            </w:r>
            <w:r w:rsidRPr="0016620E">
              <w:rPr>
                <w:rFonts w:cs="Arial"/>
              </w:rPr>
              <w:t>)</w:t>
            </w:r>
          </w:p>
        </w:tc>
      </w:tr>
      <w:tr w:rsidR="002A4A71" w:rsidRPr="0016620E" w14:paraId="139162F4" w14:textId="77777777" w:rsidTr="0095055E">
        <w:trPr>
          <w:jc w:val="center"/>
        </w:trPr>
        <w:tc>
          <w:tcPr>
            <w:tcW w:w="4253" w:type="dxa"/>
            <w:tcBorders>
              <w:left w:val="nil"/>
              <w:bottom w:val="nil"/>
            </w:tcBorders>
          </w:tcPr>
          <w:p w14:paraId="199EBAD6" w14:textId="77777777" w:rsidR="002A4A71" w:rsidRPr="0016620E" w:rsidRDefault="002A4A71" w:rsidP="00C32DD2">
            <w:pPr>
              <w:spacing w:line="240" w:lineRule="auto"/>
              <w:rPr>
                <w:rFonts w:cs="Arial"/>
              </w:rPr>
            </w:pPr>
            <w:r w:rsidRPr="0016620E">
              <w:rPr>
                <w:rFonts w:cs="Arial"/>
              </w:rPr>
              <w:t>Single-parent family</w:t>
            </w:r>
          </w:p>
        </w:tc>
        <w:tc>
          <w:tcPr>
            <w:tcW w:w="1271" w:type="dxa"/>
            <w:tcBorders>
              <w:bottom w:val="nil"/>
            </w:tcBorders>
          </w:tcPr>
          <w:p w14:paraId="797275B6" w14:textId="6C20C755" w:rsidR="002A4A71" w:rsidRPr="0016620E" w:rsidRDefault="002A4A71" w:rsidP="00C32DD2">
            <w:pPr>
              <w:spacing w:line="240" w:lineRule="auto"/>
              <w:rPr>
                <w:rFonts w:cs="Arial"/>
              </w:rPr>
            </w:pPr>
            <w:r w:rsidRPr="0016620E">
              <w:rPr>
                <w:rFonts w:cs="Arial"/>
              </w:rPr>
              <w:t>–0.</w:t>
            </w:r>
            <w:r w:rsidR="00C474BD">
              <w:rPr>
                <w:rFonts w:cs="Arial"/>
              </w:rPr>
              <w:t>102</w:t>
            </w:r>
          </w:p>
          <w:p w14:paraId="371ABC61" w14:textId="408C0383" w:rsidR="002A4A71" w:rsidRPr="0016620E" w:rsidRDefault="002A4A71" w:rsidP="00C32DD2">
            <w:pPr>
              <w:spacing w:line="240" w:lineRule="auto"/>
              <w:rPr>
                <w:rFonts w:cs="Arial"/>
              </w:rPr>
            </w:pPr>
            <w:r w:rsidRPr="0016620E">
              <w:rPr>
                <w:rFonts w:cs="Arial"/>
              </w:rPr>
              <w:t>(0.</w:t>
            </w:r>
            <w:r w:rsidR="00C474BD" w:rsidRPr="0016620E">
              <w:rPr>
                <w:rFonts w:cs="Arial"/>
              </w:rPr>
              <w:t>08</w:t>
            </w:r>
            <w:r w:rsidR="00C474BD">
              <w:rPr>
                <w:rFonts w:cs="Arial"/>
              </w:rPr>
              <w:t>8</w:t>
            </w:r>
            <w:r w:rsidRPr="0016620E">
              <w:rPr>
                <w:rFonts w:cs="Arial"/>
              </w:rPr>
              <w:t>)</w:t>
            </w:r>
          </w:p>
        </w:tc>
        <w:tc>
          <w:tcPr>
            <w:tcW w:w="1559" w:type="dxa"/>
            <w:tcBorders>
              <w:bottom w:val="nil"/>
            </w:tcBorders>
          </w:tcPr>
          <w:p w14:paraId="17B9B96C" w14:textId="566F8757" w:rsidR="002A4A71" w:rsidRPr="0016620E" w:rsidRDefault="00406292" w:rsidP="00C32DD2">
            <w:pPr>
              <w:spacing w:line="240" w:lineRule="auto"/>
              <w:rPr>
                <w:rFonts w:cs="Arial"/>
              </w:rPr>
            </w:pPr>
            <w:r w:rsidRPr="0016620E">
              <w:rPr>
                <w:rFonts w:cs="Arial"/>
              </w:rPr>
              <w:t>–</w:t>
            </w:r>
            <w:r w:rsidR="002A4A71" w:rsidRPr="0016620E">
              <w:rPr>
                <w:rFonts w:cs="Arial"/>
              </w:rPr>
              <w:t>0.</w:t>
            </w:r>
            <w:r w:rsidRPr="0016620E">
              <w:rPr>
                <w:rFonts w:cs="Arial"/>
              </w:rPr>
              <w:t>0</w:t>
            </w:r>
            <w:r>
              <w:rPr>
                <w:rFonts w:cs="Arial"/>
              </w:rPr>
              <w:t>37</w:t>
            </w:r>
          </w:p>
          <w:p w14:paraId="4B0B1217" w14:textId="0FA7EAC7" w:rsidR="002A4A71" w:rsidRPr="0016620E" w:rsidRDefault="002A4A71" w:rsidP="00C32DD2">
            <w:pPr>
              <w:spacing w:line="240" w:lineRule="auto"/>
              <w:rPr>
                <w:rFonts w:cs="Arial"/>
              </w:rPr>
            </w:pPr>
            <w:r w:rsidRPr="0016620E">
              <w:rPr>
                <w:rFonts w:cs="Arial"/>
              </w:rPr>
              <w:t>(0.</w:t>
            </w:r>
            <w:r w:rsidR="00406292" w:rsidRPr="0016620E">
              <w:rPr>
                <w:rFonts w:cs="Arial"/>
              </w:rPr>
              <w:t>11</w:t>
            </w:r>
            <w:r w:rsidR="00406292">
              <w:rPr>
                <w:rFonts w:cs="Arial"/>
              </w:rPr>
              <w:t>3</w:t>
            </w:r>
            <w:r w:rsidRPr="0016620E">
              <w:rPr>
                <w:rFonts w:cs="Arial"/>
              </w:rPr>
              <w:t>)</w:t>
            </w:r>
          </w:p>
        </w:tc>
        <w:tc>
          <w:tcPr>
            <w:tcW w:w="1701" w:type="dxa"/>
            <w:tcBorders>
              <w:bottom w:val="nil"/>
              <w:right w:val="nil"/>
            </w:tcBorders>
          </w:tcPr>
          <w:p w14:paraId="02C1DC7E" w14:textId="37E6836C" w:rsidR="002A4A71" w:rsidRPr="0016620E" w:rsidRDefault="002A4A71" w:rsidP="00C32DD2">
            <w:pPr>
              <w:spacing w:line="240" w:lineRule="auto"/>
              <w:rPr>
                <w:rFonts w:cs="Arial"/>
              </w:rPr>
            </w:pPr>
            <w:r w:rsidRPr="0016620E">
              <w:rPr>
                <w:rFonts w:cs="Arial"/>
              </w:rPr>
              <w:t>–0.</w:t>
            </w:r>
            <w:r w:rsidR="002C63DA">
              <w:rPr>
                <w:rFonts w:cs="Arial"/>
              </w:rPr>
              <w:t>166</w:t>
            </w:r>
          </w:p>
          <w:p w14:paraId="623482F9" w14:textId="214CA9BE" w:rsidR="002A4A71" w:rsidRPr="0016620E" w:rsidRDefault="002A4A71" w:rsidP="00C32DD2">
            <w:pPr>
              <w:spacing w:after="120" w:line="240" w:lineRule="auto"/>
              <w:rPr>
                <w:rFonts w:cs="Arial"/>
              </w:rPr>
            </w:pPr>
            <w:r w:rsidRPr="0016620E">
              <w:rPr>
                <w:rFonts w:cs="Arial"/>
              </w:rPr>
              <w:t>(0.</w:t>
            </w:r>
            <w:r w:rsidR="002C63DA" w:rsidRPr="0016620E">
              <w:rPr>
                <w:rFonts w:cs="Arial"/>
              </w:rPr>
              <w:t>1</w:t>
            </w:r>
            <w:r w:rsidR="002C63DA">
              <w:rPr>
                <w:rFonts w:cs="Arial"/>
              </w:rPr>
              <w:t>40</w:t>
            </w:r>
            <w:r w:rsidRPr="0016620E">
              <w:rPr>
                <w:rFonts w:cs="Arial"/>
              </w:rPr>
              <w:t>)</w:t>
            </w:r>
          </w:p>
        </w:tc>
      </w:tr>
      <w:tr w:rsidR="002A4A71" w:rsidRPr="0016620E" w14:paraId="13F73155" w14:textId="77777777" w:rsidTr="0095055E">
        <w:trPr>
          <w:jc w:val="center"/>
        </w:trPr>
        <w:tc>
          <w:tcPr>
            <w:tcW w:w="4253" w:type="dxa"/>
            <w:tcBorders>
              <w:top w:val="nil"/>
              <w:left w:val="nil"/>
              <w:bottom w:val="single" w:sz="4" w:space="0" w:color="auto"/>
            </w:tcBorders>
          </w:tcPr>
          <w:p w14:paraId="4B8DE29D" w14:textId="77777777" w:rsidR="002A4A71" w:rsidRPr="0016620E" w:rsidRDefault="002A4A71" w:rsidP="00C32DD2">
            <w:pPr>
              <w:spacing w:after="120" w:line="240" w:lineRule="auto"/>
              <w:rPr>
                <w:rFonts w:cs="Arial"/>
              </w:rPr>
            </w:pPr>
            <w:r w:rsidRPr="0016620E">
              <w:rPr>
                <w:rFonts w:cs="Arial"/>
              </w:rPr>
              <w:t>Control variables</w:t>
            </w:r>
          </w:p>
        </w:tc>
        <w:tc>
          <w:tcPr>
            <w:tcW w:w="1271" w:type="dxa"/>
            <w:tcBorders>
              <w:top w:val="nil"/>
              <w:bottom w:val="single" w:sz="4" w:space="0" w:color="auto"/>
            </w:tcBorders>
          </w:tcPr>
          <w:p w14:paraId="1D3B6ED0" w14:textId="77777777" w:rsidR="002A4A71" w:rsidRPr="0016620E" w:rsidRDefault="002A4A71" w:rsidP="00C32DD2">
            <w:pPr>
              <w:spacing w:after="120" w:line="240" w:lineRule="auto"/>
              <w:rPr>
                <w:rFonts w:cs="Arial"/>
              </w:rPr>
            </w:pPr>
            <w:r w:rsidRPr="0016620E">
              <w:rPr>
                <w:rFonts w:cs="Arial"/>
              </w:rPr>
              <w:t>Yes</w:t>
            </w:r>
          </w:p>
        </w:tc>
        <w:tc>
          <w:tcPr>
            <w:tcW w:w="1559" w:type="dxa"/>
            <w:tcBorders>
              <w:top w:val="nil"/>
              <w:bottom w:val="single" w:sz="4" w:space="0" w:color="auto"/>
            </w:tcBorders>
          </w:tcPr>
          <w:p w14:paraId="0C16E9DF" w14:textId="77777777" w:rsidR="002A4A71" w:rsidRPr="0016620E" w:rsidRDefault="002A4A71" w:rsidP="00C32DD2">
            <w:pPr>
              <w:spacing w:after="120" w:line="240" w:lineRule="auto"/>
              <w:rPr>
                <w:rFonts w:cs="Arial"/>
              </w:rPr>
            </w:pPr>
            <w:r w:rsidRPr="0016620E">
              <w:rPr>
                <w:rFonts w:cs="Arial"/>
              </w:rPr>
              <w:t>Yes</w:t>
            </w:r>
          </w:p>
        </w:tc>
        <w:tc>
          <w:tcPr>
            <w:tcW w:w="1701" w:type="dxa"/>
            <w:tcBorders>
              <w:top w:val="nil"/>
              <w:bottom w:val="single" w:sz="4" w:space="0" w:color="auto"/>
              <w:right w:val="nil"/>
            </w:tcBorders>
          </w:tcPr>
          <w:p w14:paraId="6616CE5A" w14:textId="77777777" w:rsidR="002A4A71" w:rsidRPr="0016620E" w:rsidRDefault="002A4A71" w:rsidP="00C32DD2">
            <w:pPr>
              <w:spacing w:after="120" w:line="240" w:lineRule="auto"/>
              <w:rPr>
                <w:rFonts w:cs="Arial"/>
              </w:rPr>
            </w:pPr>
            <w:r w:rsidRPr="0016620E">
              <w:rPr>
                <w:rFonts w:cs="Arial"/>
              </w:rPr>
              <w:t>Yes</w:t>
            </w:r>
          </w:p>
        </w:tc>
      </w:tr>
      <w:tr w:rsidR="002A4A71" w:rsidRPr="0016620E" w14:paraId="059385DA" w14:textId="77777777" w:rsidTr="0095055E">
        <w:trPr>
          <w:jc w:val="center"/>
        </w:trPr>
        <w:tc>
          <w:tcPr>
            <w:tcW w:w="4253" w:type="dxa"/>
            <w:tcBorders>
              <w:top w:val="single" w:sz="4" w:space="0" w:color="auto"/>
              <w:left w:val="nil"/>
              <w:bottom w:val="single" w:sz="4" w:space="0" w:color="auto"/>
            </w:tcBorders>
          </w:tcPr>
          <w:p w14:paraId="0D2C4D2B" w14:textId="77777777" w:rsidR="002A4A71" w:rsidRPr="0016620E" w:rsidRDefault="002A4A71" w:rsidP="00C32DD2">
            <w:pPr>
              <w:spacing w:after="120" w:line="240" w:lineRule="auto"/>
              <w:rPr>
                <w:rFonts w:cs="Arial"/>
                <w:i/>
                <w:iCs/>
              </w:rPr>
            </w:pPr>
            <w:r w:rsidRPr="0016620E">
              <w:rPr>
                <w:rFonts w:cs="Arial"/>
                <w:i/>
                <w:iCs/>
              </w:rPr>
              <w:t>Observations</w:t>
            </w:r>
          </w:p>
        </w:tc>
        <w:tc>
          <w:tcPr>
            <w:tcW w:w="1271" w:type="dxa"/>
            <w:tcBorders>
              <w:top w:val="single" w:sz="4" w:space="0" w:color="auto"/>
              <w:bottom w:val="single" w:sz="4" w:space="0" w:color="auto"/>
            </w:tcBorders>
          </w:tcPr>
          <w:p w14:paraId="77992271" w14:textId="584E4781" w:rsidR="002A4A71" w:rsidRPr="007017EF" w:rsidRDefault="002A4A71" w:rsidP="00C32DD2">
            <w:pPr>
              <w:spacing w:after="120" w:line="240" w:lineRule="auto"/>
              <w:rPr>
                <w:rFonts w:cs="Arial"/>
              </w:rPr>
            </w:pPr>
            <w:r w:rsidRPr="007017EF">
              <w:rPr>
                <w:rFonts w:cs="Arial"/>
              </w:rPr>
              <w:t>4910</w:t>
            </w:r>
          </w:p>
        </w:tc>
        <w:tc>
          <w:tcPr>
            <w:tcW w:w="1559" w:type="dxa"/>
            <w:tcBorders>
              <w:top w:val="single" w:sz="4" w:space="0" w:color="auto"/>
              <w:bottom w:val="single" w:sz="4" w:space="0" w:color="auto"/>
            </w:tcBorders>
          </w:tcPr>
          <w:p w14:paraId="48CB2F41" w14:textId="4E19F31C" w:rsidR="002A4A71" w:rsidRPr="007017EF" w:rsidRDefault="002A4A71" w:rsidP="00C32DD2">
            <w:pPr>
              <w:spacing w:after="120" w:line="240" w:lineRule="auto"/>
              <w:rPr>
                <w:rFonts w:cs="Arial"/>
              </w:rPr>
            </w:pPr>
            <w:r w:rsidRPr="007017EF">
              <w:rPr>
                <w:rFonts w:cs="Arial"/>
              </w:rPr>
              <w:t>2578</w:t>
            </w:r>
          </w:p>
        </w:tc>
        <w:tc>
          <w:tcPr>
            <w:tcW w:w="1701" w:type="dxa"/>
            <w:tcBorders>
              <w:top w:val="single" w:sz="4" w:space="0" w:color="auto"/>
              <w:bottom w:val="single" w:sz="4" w:space="0" w:color="auto"/>
              <w:right w:val="nil"/>
            </w:tcBorders>
          </w:tcPr>
          <w:p w14:paraId="35E0A12A" w14:textId="54904B71" w:rsidR="002A4A71" w:rsidRPr="007017EF" w:rsidRDefault="002A4A71" w:rsidP="00C32DD2">
            <w:pPr>
              <w:spacing w:after="120" w:line="240" w:lineRule="auto"/>
              <w:rPr>
                <w:rFonts w:cs="Arial"/>
              </w:rPr>
            </w:pPr>
            <w:r w:rsidRPr="007017EF">
              <w:rPr>
                <w:rFonts w:cs="Arial"/>
              </w:rPr>
              <w:t>2332</w:t>
            </w:r>
          </w:p>
        </w:tc>
      </w:tr>
    </w:tbl>
    <w:p w14:paraId="5C663756" w14:textId="77777777" w:rsidR="00014489" w:rsidRPr="0095055E" w:rsidRDefault="00014489" w:rsidP="000F54A6">
      <w:pPr>
        <w:spacing w:line="240" w:lineRule="auto"/>
        <w:ind w:left="227" w:right="284"/>
        <w:rPr>
          <w:rFonts w:eastAsia="Arial" w:cs="Arial"/>
          <w:i/>
          <w:iCs/>
          <w:w w:val="105"/>
          <w:kern w:val="0"/>
          <w:sz w:val="18"/>
          <w:szCs w:val="18"/>
          <w14:ligatures w14:val="none"/>
        </w:rPr>
      </w:pPr>
      <w:bookmarkStart w:id="56" w:name="_Toc188384213"/>
      <w:bookmarkStart w:id="57" w:name="_Toc178584729"/>
      <w:bookmarkStart w:id="58" w:name="_Ref184722566"/>
      <w:r w:rsidRPr="0095055E">
        <w:rPr>
          <w:rFonts w:eastAsia="Arial" w:cs="Arial"/>
          <w:i/>
          <w:iCs/>
          <w:w w:val="105"/>
          <w:kern w:val="0"/>
          <w:sz w:val="18"/>
          <w:szCs w:val="18"/>
          <w14:ligatures w14:val="none"/>
        </w:rPr>
        <w:t>Notes: The control variables include dummies for year of birth, gender, whether born in Australia, number of siblings, whether living in a major city, and dummies for state of residence and HILDA waves. Robust standard errors are in parentheses. *** p&lt;0.01; ** p&lt;0.05; * p&lt;0.10.</w:t>
      </w:r>
    </w:p>
    <w:p w14:paraId="09BFFF07" w14:textId="43B10DDC" w:rsidR="00B17D2E" w:rsidRPr="0016620E" w:rsidRDefault="001A0550" w:rsidP="00855EEE">
      <w:pPr>
        <w:pStyle w:val="Heading2"/>
      </w:pPr>
      <w:bookmarkStart w:id="59" w:name="_Toc222998774"/>
      <w:r>
        <w:rPr>
          <w:rFonts w:eastAsia="Arial"/>
          <w:w w:val="105"/>
          <w:kern w:val="0"/>
          <w14:ligatures w14:val="none"/>
        </w:rPr>
        <w:t>Socio-economic</w:t>
      </w:r>
      <w:r w:rsidR="00594DDE">
        <w:rPr>
          <w:rFonts w:eastAsia="Arial"/>
          <w:w w:val="105"/>
          <w:kern w:val="0"/>
          <w14:ligatures w14:val="none"/>
        </w:rPr>
        <w:t xml:space="preserve"> </w:t>
      </w:r>
      <w:r w:rsidR="00594DDE" w:rsidRPr="00BD38F3">
        <w:rPr>
          <w:rFonts w:eastAsia="Arial"/>
          <w:w w:val="105"/>
          <w:kern w:val="0"/>
          <w14:ligatures w14:val="none"/>
        </w:rPr>
        <w:t>backgrounds</w:t>
      </w:r>
      <w:r w:rsidR="00B17D2E">
        <w:t xml:space="preserve">, </w:t>
      </w:r>
      <w:r w:rsidR="00910E70">
        <w:t>field</w:t>
      </w:r>
      <w:r w:rsidR="007C042C">
        <w:t>s</w:t>
      </w:r>
      <w:r w:rsidR="00910E70">
        <w:t xml:space="preserve"> of study</w:t>
      </w:r>
      <w:r w:rsidR="00B17D2E">
        <w:t xml:space="preserve">, and </w:t>
      </w:r>
      <w:r w:rsidR="0070210E">
        <w:t>labour market</w:t>
      </w:r>
      <w:r w:rsidR="00B17D2E">
        <w:t xml:space="preserve"> outcomes</w:t>
      </w:r>
      <w:bookmarkEnd w:id="56"/>
      <w:bookmarkEnd w:id="59"/>
    </w:p>
    <w:bookmarkEnd w:id="57"/>
    <w:bookmarkEnd w:id="58"/>
    <w:p w14:paraId="393CFB69" w14:textId="77969603" w:rsidR="007B65D5" w:rsidRPr="00E32AAB" w:rsidRDefault="004E2625" w:rsidP="00721EB3">
      <w:pPr>
        <w:rPr>
          <w:w w:val="105"/>
        </w:rPr>
      </w:pPr>
      <w:r>
        <w:rPr>
          <w:w w:val="105"/>
        </w:rPr>
        <w:t xml:space="preserve">This </w:t>
      </w:r>
      <w:r w:rsidR="002E4DCA" w:rsidRPr="00E32AAB">
        <w:rPr>
          <w:w w:val="105"/>
        </w:rPr>
        <w:t>section</w:t>
      </w:r>
      <w:r w:rsidR="003579AA" w:rsidRPr="00E32AAB">
        <w:rPr>
          <w:w w:val="105"/>
        </w:rPr>
        <w:t xml:space="preserve"> analyse</w:t>
      </w:r>
      <w:r>
        <w:rPr>
          <w:w w:val="105"/>
        </w:rPr>
        <w:t>s</w:t>
      </w:r>
      <w:r w:rsidR="003579AA" w:rsidRPr="00E32AAB">
        <w:rPr>
          <w:w w:val="105"/>
        </w:rPr>
        <w:t xml:space="preserve"> how university fields of study have contributed to th</w:t>
      </w:r>
      <w:r w:rsidR="0058423B" w:rsidRPr="00E32AAB">
        <w:rPr>
          <w:w w:val="105"/>
        </w:rPr>
        <w:t>e</w:t>
      </w:r>
      <w:r w:rsidR="0096757B" w:rsidRPr="00E32AAB">
        <w:rPr>
          <w:w w:val="105"/>
        </w:rPr>
        <w:t xml:space="preserve"> </w:t>
      </w:r>
      <w:r w:rsidR="00C61FC3" w:rsidRPr="00E32AAB">
        <w:rPr>
          <w:w w:val="105"/>
        </w:rPr>
        <w:t xml:space="preserve">differences in </w:t>
      </w:r>
      <w:r w:rsidR="00B364E0">
        <w:rPr>
          <w:w w:val="105"/>
        </w:rPr>
        <w:t xml:space="preserve">the </w:t>
      </w:r>
      <w:r w:rsidR="003579AA" w:rsidRPr="00E32AAB">
        <w:rPr>
          <w:w w:val="105"/>
        </w:rPr>
        <w:t xml:space="preserve">employment and earnings trajectories of Australians from different </w:t>
      </w:r>
      <w:r w:rsidR="0097512D">
        <w:rPr>
          <w:w w:val="105"/>
        </w:rPr>
        <w:t>socio-economic</w:t>
      </w:r>
      <w:r w:rsidR="009B0E7D">
        <w:rPr>
          <w:w w:val="105"/>
        </w:rPr>
        <w:t xml:space="preserve"> </w:t>
      </w:r>
      <w:r w:rsidR="003579AA" w:rsidRPr="00E32AAB">
        <w:rPr>
          <w:w w:val="105"/>
        </w:rPr>
        <w:t>backgrounds.</w:t>
      </w:r>
      <w:r w:rsidR="002349E9" w:rsidRPr="00E32AAB">
        <w:rPr>
          <w:w w:val="105"/>
        </w:rPr>
        <w:t xml:space="preserve"> </w:t>
      </w:r>
      <w:r w:rsidR="00FF5086" w:rsidRPr="00E32AAB">
        <w:rPr>
          <w:w w:val="105"/>
        </w:rPr>
        <w:t xml:space="preserve"> </w:t>
      </w:r>
    </w:p>
    <w:p w14:paraId="12CD9E73" w14:textId="670FBE22" w:rsidR="00BF5311" w:rsidRPr="00E32AAB" w:rsidRDefault="00FE30CE" w:rsidP="00721EB3">
      <w:pPr>
        <w:rPr>
          <w:w w:val="105"/>
        </w:rPr>
      </w:pPr>
      <w:r w:rsidRPr="00FE30CE">
        <w:rPr>
          <w:w w:val="105"/>
        </w:rPr>
        <w:t xml:space="preserve">Tables </w:t>
      </w:r>
      <w:r w:rsidR="00134586">
        <w:rPr>
          <w:w w:val="105"/>
        </w:rPr>
        <w:t>6</w:t>
      </w:r>
      <w:r w:rsidRPr="0016620E">
        <w:t>–</w:t>
      </w:r>
      <w:r w:rsidR="00134586">
        <w:rPr>
          <w:w w:val="105"/>
        </w:rPr>
        <w:t>10</w:t>
      </w:r>
      <w:r w:rsidR="00134586" w:rsidRPr="00FE30CE">
        <w:rPr>
          <w:w w:val="105"/>
        </w:rPr>
        <w:t xml:space="preserve"> </w:t>
      </w:r>
      <w:r w:rsidRPr="00FE30CE">
        <w:rPr>
          <w:w w:val="105"/>
        </w:rPr>
        <w:t xml:space="preserve">present the results of the </w:t>
      </w:r>
      <w:r w:rsidR="009B0E7D">
        <w:rPr>
          <w:w w:val="105"/>
        </w:rPr>
        <w:t>random effects (</w:t>
      </w:r>
      <w:r w:rsidRPr="00FE30CE">
        <w:rPr>
          <w:w w:val="105"/>
        </w:rPr>
        <w:t>RE</w:t>
      </w:r>
      <w:r w:rsidR="009B0E7D">
        <w:rPr>
          <w:w w:val="105"/>
        </w:rPr>
        <w:t>)</w:t>
      </w:r>
      <w:r w:rsidRPr="00FE30CE">
        <w:rPr>
          <w:w w:val="105"/>
        </w:rPr>
        <w:t xml:space="preserve"> </w:t>
      </w:r>
      <w:r w:rsidR="00A17964">
        <w:rPr>
          <w:w w:val="105"/>
        </w:rPr>
        <w:t xml:space="preserve">panel </w:t>
      </w:r>
      <w:r w:rsidRPr="00FE30CE">
        <w:rPr>
          <w:w w:val="105"/>
        </w:rPr>
        <w:t>estimat</w:t>
      </w:r>
      <w:r>
        <w:rPr>
          <w:w w:val="105"/>
        </w:rPr>
        <w:t>ion</w:t>
      </w:r>
      <w:r w:rsidRPr="00FE30CE">
        <w:rPr>
          <w:w w:val="105"/>
        </w:rPr>
        <w:t>s for the five labour market outcomes</w:t>
      </w:r>
      <w:r w:rsidR="00A51C94">
        <w:rPr>
          <w:w w:val="105"/>
        </w:rPr>
        <w:t xml:space="preserve"> that we focus on in this study</w:t>
      </w:r>
      <w:r w:rsidR="009C428C" w:rsidRPr="00E32AAB">
        <w:rPr>
          <w:w w:val="105"/>
        </w:rPr>
        <w:t>.</w:t>
      </w:r>
      <w:r w:rsidR="00E439F3">
        <w:rPr>
          <w:w w:val="105"/>
        </w:rPr>
        <w:t xml:space="preserve"> In the tables, s</w:t>
      </w:r>
      <w:r w:rsidR="00E439F3" w:rsidRPr="00E32AAB">
        <w:rPr>
          <w:w w:val="105"/>
        </w:rPr>
        <w:t xml:space="preserve">tandard errors are adjusted for clustering at the individual level to account for serial correlation in </w:t>
      </w:r>
      <w:r w:rsidR="00D727BC">
        <w:rPr>
          <w:w w:val="105"/>
        </w:rPr>
        <w:t xml:space="preserve">labour market </w:t>
      </w:r>
      <w:r w:rsidR="00E439F3" w:rsidRPr="00E32AAB">
        <w:rPr>
          <w:w w:val="105"/>
        </w:rPr>
        <w:t>outcomes across different waves of HILDA.</w:t>
      </w:r>
      <w:r w:rsidR="009C428C" w:rsidRPr="00E32AAB">
        <w:rPr>
          <w:w w:val="105"/>
        </w:rPr>
        <w:t xml:space="preserve"> </w:t>
      </w:r>
      <w:r w:rsidR="0068793E" w:rsidRPr="00E32AAB">
        <w:rPr>
          <w:w w:val="105"/>
        </w:rPr>
        <w:t>E</w:t>
      </w:r>
      <w:r w:rsidR="00E17BD1" w:rsidRPr="00E32AAB">
        <w:rPr>
          <w:w w:val="105"/>
        </w:rPr>
        <w:t>ach table</w:t>
      </w:r>
      <w:r w:rsidR="0068793E" w:rsidRPr="00E32AAB">
        <w:rPr>
          <w:w w:val="105"/>
        </w:rPr>
        <w:t xml:space="preserve"> </w:t>
      </w:r>
      <w:r w:rsidR="00FF791E" w:rsidRPr="00E32AAB">
        <w:rPr>
          <w:w w:val="105"/>
        </w:rPr>
        <w:t>contains</w:t>
      </w:r>
      <w:r w:rsidR="0068793E" w:rsidRPr="00E32AAB">
        <w:rPr>
          <w:w w:val="105"/>
        </w:rPr>
        <w:t xml:space="preserve"> three columns of estimates</w:t>
      </w:r>
      <w:r w:rsidR="006E1035" w:rsidRPr="00E32AAB">
        <w:rPr>
          <w:w w:val="105"/>
        </w:rPr>
        <w:t xml:space="preserve">, </w:t>
      </w:r>
      <w:r w:rsidR="00BA7C55" w:rsidRPr="00E32AAB">
        <w:rPr>
          <w:w w:val="105"/>
        </w:rPr>
        <w:t xml:space="preserve">using </w:t>
      </w:r>
      <w:r w:rsidR="006E1035" w:rsidRPr="00E32AAB">
        <w:rPr>
          <w:w w:val="105"/>
        </w:rPr>
        <w:t>different sets of control variables</w:t>
      </w:r>
      <w:r w:rsidR="0068793E" w:rsidRPr="00E32AAB">
        <w:rPr>
          <w:w w:val="105"/>
        </w:rPr>
        <w:t>. C</w:t>
      </w:r>
      <w:r w:rsidR="00E17BD1" w:rsidRPr="00E32AAB">
        <w:rPr>
          <w:w w:val="105"/>
        </w:rPr>
        <w:t>olumn (</w:t>
      </w:r>
      <w:proofErr w:type="spellStart"/>
      <w:r w:rsidR="00E17BD1" w:rsidRPr="00E32AAB">
        <w:rPr>
          <w:w w:val="105"/>
        </w:rPr>
        <w:t>i</w:t>
      </w:r>
      <w:proofErr w:type="spellEnd"/>
      <w:r w:rsidR="00E17BD1" w:rsidRPr="00E32AAB">
        <w:rPr>
          <w:w w:val="105"/>
        </w:rPr>
        <w:t xml:space="preserve">) </w:t>
      </w:r>
      <w:r w:rsidR="007E5AC8">
        <w:rPr>
          <w:w w:val="105"/>
        </w:rPr>
        <w:t>reports</w:t>
      </w:r>
      <w:r w:rsidR="00E17BD1" w:rsidRPr="00E32AAB">
        <w:rPr>
          <w:w w:val="105"/>
        </w:rPr>
        <w:t xml:space="preserve"> the RE </w:t>
      </w:r>
      <w:r w:rsidR="007A6491" w:rsidRPr="00E32AAB">
        <w:rPr>
          <w:w w:val="105"/>
        </w:rPr>
        <w:t>estimates</w:t>
      </w:r>
      <w:r w:rsidR="00E17BD1" w:rsidRPr="00E32AAB">
        <w:rPr>
          <w:w w:val="105"/>
        </w:rPr>
        <w:t xml:space="preserve"> for </w:t>
      </w:r>
      <w:r w:rsidR="0070526F" w:rsidRPr="00E32AAB">
        <w:rPr>
          <w:w w:val="105"/>
        </w:rPr>
        <w:t xml:space="preserve">the </w:t>
      </w:r>
      <w:r w:rsidR="007A6491" w:rsidRPr="00E32AAB">
        <w:rPr>
          <w:w w:val="105"/>
        </w:rPr>
        <w:t xml:space="preserve">measures of </w:t>
      </w:r>
      <w:r w:rsidR="0097512D">
        <w:rPr>
          <w:w w:val="105"/>
        </w:rPr>
        <w:t>socio-economic</w:t>
      </w:r>
      <w:r w:rsidR="007404C6" w:rsidRPr="00BC1650">
        <w:rPr>
          <w:w w:val="105"/>
        </w:rPr>
        <w:t xml:space="preserve"> background</w:t>
      </w:r>
      <w:r w:rsidR="007404C6">
        <w:rPr>
          <w:w w:val="105"/>
        </w:rPr>
        <w:t xml:space="preserve">s </w:t>
      </w:r>
      <w:r w:rsidR="00E17BD1" w:rsidRPr="00E32AAB">
        <w:rPr>
          <w:w w:val="105"/>
        </w:rPr>
        <w:t>with</w:t>
      </w:r>
      <w:r w:rsidR="00D3026E" w:rsidRPr="00E32AAB">
        <w:rPr>
          <w:w w:val="105"/>
        </w:rPr>
        <w:t>out</w:t>
      </w:r>
      <w:r w:rsidR="00E17BD1" w:rsidRPr="00E32AAB">
        <w:rPr>
          <w:w w:val="105"/>
        </w:rPr>
        <w:t xml:space="preserve"> controlling for any covariates. </w:t>
      </w:r>
      <w:r w:rsidR="000F3226" w:rsidRPr="00E32AAB">
        <w:rPr>
          <w:w w:val="105"/>
        </w:rPr>
        <w:t xml:space="preserve">These results </w:t>
      </w:r>
      <w:r w:rsidR="00B364E0">
        <w:rPr>
          <w:w w:val="105"/>
        </w:rPr>
        <w:t>indicate</w:t>
      </w:r>
      <w:r w:rsidR="000F3226" w:rsidRPr="00E32AAB">
        <w:rPr>
          <w:w w:val="105"/>
        </w:rPr>
        <w:t xml:space="preserve"> the raw differences in </w:t>
      </w:r>
      <w:r w:rsidR="0085048E" w:rsidRPr="00E32AAB">
        <w:rPr>
          <w:w w:val="105"/>
        </w:rPr>
        <w:t xml:space="preserve">employment </w:t>
      </w:r>
      <w:r w:rsidR="00D26F66" w:rsidRPr="00E32AAB">
        <w:rPr>
          <w:w w:val="105"/>
        </w:rPr>
        <w:t xml:space="preserve">and earnings </w:t>
      </w:r>
      <w:r w:rsidR="000F3226" w:rsidRPr="00E32AAB">
        <w:rPr>
          <w:w w:val="105"/>
        </w:rPr>
        <w:t>outcomes between disadvantaged and non-disadvantaged groups. In column (i</w:t>
      </w:r>
      <w:r w:rsidR="007A6491" w:rsidRPr="00E32AAB">
        <w:rPr>
          <w:w w:val="105"/>
        </w:rPr>
        <w:t>i</w:t>
      </w:r>
      <w:r w:rsidR="000F3226" w:rsidRPr="00E32AAB">
        <w:rPr>
          <w:w w:val="105"/>
        </w:rPr>
        <w:t xml:space="preserve">), we additionally </w:t>
      </w:r>
      <w:r w:rsidR="00D26F66" w:rsidRPr="00E32AAB">
        <w:rPr>
          <w:w w:val="105"/>
        </w:rPr>
        <w:t xml:space="preserve">control for </w:t>
      </w:r>
      <w:r w:rsidR="007810DD" w:rsidRPr="00E32AAB">
        <w:rPr>
          <w:w w:val="105"/>
        </w:rPr>
        <w:t xml:space="preserve">demographic </w:t>
      </w:r>
      <w:r w:rsidR="00D26F66" w:rsidRPr="00E32AAB">
        <w:rPr>
          <w:w w:val="105"/>
        </w:rPr>
        <w:t>covariates</w:t>
      </w:r>
      <w:r w:rsidR="000F3226" w:rsidRPr="00E32AAB">
        <w:rPr>
          <w:w w:val="105"/>
        </w:rPr>
        <w:t xml:space="preserve"> including age, age squared, gender, dummies for marital status, whether born in Australia, whether living in a major city, and dummies for </w:t>
      </w:r>
      <w:r w:rsidR="00284501">
        <w:rPr>
          <w:w w:val="105"/>
        </w:rPr>
        <w:t>s</w:t>
      </w:r>
      <w:r w:rsidR="00BA7C55" w:rsidRPr="00E32AAB">
        <w:rPr>
          <w:w w:val="105"/>
        </w:rPr>
        <w:t xml:space="preserve">tate </w:t>
      </w:r>
      <w:r w:rsidR="000F3226" w:rsidRPr="00E32AAB">
        <w:rPr>
          <w:w w:val="105"/>
        </w:rPr>
        <w:t>of residence and HILDA waves.</w:t>
      </w:r>
      <w:r w:rsidR="004845D6" w:rsidRPr="00E32AAB">
        <w:rPr>
          <w:w w:val="105"/>
        </w:rPr>
        <w:t xml:space="preserve"> A comparison of </w:t>
      </w:r>
      <w:r w:rsidR="00D3026E" w:rsidRPr="00E32AAB">
        <w:rPr>
          <w:w w:val="105"/>
        </w:rPr>
        <w:t xml:space="preserve">the </w:t>
      </w:r>
      <w:r w:rsidR="004845D6" w:rsidRPr="00E32AAB">
        <w:rPr>
          <w:w w:val="105"/>
        </w:rPr>
        <w:t>results in columns (</w:t>
      </w:r>
      <w:proofErr w:type="spellStart"/>
      <w:r w:rsidR="004845D6" w:rsidRPr="00E32AAB">
        <w:rPr>
          <w:w w:val="105"/>
        </w:rPr>
        <w:t>i</w:t>
      </w:r>
      <w:proofErr w:type="spellEnd"/>
      <w:r w:rsidR="004845D6" w:rsidRPr="00E32AAB">
        <w:rPr>
          <w:w w:val="105"/>
        </w:rPr>
        <w:t xml:space="preserve">) and (ii) </w:t>
      </w:r>
      <w:r w:rsidR="00B036BA">
        <w:rPr>
          <w:w w:val="105"/>
        </w:rPr>
        <w:t>indicates</w:t>
      </w:r>
      <w:r w:rsidR="004845D6" w:rsidRPr="00E32AAB">
        <w:rPr>
          <w:w w:val="105"/>
        </w:rPr>
        <w:t xml:space="preserve"> </w:t>
      </w:r>
      <w:r w:rsidR="00D3026E" w:rsidRPr="00E32AAB">
        <w:rPr>
          <w:w w:val="105"/>
        </w:rPr>
        <w:t>the</w:t>
      </w:r>
      <w:r w:rsidR="004845D6" w:rsidRPr="00E32AAB">
        <w:rPr>
          <w:w w:val="105"/>
        </w:rPr>
        <w:t xml:space="preserve"> extent </w:t>
      </w:r>
      <w:r w:rsidR="00D3026E" w:rsidRPr="00E32AAB">
        <w:rPr>
          <w:w w:val="105"/>
        </w:rPr>
        <w:t xml:space="preserve">to which </w:t>
      </w:r>
      <w:r w:rsidR="004845D6" w:rsidRPr="00E32AAB">
        <w:rPr>
          <w:w w:val="105"/>
        </w:rPr>
        <w:t xml:space="preserve">differences in </w:t>
      </w:r>
      <w:r w:rsidR="00151297" w:rsidRPr="00E32AAB">
        <w:rPr>
          <w:w w:val="105"/>
        </w:rPr>
        <w:t>labour market</w:t>
      </w:r>
      <w:r w:rsidR="0085048E" w:rsidRPr="00E32AAB">
        <w:rPr>
          <w:w w:val="105"/>
        </w:rPr>
        <w:t xml:space="preserve"> </w:t>
      </w:r>
      <w:r w:rsidR="004845D6" w:rsidRPr="00E32AAB">
        <w:rPr>
          <w:w w:val="105"/>
        </w:rPr>
        <w:t xml:space="preserve">outcomes (if any) can be explained by </w:t>
      </w:r>
      <w:r w:rsidR="00FA25C2" w:rsidRPr="00E32AAB">
        <w:rPr>
          <w:w w:val="105"/>
        </w:rPr>
        <w:t>the differences</w:t>
      </w:r>
      <w:r w:rsidR="004845D6" w:rsidRPr="00E32AAB">
        <w:rPr>
          <w:w w:val="105"/>
        </w:rPr>
        <w:t xml:space="preserve"> in </w:t>
      </w:r>
      <w:r w:rsidR="00D3026E" w:rsidRPr="00E32AAB">
        <w:rPr>
          <w:w w:val="105"/>
        </w:rPr>
        <w:t>the</w:t>
      </w:r>
      <w:r w:rsidR="004845D6" w:rsidRPr="00E32AAB">
        <w:rPr>
          <w:w w:val="105"/>
        </w:rPr>
        <w:t xml:space="preserve"> observed</w:t>
      </w:r>
      <w:r w:rsidR="00805627" w:rsidRPr="00E32AAB">
        <w:rPr>
          <w:w w:val="105"/>
        </w:rPr>
        <w:t xml:space="preserve"> demographic</w:t>
      </w:r>
      <w:r w:rsidR="004845D6" w:rsidRPr="00E32AAB">
        <w:rPr>
          <w:w w:val="105"/>
        </w:rPr>
        <w:t xml:space="preserve"> characteristics</w:t>
      </w:r>
      <w:r w:rsidR="00D3026E" w:rsidRPr="00E32AAB">
        <w:rPr>
          <w:w w:val="105"/>
        </w:rPr>
        <w:t xml:space="preserve"> of </w:t>
      </w:r>
      <w:r w:rsidR="007E54F3">
        <w:rPr>
          <w:w w:val="105"/>
        </w:rPr>
        <w:t>graduates</w:t>
      </w:r>
      <w:r w:rsidR="004845D6" w:rsidRPr="00E32AAB">
        <w:rPr>
          <w:w w:val="105"/>
        </w:rPr>
        <w:t xml:space="preserve">. </w:t>
      </w:r>
      <w:r w:rsidR="009C32CB">
        <w:rPr>
          <w:w w:val="105"/>
        </w:rPr>
        <w:t>Finally</w:t>
      </w:r>
      <w:r w:rsidR="004845D6" w:rsidRPr="00E32AAB">
        <w:rPr>
          <w:w w:val="105"/>
        </w:rPr>
        <w:t>, in column (iii), we</w:t>
      </w:r>
      <w:r w:rsidR="007E5AC8">
        <w:rPr>
          <w:w w:val="105"/>
        </w:rPr>
        <w:t xml:space="preserve"> further</w:t>
      </w:r>
      <w:r w:rsidR="00B364E0" w:rsidRPr="00E32AAB">
        <w:rPr>
          <w:w w:val="105"/>
        </w:rPr>
        <w:t xml:space="preserve"> </w:t>
      </w:r>
      <w:r w:rsidR="004845D6" w:rsidRPr="00E32AAB">
        <w:rPr>
          <w:w w:val="105"/>
        </w:rPr>
        <w:t>inc</w:t>
      </w:r>
      <w:r w:rsidR="007E5AC8">
        <w:rPr>
          <w:w w:val="105"/>
        </w:rPr>
        <w:t>orporate</w:t>
      </w:r>
      <w:r w:rsidR="004845D6" w:rsidRPr="00E32AAB">
        <w:rPr>
          <w:w w:val="105"/>
        </w:rPr>
        <w:t xml:space="preserve"> the 15</w:t>
      </w:r>
      <w:r w:rsidR="00F04270" w:rsidRPr="00E32AAB">
        <w:rPr>
          <w:w w:val="105"/>
        </w:rPr>
        <w:t xml:space="preserve"> detailed</w:t>
      </w:r>
      <w:r w:rsidR="004845D6" w:rsidRPr="00E32AAB">
        <w:rPr>
          <w:w w:val="105"/>
        </w:rPr>
        <w:t xml:space="preserve"> fields of </w:t>
      </w:r>
      <w:r w:rsidR="00B364E0">
        <w:rPr>
          <w:w w:val="105"/>
        </w:rPr>
        <w:t>study</w:t>
      </w:r>
      <w:r w:rsidR="00B364E0" w:rsidRPr="00E32AAB">
        <w:rPr>
          <w:w w:val="105"/>
        </w:rPr>
        <w:t xml:space="preserve"> </w:t>
      </w:r>
      <w:r w:rsidR="004845D6" w:rsidRPr="00E32AAB">
        <w:rPr>
          <w:w w:val="105"/>
        </w:rPr>
        <w:t>in</w:t>
      </w:r>
      <w:r w:rsidR="007E5AC8">
        <w:rPr>
          <w:w w:val="105"/>
        </w:rPr>
        <w:t>to</w:t>
      </w:r>
      <w:r w:rsidR="004845D6" w:rsidRPr="00E32AAB">
        <w:rPr>
          <w:w w:val="105"/>
        </w:rPr>
        <w:t xml:space="preserve"> </w:t>
      </w:r>
      <w:r w:rsidR="0063197D" w:rsidRPr="00E32AAB">
        <w:rPr>
          <w:w w:val="105"/>
        </w:rPr>
        <w:t xml:space="preserve">the </w:t>
      </w:r>
      <w:r w:rsidR="00BA7C55" w:rsidRPr="00E32AAB">
        <w:rPr>
          <w:w w:val="105"/>
        </w:rPr>
        <w:t xml:space="preserve">RE </w:t>
      </w:r>
      <w:r w:rsidR="00A706AD">
        <w:rPr>
          <w:w w:val="105"/>
        </w:rPr>
        <w:t xml:space="preserve">panel </w:t>
      </w:r>
      <w:r w:rsidR="004845D6" w:rsidRPr="00E32AAB">
        <w:rPr>
          <w:w w:val="105"/>
        </w:rPr>
        <w:t>estimations</w:t>
      </w:r>
      <w:r w:rsidR="000D1F38" w:rsidRPr="00E32AAB">
        <w:rPr>
          <w:w w:val="105"/>
        </w:rPr>
        <w:t xml:space="preserve">. </w:t>
      </w:r>
      <w:r w:rsidR="007E5AC8" w:rsidRPr="007E5AC8">
        <w:rPr>
          <w:w w:val="105"/>
        </w:rPr>
        <w:t xml:space="preserve">The estimates </w:t>
      </w:r>
      <w:r w:rsidR="004323EF">
        <w:rPr>
          <w:w w:val="105"/>
        </w:rPr>
        <w:t xml:space="preserve">then </w:t>
      </w:r>
      <w:r w:rsidR="004E2625">
        <w:rPr>
          <w:w w:val="105"/>
        </w:rPr>
        <w:t>show</w:t>
      </w:r>
      <w:r w:rsidR="007E5AC8" w:rsidRPr="007E5AC8">
        <w:rPr>
          <w:w w:val="105"/>
        </w:rPr>
        <w:t xml:space="preserve"> how </w:t>
      </w:r>
      <w:r w:rsidR="00D727BC">
        <w:rPr>
          <w:w w:val="105"/>
        </w:rPr>
        <w:t>labour market</w:t>
      </w:r>
      <w:r w:rsidR="007E5AC8" w:rsidRPr="007E5AC8">
        <w:rPr>
          <w:w w:val="105"/>
        </w:rPr>
        <w:t xml:space="preserve"> outcomes would differ if disadvantaged and non-disadvantaged groups had studied the same </w:t>
      </w:r>
      <w:r w:rsidR="00EC1C91">
        <w:rPr>
          <w:w w:val="105"/>
        </w:rPr>
        <w:t>subjects</w:t>
      </w:r>
      <w:r w:rsidR="007E5AC8" w:rsidRPr="007E5AC8">
        <w:rPr>
          <w:w w:val="105"/>
        </w:rPr>
        <w:t xml:space="preserve"> at university.</w:t>
      </w:r>
      <w:r w:rsidR="00190D01" w:rsidRPr="00E32AAB">
        <w:rPr>
          <w:w w:val="105"/>
        </w:rPr>
        <w:t xml:space="preserve"> </w:t>
      </w:r>
      <w:r w:rsidR="007E5AC8" w:rsidRPr="007E5AC8">
        <w:rPr>
          <w:w w:val="105"/>
        </w:rPr>
        <w:t>The differences between columns (ii) and (iii) highlight the extent to which field</w:t>
      </w:r>
      <w:r w:rsidR="004323EF">
        <w:rPr>
          <w:w w:val="105"/>
        </w:rPr>
        <w:t>s</w:t>
      </w:r>
      <w:r w:rsidR="007E5AC8" w:rsidRPr="007E5AC8">
        <w:rPr>
          <w:w w:val="105"/>
        </w:rPr>
        <w:t xml:space="preserve"> of study contribute to </w:t>
      </w:r>
      <w:r w:rsidR="004E2625">
        <w:rPr>
          <w:w w:val="105"/>
        </w:rPr>
        <w:t>the differences</w:t>
      </w:r>
      <w:r w:rsidR="007E5AC8" w:rsidRPr="007E5AC8">
        <w:rPr>
          <w:w w:val="105"/>
        </w:rPr>
        <w:t xml:space="preserve"> in </w:t>
      </w:r>
      <w:r w:rsidR="00F117B8">
        <w:rPr>
          <w:w w:val="105"/>
        </w:rPr>
        <w:t xml:space="preserve">the </w:t>
      </w:r>
      <w:r w:rsidR="007E5AC8" w:rsidRPr="007E5AC8">
        <w:rPr>
          <w:w w:val="105"/>
        </w:rPr>
        <w:t xml:space="preserve">labour market performance </w:t>
      </w:r>
      <w:r w:rsidR="00F117B8">
        <w:rPr>
          <w:w w:val="105"/>
        </w:rPr>
        <w:t>of</w:t>
      </w:r>
      <w:r w:rsidR="004E2625">
        <w:rPr>
          <w:w w:val="105"/>
        </w:rPr>
        <w:t xml:space="preserve"> </w:t>
      </w:r>
      <w:r w:rsidR="007E5AC8" w:rsidRPr="007E5AC8">
        <w:rPr>
          <w:w w:val="105"/>
        </w:rPr>
        <w:t>Australians from d</w:t>
      </w:r>
      <w:r w:rsidR="007E5AC8">
        <w:rPr>
          <w:w w:val="105"/>
        </w:rPr>
        <w:t>ifferent</w:t>
      </w:r>
      <w:r w:rsidR="007E5AC8" w:rsidRPr="007E5AC8">
        <w:rPr>
          <w:w w:val="105"/>
        </w:rPr>
        <w:t xml:space="preserve"> </w:t>
      </w:r>
      <w:r w:rsidR="0097512D">
        <w:rPr>
          <w:w w:val="105"/>
        </w:rPr>
        <w:t>socio-economic</w:t>
      </w:r>
      <w:r w:rsidR="0055790F">
        <w:rPr>
          <w:w w:val="105"/>
        </w:rPr>
        <w:t xml:space="preserve"> </w:t>
      </w:r>
      <w:r w:rsidR="007E5AC8" w:rsidRPr="007E5AC8">
        <w:rPr>
          <w:w w:val="105"/>
        </w:rPr>
        <w:t>backgrounds.</w:t>
      </w:r>
    </w:p>
    <w:p w14:paraId="4D04DF66" w14:textId="61BCBA5B" w:rsidR="004B00E6" w:rsidRPr="00BF48E1" w:rsidRDefault="00481A66" w:rsidP="00BF48E1">
      <w:pPr>
        <w:pStyle w:val="Caption"/>
        <w:rPr>
          <w:rFonts w:cs="Arial"/>
          <w:color w:val="080808"/>
          <w:lang w:eastAsia="en-AU"/>
        </w:rPr>
      </w:pPr>
      <w:bookmarkStart w:id="60" w:name="_Ref184722781"/>
      <w:bookmarkStart w:id="61" w:name="_Toc222998789"/>
      <w:r w:rsidRPr="00BF48E1">
        <w:rPr>
          <w:rFonts w:cs="Arial"/>
          <w:color w:val="080808"/>
        </w:rPr>
        <w:lastRenderedPageBreak/>
        <w:t xml:space="preserve">Table </w:t>
      </w:r>
      <w:r w:rsidRPr="00BF48E1">
        <w:rPr>
          <w:rFonts w:cs="Arial"/>
          <w:color w:val="080808"/>
        </w:rPr>
        <w:fldChar w:fldCharType="begin"/>
      </w:r>
      <w:r w:rsidRPr="00BF48E1">
        <w:rPr>
          <w:rFonts w:cs="Arial"/>
          <w:color w:val="080808"/>
        </w:rPr>
        <w:instrText xml:space="preserve"> SEQ Table \* ARABIC </w:instrText>
      </w:r>
      <w:r w:rsidRPr="00BF48E1">
        <w:rPr>
          <w:rFonts w:cs="Arial"/>
          <w:color w:val="080808"/>
        </w:rPr>
        <w:fldChar w:fldCharType="separate"/>
      </w:r>
      <w:r w:rsidR="00392C8C" w:rsidRPr="00BF48E1">
        <w:rPr>
          <w:rFonts w:cs="Arial"/>
          <w:noProof/>
          <w:color w:val="080808"/>
        </w:rPr>
        <w:t>6</w:t>
      </w:r>
      <w:r w:rsidRPr="00BF48E1">
        <w:rPr>
          <w:rFonts w:cs="Arial"/>
          <w:color w:val="080808"/>
        </w:rPr>
        <w:fldChar w:fldCharType="end"/>
      </w:r>
      <w:bookmarkEnd w:id="60"/>
      <w:r w:rsidR="004B00E6" w:rsidRPr="00BF48E1">
        <w:rPr>
          <w:rFonts w:cs="Arial"/>
          <w:color w:val="080808"/>
          <w:lang w:eastAsia="en-AU"/>
        </w:rPr>
        <w:t xml:space="preserve">: </w:t>
      </w:r>
      <w:r w:rsidR="003D04E9" w:rsidRPr="00BF48E1">
        <w:rPr>
          <w:rFonts w:cs="Arial"/>
          <w:color w:val="080808"/>
          <w:lang w:eastAsia="en-AU"/>
        </w:rPr>
        <w:t>Probability</w:t>
      </w:r>
      <w:r w:rsidR="004B00E6" w:rsidRPr="00BF48E1">
        <w:rPr>
          <w:rFonts w:cs="Arial"/>
          <w:color w:val="080808"/>
          <w:lang w:eastAsia="en-AU"/>
        </w:rPr>
        <w:t xml:space="preserve"> of full-time employment</w:t>
      </w:r>
      <w:bookmarkEnd w:id="61"/>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4679"/>
        <w:gridCol w:w="1417"/>
        <w:gridCol w:w="1417"/>
        <w:gridCol w:w="1271"/>
      </w:tblGrid>
      <w:tr w:rsidR="00A815CC" w:rsidRPr="0016620E" w14:paraId="4DB90CD5" w14:textId="77777777" w:rsidTr="0095055E">
        <w:trPr>
          <w:jc w:val="center"/>
        </w:trPr>
        <w:tc>
          <w:tcPr>
            <w:tcW w:w="4679" w:type="dxa"/>
            <w:tcBorders>
              <w:top w:val="single" w:sz="4" w:space="0" w:color="auto"/>
              <w:left w:val="nil"/>
              <w:bottom w:val="single" w:sz="4" w:space="0" w:color="auto"/>
            </w:tcBorders>
            <w:shd w:val="clear" w:color="auto" w:fill="78DED9" w:themeFill="accent1"/>
          </w:tcPr>
          <w:p w14:paraId="4EFB2A3D" w14:textId="77777777" w:rsidR="00A815CC" w:rsidRPr="00D75CF3" w:rsidRDefault="00A815CC" w:rsidP="002F5837">
            <w:pPr>
              <w:spacing w:after="120" w:line="240" w:lineRule="auto"/>
              <w:rPr>
                <w:rFonts w:cs="Arial"/>
                <w:b/>
                <w:bCs/>
              </w:rPr>
            </w:pPr>
          </w:p>
        </w:tc>
        <w:tc>
          <w:tcPr>
            <w:tcW w:w="1417" w:type="dxa"/>
            <w:tcBorders>
              <w:top w:val="single" w:sz="4" w:space="0" w:color="auto"/>
              <w:bottom w:val="single" w:sz="4" w:space="0" w:color="auto"/>
            </w:tcBorders>
            <w:shd w:val="clear" w:color="auto" w:fill="78DED9" w:themeFill="accent1"/>
          </w:tcPr>
          <w:p w14:paraId="37BE50FF" w14:textId="3A21E2A6" w:rsidR="00A815CC" w:rsidRPr="00D75CF3" w:rsidRDefault="00A815CC" w:rsidP="002F5837">
            <w:pPr>
              <w:spacing w:after="120" w:line="240" w:lineRule="auto"/>
              <w:rPr>
                <w:rFonts w:eastAsiaTheme="majorEastAsia" w:cs="Arial"/>
                <w:b/>
                <w:bCs/>
                <w:color w:val="351C26" w:themeColor="text1"/>
                <w:lang w:val="en-US"/>
                <w14:ligatures w14:val="none"/>
              </w:rPr>
            </w:pPr>
            <w:r w:rsidRPr="00D75CF3">
              <w:rPr>
                <w:rFonts w:eastAsiaTheme="majorEastAsia" w:cs="Arial"/>
                <w:b/>
                <w:bCs/>
                <w:color w:val="351C26" w:themeColor="text1"/>
                <w:lang w:val="en-US"/>
                <w14:ligatures w14:val="none"/>
              </w:rPr>
              <w:t>(</w:t>
            </w:r>
            <w:proofErr w:type="spellStart"/>
            <w:r w:rsidRPr="00D75CF3">
              <w:rPr>
                <w:rFonts w:eastAsiaTheme="majorEastAsia" w:cs="Arial"/>
                <w:b/>
                <w:bCs/>
                <w:color w:val="351C26" w:themeColor="text1"/>
                <w:lang w:val="en-US"/>
                <w14:ligatures w14:val="none"/>
              </w:rPr>
              <w:t>i</w:t>
            </w:r>
            <w:proofErr w:type="spellEnd"/>
            <w:r w:rsidRPr="00D75CF3">
              <w:rPr>
                <w:rFonts w:eastAsiaTheme="majorEastAsia" w:cs="Arial"/>
                <w:b/>
                <w:bCs/>
                <w:color w:val="351C26" w:themeColor="text1"/>
                <w:lang w:val="en-US"/>
                <w14:ligatures w14:val="none"/>
              </w:rPr>
              <w:t>)</w:t>
            </w:r>
          </w:p>
        </w:tc>
        <w:tc>
          <w:tcPr>
            <w:tcW w:w="1417" w:type="dxa"/>
            <w:tcBorders>
              <w:top w:val="single" w:sz="4" w:space="0" w:color="auto"/>
              <w:bottom w:val="single" w:sz="4" w:space="0" w:color="auto"/>
            </w:tcBorders>
            <w:shd w:val="clear" w:color="auto" w:fill="78DED9" w:themeFill="accent1"/>
            <w:vAlign w:val="center"/>
          </w:tcPr>
          <w:p w14:paraId="14904C5E" w14:textId="4100CC47" w:rsidR="00A815CC" w:rsidRPr="00D75CF3" w:rsidRDefault="00A815CC" w:rsidP="002F5837">
            <w:pPr>
              <w:spacing w:after="120" w:line="240" w:lineRule="auto"/>
              <w:rPr>
                <w:rFonts w:cs="Arial"/>
                <w:b/>
                <w:bCs/>
                <w:color w:val="351C26" w:themeColor="text1"/>
              </w:rPr>
            </w:pPr>
            <w:r w:rsidRPr="00D75CF3">
              <w:rPr>
                <w:rFonts w:eastAsiaTheme="majorEastAsia" w:cs="Arial"/>
                <w:b/>
                <w:bCs/>
                <w:color w:val="351C26" w:themeColor="text1"/>
                <w:lang w:val="en-US"/>
                <w14:ligatures w14:val="none"/>
              </w:rPr>
              <w:t>(ii)</w:t>
            </w:r>
          </w:p>
        </w:tc>
        <w:tc>
          <w:tcPr>
            <w:tcW w:w="1271" w:type="dxa"/>
            <w:tcBorders>
              <w:top w:val="single" w:sz="4" w:space="0" w:color="auto"/>
              <w:bottom w:val="single" w:sz="4" w:space="0" w:color="auto"/>
              <w:right w:val="nil"/>
            </w:tcBorders>
            <w:shd w:val="clear" w:color="auto" w:fill="78DED9" w:themeFill="accent1"/>
            <w:vAlign w:val="center"/>
          </w:tcPr>
          <w:p w14:paraId="7ECE5C54" w14:textId="56A98EB1" w:rsidR="00A815CC" w:rsidRPr="00D75CF3" w:rsidRDefault="00A815CC" w:rsidP="002F5837">
            <w:pPr>
              <w:spacing w:after="120" w:line="240" w:lineRule="auto"/>
              <w:rPr>
                <w:rFonts w:cs="Arial"/>
                <w:b/>
                <w:bCs/>
                <w:color w:val="351C26" w:themeColor="text1"/>
              </w:rPr>
            </w:pPr>
            <w:r w:rsidRPr="00D75CF3">
              <w:rPr>
                <w:rFonts w:eastAsiaTheme="majorEastAsia" w:cs="Arial"/>
                <w:b/>
                <w:bCs/>
                <w:color w:val="351C26" w:themeColor="text1"/>
                <w:lang w:val="en-US"/>
                <w14:ligatures w14:val="none"/>
              </w:rPr>
              <w:t>(iii)</w:t>
            </w:r>
          </w:p>
        </w:tc>
      </w:tr>
      <w:tr w:rsidR="00A815CC" w:rsidRPr="0016620E" w14:paraId="176FA6F5" w14:textId="77777777" w:rsidTr="0095055E">
        <w:trPr>
          <w:jc w:val="center"/>
        </w:trPr>
        <w:tc>
          <w:tcPr>
            <w:tcW w:w="4679" w:type="dxa"/>
            <w:tcBorders>
              <w:top w:val="single" w:sz="4" w:space="0" w:color="auto"/>
              <w:left w:val="nil"/>
            </w:tcBorders>
          </w:tcPr>
          <w:p w14:paraId="4F2E2D35" w14:textId="16387C4F" w:rsidR="00A815CC" w:rsidRPr="0016620E" w:rsidRDefault="003023B0" w:rsidP="002F5837">
            <w:pPr>
              <w:spacing w:line="240" w:lineRule="auto"/>
              <w:rPr>
                <w:rFonts w:cs="Arial"/>
              </w:rPr>
            </w:pPr>
            <w:r w:rsidRPr="0016620E">
              <w:rPr>
                <w:rFonts w:cs="Arial"/>
              </w:rPr>
              <w:t>Indigenous</w:t>
            </w:r>
          </w:p>
        </w:tc>
        <w:tc>
          <w:tcPr>
            <w:tcW w:w="1417" w:type="dxa"/>
            <w:tcBorders>
              <w:top w:val="single" w:sz="4" w:space="0" w:color="auto"/>
            </w:tcBorders>
          </w:tcPr>
          <w:p w14:paraId="03C2A143" w14:textId="77777777" w:rsidR="00A815CC" w:rsidRPr="0016620E" w:rsidRDefault="005E563A" w:rsidP="002F5837">
            <w:pPr>
              <w:spacing w:line="240" w:lineRule="auto"/>
              <w:rPr>
                <w:rFonts w:cs="Arial"/>
              </w:rPr>
            </w:pPr>
            <w:r w:rsidRPr="0016620E">
              <w:rPr>
                <w:rFonts w:cs="Arial"/>
              </w:rPr>
              <w:t>0.053</w:t>
            </w:r>
          </w:p>
          <w:p w14:paraId="0481E160" w14:textId="00F8A26E" w:rsidR="005E563A" w:rsidRPr="0016620E" w:rsidRDefault="005E563A" w:rsidP="002F5837">
            <w:pPr>
              <w:spacing w:line="240" w:lineRule="auto"/>
              <w:rPr>
                <w:rFonts w:cs="Arial"/>
              </w:rPr>
            </w:pPr>
            <w:r w:rsidRPr="0016620E">
              <w:rPr>
                <w:rFonts w:cs="Arial"/>
              </w:rPr>
              <w:t>(0.047)</w:t>
            </w:r>
          </w:p>
        </w:tc>
        <w:tc>
          <w:tcPr>
            <w:tcW w:w="1417" w:type="dxa"/>
            <w:tcBorders>
              <w:top w:val="single" w:sz="4" w:space="0" w:color="auto"/>
            </w:tcBorders>
          </w:tcPr>
          <w:p w14:paraId="39891E53" w14:textId="1B3612F4" w:rsidR="00A815CC" w:rsidRPr="0016620E" w:rsidRDefault="00A815CC" w:rsidP="002F5837">
            <w:pPr>
              <w:spacing w:line="240" w:lineRule="auto"/>
              <w:rPr>
                <w:rFonts w:cs="Arial"/>
              </w:rPr>
            </w:pPr>
            <w:r w:rsidRPr="0016620E">
              <w:rPr>
                <w:rFonts w:cs="Arial"/>
              </w:rPr>
              <w:t>0.047</w:t>
            </w:r>
          </w:p>
          <w:p w14:paraId="5C5D2859" w14:textId="77777777" w:rsidR="00A815CC" w:rsidRPr="0016620E" w:rsidRDefault="00A815CC" w:rsidP="002F5837">
            <w:pPr>
              <w:spacing w:line="240" w:lineRule="auto"/>
              <w:rPr>
                <w:rFonts w:cs="Arial"/>
              </w:rPr>
            </w:pPr>
            <w:r w:rsidRPr="0016620E">
              <w:rPr>
                <w:rFonts w:cs="Arial"/>
              </w:rPr>
              <w:t>(0.045)</w:t>
            </w:r>
          </w:p>
        </w:tc>
        <w:tc>
          <w:tcPr>
            <w:tcW w:w="1271" w:type="dxa"/>
            <w:tcBorders>
              <w:top w:val="single" w:sz="4" w:space="0" w:color="auto"/>
              <w:right w:val="nil"/>
            </w:tcBorders>
          </w:tcPr>
          <w:p w14:paraId="7CE1C222" w14:textId="77777777" w:rsidR="00A815CC" w:rsidRPr="0016620E" w:rsidRDefault="00A815CC" w:rsidP="002F5837">
            <w:pPr>
              <w:spacing w:line="240" w:lineRule="auto"/>
              <w:rPr>
                <w:rFonts w:cs="Arial"/>
              </w:rPr>
            </w:pPr>
            <w:r w:rsidRPr="0016620E">
              <w:rPr>
                <w:rFonts w:cs="Arial"/>
              </w:rPr>
              <w:t>0.056</w:t>
            </w:r>
          </w:p>
          <w:p w14:paraId="7BE19074" w14:textId="77777777" w:rsidR="00A815CC" w:rsidRPr="0016620E" w:rsidRDefault="00A815CC" w:rsidP="002F5837">
            <w:pPr>
              <w:spacing w:after="120" w:line="240" w:lineRule="auto"/>
              <w:rPr>
                <w:rFonts w:cs="Arial"/>
              </w:rPr>
            </w:pPr>
            <w:r w:rsidRPr="0016620E">
              <w:rPr>
                <w:rFonts w:cs="Arial"/>
              </w:rPr>
              <w:t>(0.044)</w:t>
            </w:r>
          </w:p>
        </w:tc>
      </w:tr>
      <w:tr w:rsidR="00A815CC" w:rsidRPr="0016620E" w14:paraId="34285A88" w14:textId="77777777" w:rsidTr="0095055E">
        <w:trPr>
          <w:jc w:val="center"/>
        </w:trPr>
        <w:tc>
          <w:tcPr>
            <w:tcW w:w="4679" w:type="dxa"/>
            <w:tcBorders>
              <w:left w:val="nil"/>
            </w:tcBorders>
          </w:tcPr>
          <w:p w14:paraId="3164BF60" w14:textId="77777777" w:rsidR="00A815CC" w:rsidRPr="0016620E" w:rsidRDefault="00A815CC" w:rsidP="002F5837">
            <w:pPr>
              <w:spacing w:line="240" w:lineRule="auto"/>
              <w:rPr>
                <w:rFonts w:cs="Arial"/>
              </w:rPr>
            </w:pPr>
            <w:r w:rsidRPr="0016620E">
              <w:rPr>
                <w:rFonts w:cs="Arial"/>
              </w:rPr>
              <w:t>NESB</w:t>
            </w:r>
          </w:p>
        </w:tc>
        <w:tc>
          <w:tcPr>
            <w:tcW w:w="1417" w:type="dxa"/>
          </w:tcPr>
          <w:p w14:paraId="09B35959" w14:textId="77777777" w:rsidR="00A815CC" w:rsidRPr="0016620E" w:rsidRDefault="005E563A" w:rsidP="002F5837">
            <w:pPr>
              <w:spacing w:line="240" w:lineRule="auto"/>
              <w:rPr>
                <w:rFonts w:cs="Arial"/>
              </w:rPr>
            </w:pPr>
            <w:r w:rsidRPr="0016620E">
              <w:rPr>
                <w:rFonts w:cs="Arial"/>
              </w:rPr>
              <w:t>0.006</w:t>
            </w:r>
          </w:p>
          <w:p w14:paraId="47FDD654" w14:textId="4186C886" w:rsidR="005E563A" w:rsidRPr="0016620E" w:rsidRDefault="005E563A" w:rsidP="002F5837">
            <w:pPr>
              <w:spacing w:line="240" w:lineRule="auto"/>
              <w:rPr>
                <w:rFonts w:cs="Arial"/>
              </w:rPr>
            </w:pPr>
            <w:r w:rsidRPr="0016620E">
              <w:rPr>
                <w:rFonts w:cs="Arial"/>
              </w:rPr>
              <w:t>(0.016)</w:t>
            </w:r>
          </w:p>
        </w:tc>
        <w:tc>
          <w:tcPr>
            <w:tcW w:w="1417" w:type="dxa"/>
          </w:tcPr>
          <w:p w14:paraId="010E8C76" w14:textId="05AFE556" w:rsidR="00A815CC" w:rsidRPr="0016620E" w:rsidRDefault="00A815CC" w:rsidP="002F5837">
            <w:pPr>
              <w:spacing w:line="240" w:lineRule="auto"/>
              <w:rPr>
                <w:rFonts w:cs="Arial"/>
              </w:rPr>
            </w:pPr>
            <w:r w:rsidRPr="0016620E">
              <w:rPr>
                <w:rFonts w:cs="Arial"/>
              </w:rPr>
              <w:t>–0.027</w:t>
            </w:r>
          </w:p>
          <w:p w14:paraId="262F4264" w14:textId="77777777" w:rsidR="00A815CC" w:rsidRPr="0016620E" w:rsidRDefault="00A815CC" w:rsidP="002F5837">
            <w:pPr>
              <w:spacing w:line="240" w:lineRule="auto"/>
              <w:rPr>
                <w:rFonts w:cs="Arial"/>
              </w:rPr>
            </w:pPr>
            <w:r w:rsidRPr="0016620E">
              <w:rPr>
                <w:rFonts w:cs="Arial"/>
              </w:rPr>
              <w:t>(0.021)</w:t>
            </w:r>
          </w:p>
        </w:tc>
        <w:tc>
          <w:tcPr>
            <w:tcW w:w="1271" w:type="dxa"/>
            <w:tcBorders>
              <w:right w:val="nil"/>
            </w:tcBorders>
          </w:tcPr>
          <w:p w14:paraId="7E12C0A8" w14:textId="77777777" w:rsidR="00A815CC" w:rsidRPr="0016620E" w:rsidRDefault="00A815CC" w:rsidP="002F5837">
            <w:pPr>
              <w:spacing w:line="240" w:lineRule="auto"/>
              <w:rPr>
                <w:rFonts w:cs="Arial"/>
              </w:rPr>
            </w:pPr>
            <w:r w:rsidRPr="0016620E">
              <w:rPr>
                <w:rFonts w:cs="Arial"/>
              </w:rPr>
              <w:t>–0.043**</w:t>
            </w:r>
          </w:p>
          <w:p w14:paraId="3075D991" w14:textId="77777777" w:rsidR="00A815CC" w:rsidRPr="0016620E" w:rsidRDefault="00A815CC" w:rsidP="002F5837">
            <w:pPr>
              <w:spacing w:after="120" w:line="240" w:lineRule="auto"/>
              <w:rPr>
                <w:rFonts w:cs="Arial"/>
              </w:rPr>
            </w:pPr>
            <w:r w:rsidRPr="0016620E">
              <w:rPr>
                <w:rFonts w:cs="Arial"/>
              </w:rPr>
              <w:t>(0.020)</w:t>
            </w:r>
          </w:p>
        </w:tc>
      </w:tr>
      <w:tr w:rsidR="00A815CC" w:rsidRPr="0016620E" w14:paraId="72DE82BE" w14:textId="77777777" w:rsidTr="0095055E">
        <w:trPr>
          <w:jc w:val="center"/>
        </w:trPr>
        <w:tc>
          <w:tcPr>
            <w:tcW w:w="4679" w:type="dxa"/>
            <w:tcBorders>
              <w:left w:val="nil"/>
            </w:tcBorders>
          </w:tcPr>
          <w:p w14:paraId="0B25D87E" w14:textId="60941592" w:rsidR="00A815CC" w:rsidRPr="0016620E" w:rsidRDefault="00BF057E" w:rsidP="002F5837">
            <w:pPr>
              <w:spacing w:line="240" w:lineRule="auto"/>
              <w:rPr>
                <w:rFonts w:cs="Arial"/>
              </w:rPr>
            </w:pPr>
            <w:r>
              <w:rPr>
                <w:rFonts w:eastAsia="Arial" w:cs="Arial"/>
                <w:w w:val="105"/>
                <w14:ligatures w14:val="none"/>
              </w:rPr>
              <w:t>L</w:t>
            </w:r>
            <w:r w:rsidRPr="00276F44">
              <w:rPr>
                <w:rFonts w:eastAsia="Arial" w:cs="Arial"/>
                <w:w w:val="105"/>
                <w14:ligatures w14:val="none"/>
              </w:rPr>
              <w:t>ow</w:t>
            </w:r>
            <w:r>
              <w:rPr>
                <w:rFonts w:eastAsia="Arial" w:cs="Arial"/>
                <w:w w:val="105"/>
                <w14:ligatures w14:val="none"/>
              </w:rPr>
              <w:t xml:space="preserve"> </w:t>
            </w:r>
            <w:r w:rsidRPr="00276F44">
              <w:rPr>
                <w:rFonts w:eastAsia="Arial" w:cs="Arial"/>
                <w:w w:val="105"/>
                <w14:ligatures w14:val="none"/>
              </w:rPr>
              <w:t>SES</w:t>
            </w:r>
            <w:r>
              <w:rPr>
                <w:rFonts w:eastAsia="Arial" w:cs="Arial"/>
                <w:w w:val="105"/>
                <w14:ligatures w14:val="none"/>
              </w:rPr>
              <w:t xml:space="preserve"> in childhood</w:t>
            </w:r>
          </w:p>
        </w:tc>
        <w:tc>
          <w:tcPr>
            <w:tcW w:w="1417" w:type="dxa"/>
          </w:tcPr>
          <w:p w14:paraId="097A11B8" w14:textId="4967A069" w:rsidR="00A815CC" w:rsidRPr="0016620E" w:rsidRDefault="005E563A" w:rsidP="002F5837">
            <w:pPr>
              <w:spacing w:line="240" w:lineRule="auto"/>
              <w:rPr>
                <w:rFonts w:cs="Arial"/>
              </w:rPr>
            </w:pPr>
            <w:r w:rsidRPr="0016620E">
              <w:rPr>
                <w:rFonts w:cs="Arial"/>
              </w:rPr>
              <w:t>–0.009</w:t>
            </w:r>
          </w:p>
          <w:p w14:paraId="5273DD05" w14:textId="0A7C95CA" w:rsidR="005E563A" w:rsidRPr="0016620E" w:rsidRDefault="005E563A" w:rsidP="002F5837">
            <w:pPr>
              <w:spacing w:line="240" w:lineRule="auto"/>
              <w:rPr>
                <w:rFonts w:cs="Arial"/>
              </w:rPr>
            </w:pPr>
            <w:r w:rsidRPr="0016620E">
              <w:rPr>
                <w:rFonts w:cs="Arial"/>
              </w:rPr>
              <w:t>(0.012)</w:t>
            </w:r>
          </w:p>
        </w:tc>
        <w:tc>
          <w:tcPr>
            <w:tcW w:w="1417" w:type="dxa"/>
          </w:tcPr>
          <w:p w14:paraId="45EF1F62" w14:textId="7014364B" w:rsidR="00A815CC" w:rsidRPr="0016620E" w:rsidRDefault="00A815CC" w:rsidP="002F5837">
            <w:pPr>
              <w:spacing w:line="240" w:lineRule="auto"/>
              <w:rPr>
                <w:rFonts w:cs="Arial"/>
              </w:rPr>
            </w:pPr>
            <w:r w:rsidRPr="0016620E">
              <w:rPr>
                <w:rFonts w:cs="Arial"/>
              </w:rPr>
              <w:t>0.001</w:t>
            </w:r>
          </w:p>
          <w:p w14:paraId="0193C2A1" w14:textId="77777777" w:rsidR="00A815CC" w:rsidRPr="0016620E" w:rsidRDefault="00A815CC" w:rsidP="002F5837">
            <w:pPr>
              <w:spacing w:line="240" w:lineRule="auto"/>
              <w:rPr>
                <w:rFonts w:cs="Arial"/>
              </w:rPr>
            </w:pPr>
            <w:r w:rsidRPr="0016620E">
              <w:rPr>
                <w:rFonts w:cs="Arial"/>
              </w:rPr>
              <w:t>(0.011)</w:t>
            </w:r>
          </w:p>
        </w:tc>
        <w:tc>
          <w:tcPr>
            <w:tcW w:w="1271" w:type="dxa"/>
            <w:tcBorders>
              <w:right w:val="nil"/>
            </w:tcBorders>
          </w:tcPr>
          <w:p w14:paraId="1C9E4DAB" w14:textId="77777777" w:rsidR="00A815CC" w:rsidRPr="0016620E" w:rsidRDefault="00A815CC" w:rsidP="002F5837">
            <w:pPr>
              <w:spacing w:line="240" w:lineRule="auto"/>
              <w:rPr>
                <w:rFonts w:cs="Arial"/>
              </w:rPr>
            </w:pPr>
            <w:r w:rsidRPr="0016620E">
              <w:rPr>
                <w:rFonts w:cs="Arial"/>
              </w:rPr>
              <w:t>0.003</w:t>
            </w:r>
          </w:p>
          <w:p w14:paraId="00164EED" w14:textId="77777777" w:rsidR="00A815CC" w:rsidRPr="0016620E" w:rsidRDefault="00A815CC" w:rsidP="002F5837">
            <w:pPr>
              <w:spacing w:after="120" w:line="240" w:lineRule="auto"/>
              <w:rPr>
                <w:rFonts w:cs="Arial"/>
              </w:rPr>
            </w:pPr>
            <w:r w:rsidRPr="0016620E">
              <w:rPr>
                <w:rFonts w:cs="Arial"/>
              </w:rPr>
              <w:t>(0.011)</w:t>
            </w:r>
          </w:p>
        </w:tc>
      </w:tr>
      <w:tr w:rsidR="00A815CC" w:rsidRPr="0016620E" w14:paraId="286B3DFF" w14:textId="77777777" w:rsidTr="0095055E">
        <w:trPr>
          <w:jc w:val="center"/>
        </w:trPr>
        <w:tc>
          <w:tcPr>
            <w:tcW w:w="4679" w:type="dxa"/>
            <w:tcBorders>
              <w:left w:val="nil"/>
            </w:tcBorders>
          </w:tcPr>
          <w:p w14:paraId="5D4AB4C3" w14:textId="1DD7B06B" w:rsidR="00A815CC" w:rsidRPr="0016620E" w:rsidRDefault="00614B27" w:rsidP="002F5837">
            <w:pPr>
              <w:spacing w:line="240" w:lineRule="auto"/>
              <w:rPr>
                <w:rFonts w:cs="Arial"/>
              </w:rPr>
            </w:pPr>
            <w:r w:rsidRPr="0016620E">
              <w:rPr>
                <w:rFonts w:cs="Arial"/>
                <w:w w:val="105"/>
              </w:rPr>
              <w:t>Father unemployed for 6+ months</w:t>
            </w:r>
          </w:p>
        </w:tc>
        <w:tc>
          <w:tcPr>
            <w:tcW w:w="1417" w:type="dxa"/>
          </w:tcPr>
          <w:p w14:paraId="6A075044" w14:textId="361B3720" w:rsidR="00A815CC" w:rsidRPr="0016620E" w:rsidRDefault="005E563A" w:rsidP="002F5837">
            <w:pPr>
              <w:spacing w:line="240" w:lineRule="auto"/>
              <w:rPr>
                <w:rFonts w:cs="Arial"/>
              </w:rPr>
            </w:pPr>
            <w:r w:rsidRPr="0016620E">
              <w:rPr>
                <w:rFonts w:cs="Arial"/>
              </w:rPr>
              <w:t>–0.005</w:t>
            </w:r>
          </w:p>
          <w:p w14:paraId="216370DF" w14:textId="64791299" w:rsidR="005E563A" w:rsidRPr="0016620E" w:rsidRDefault="005E563A" w:rsidP="002F5837">
            <w:pPr>
              <w:spacing w:line="240" w:lineRule="auto"/>
              <w:rPr>
                <w:rFonts w:cs="Arial"/>
              </w:rPr>
            </w:pPr>
            <w:r w:rsidRPr="0016620E">
              <w:rPr>
                <w:rFonts w:cs="Arial"/>
              </w:rPr>
              <w:t>(0.018)</w:t>
            </w:r>
          </w:p>
        </w:tc>
        <w:tc>
          <w:tcPr>
            <w:tcW w:w="1417" w:type="dxa"/>
          </w:tcPr>
          <w:p w14:paraId="160584C5" w14:textId="41F2F9BC" w:rsidR="00A815CC" w:rsidRPr="0016620E" w:rsidRDefault="00A815CC" w:rsidP="002F5837">
            <w:pPr>
              <w:spacing w:line="240" w:lineRule="auto"/>
              <w:rPr>
                <w:rFonts w:cs="Arial"/>
              </w:rPr>
            </w:pPr>
            <w:r w:rsidRPr="0016620E">
              <w:rPr>
                <w:rFonts w:cs="Arial"/>
              </w:rPr>
              <w:t>0.003</w:t>
            </w:r>
          </w:p>
          <w:p w14:paraId="6CC32A91" w14:textId="77777777" w:rsidR="00A815CC" w:rsidRPr="0016620E" w:rsidRDefault="00A815CC" w:rsidP="002F5837">
            <w:pPr>
              <w:spacing w:line="240" w:lineRule="auto"/>
              <w:rPr>
                <w:rFonts w:cs="Arial"/>
              </w:rPr>
            </w:pPr>
            <w:r w:rsidRPr="0016620E">
              <w:rPr>
                <w:rFonts w:cs="Arial"/>
              </w:rPr>
              <w:t>(0.017)</w:t>
            </w:r>
          </w:p>
        </w:tc>
        <w:tc>
          <w:tcPr>
            <w:tcW w:w="1271" w:type="dxa"/>
            <w:tcBorders>
              <w:right w:val="nil"/>
            </w:tcBorders>
          </w:tcPr>
          <w:p w14:paraId="1644F4F0" w14:textId="77777777" w:rsidR="00A815CC" w:rsidRPr="0016620E" w:rsidRDefault="00A815CC" w:rsidP="002F5837">
            <w:pPr>
              <w:spacing w:line="240" w:lineRule="auto"/>
              <w:rPr>
                <w:rFonts w:cs="Arial"/>
              </w:rPr>
            </w:pPr>
            <w:r w:rsidRPr="0016620E">
              <w:rPr>
                <w:rFonts w:cs="Arial"/>
              </w:rPr>
              <w:t>0.001</w:t>
            </w:r>
          </w:p>
          <w:p w14:paraId="6E756331" w14:textId="77777777" w:rsidR="00A815CC" w:rsidRPr="0016620E" w:rsidRDefault="00A815CC" w:rsidP="002F5837">
            <w:pPr>
              <w:spacing w:after="120" w:line="240" w:lineRule="auto"/>
              <w:rPr>
                <w:rFonts w:cs="Arial"/>
              </w:rPr>
            </w:pPr>
            <w:r w:rsidRPr="0016620E">
              <w:rPr>
                <w:rFonts w:cs="Arial"/>
              </w:rPr>
              <w:t>(0.017)</w:t>
            </w:r>
          </w:p>
        </w:tc>
      </w:tr>
      <w:tr w:rsidR="00A815CC" w:rsidRPr="0016620E" w14:paraId="70E3962B" w14:textId="77777777" w:rsidTr="0095055E">
        <w:trPr>
          <w:trHeight w:val="597"/>
          <w:jc w:val="center"/>
        </w:trPr>
        <w:tc>
          <w:tcPr>
            <w:tcW w:w="4679" w:type="dxa"/>
            <w:tcBorders>
              <w:left w:val="nil"/>
              <w:bottom w:val="nil"/>
            </w:tcBorders>
          </w:tcPr>
          <w:p w14:paraId="35362865" w14:textId="77777777" w:rsidR="00A815CC" w:rsidRPr="0016620E" w:rsidRDefault="00A815CC" w:rsidP="002F5837">
            <w:pPr>
              <w:spacing w:line="240" w:lineRule="auto"/>
              <w:rPr>
                <w:rFonts w:cs="Arial"/>
              </w:rPr>
            </w:pPr>
            <w:r w:rsidRPr="0016620E">
              <w:rPr>
                <w:rFonts w:cs="Arial"/>
              </w:rPr>
              <w:t>Single-parent family</w:t>
            </w:r>
          </w:p>
        </w:tc>
        <w:tc>
          <w:tcPr>
            <w:tcW w:w="1417" w:type="dxa"/>
            <w:tcBorders>
              <w:bottom w:val="nil"/>
            </w:tcBorders>
          </w:tcPr>
          <w:p w14:paraId="75A98625" w14:textId="77777777" w:rsidR="00A815CC" w:rsidRPr="0016620E" w:rsidRDefault="005E563A" w:rsidP="002F5837">
            <w:pPr>
              <w:spacing w:line="240" w:lineRule="auto"/>
              <w:rPr>
                <w:rFonts w:cs="Arial"/>
              </w:rPr>
            </w:pPr>
            <w:r w:rsidRPr="0016620E">
              <w:rPr>
                <w:rFonts w:cs="Arial"/>
              </w:rPr>
              <w:t>0.017</w:t>
            </w:r>
          </w:p>
          <w:p w14:paraId="09476756" w14:textId="6F5440BF" w:rsidR="005E563A" w:rsidRPr="0016620E" w:rsidRDefault="005E563A" w:rsidP="002F5837">
            <w:pPr>
              <w:spacing w:line="240" w:lineRule="auto"/>
              <w:rPr>
                <w:rFonts w:cs="Arial"/>
              </w:rPr>
            </w:pPr>
            <w:r w:rsidRPr="0016620E">
              <w:rPr>
                <w:rFonts w:cs="Arial"/>
              </w:rPr>
              <w:t>(0.029)</w:t>
            </w:r>
          </w:p>
        </w:tc>
        <w:tc>
          <w:tcPr>
            <w:tcW w:w="1417" w:type="dxa"/>
            <w:tcBorders>
              <w:bottom w:val="nil"/>
            </w:tcBorders>
          </w:tcPr>
          <w:p w14:paraId="79B86C7A" w14:textId="7EEDF11A" w:rsidR="00A815CC" w:rsidRPr="0016620E" w:rsidRDefault="00A815CC" w:rsidP="002F5837">
            <w:pPr>
              <w:spacing w:line="240" w:lineRule="auto"/>
              <w:rPr>
                <w:rFonts w:cs="Arial"/>
              </w:rPr>
            </w:pPr>
            <w:r w:rsidRPr="0016620E">
              <w:rPr>
                <w:rFonts w:cs="Arial"/>
              </w:rPr>
              <w:t>0.007</w:t>
            </w:r>
          </w:p>
          <w:p w14:paraId="33267098" w14:textId="77777777" w:rsidR="00A815CC" w:rsidRPr="0016620E" w:rsidRDefault="00A815CC" w:rsidP="002F5837">
            <w:pPr>
              <w:spacing w:line="240" w:lineRule="auto"/>
              <w:rPr>
                <w:rFonts w:cs="Arial"/>
              </w:rPr>
            </w:pPr>
            <w:r w:rsidRPr="0016620E">
              <w:rPr>
                <w:rFonts w:cs="Arial"/>
              </w:rPr>
              <w:t>(0.027)</w:t>
            </w:r>
          </w:p>
        </w:tc>
        <w:tc>
          <w:tcPr>
            <w:tcW w:w="1271" w:type="dxa"/>
            <w:tcBorders>
              <w:bottom w:val="nil"/>
              <w:right w:val="nil"/>
            </w:tcBorders>
          </w:tcPr>
          <w:p w14:paraId="64BA3CD3" w14:textId="77777777" w:rsidR="00A815CC" w:rsidRPr="0016620E" w:rsidRDefault="00A815CC" w:rsidP="002F5837">
            <w:pPr>
              <w:spacing w:line="240" w:lineRule="auto"/>
              <w:rPr>
                <w:rFonts w:cs="Arial"/>
              </w:rPr>
            </w:pPr>
            <w:r w:rsidRPr="0016620E">
              <w:rPr>
                <w:rFonts w:cs="Arial"/>
              </w:rPr>
              <w:t>0.008</w:t>
            </w:r>
          </w:p>
          <w:p w14:paraId="57BC610A" w14:textId="77777777" w:rsidR="00A815CC" w:rsidRPr="0016620E" w:rsidRDefault="00A815CC" w:rsidP="002F5837">
            <w:pPr>
              <w:spacing w:after="120" w:line="240" w:lineRule="auto"/>
              <w:rPr>
                <w:rFonts w:cs="Arial"/>
              </w:rPr>
            </w:pPr>
            <w:r w:rsidRPr="0016620E">
              <w:rPr>
                <w:rFonts w:cs="Arial"/>
              </w:rPr>
              <w:t>(0.026)</w:t>
            </w:r>
          </w:p>
        </w:tc>
      </w:tr>
      <w:tr w:rsidR="00DC273D" w:rsidRPr="0016620E" w14:paraId="31B44922" w14:textId="77777777" w:rsidTr="0095055E">
        <w:trPr>
          <w:jc w:val="center"/>
        </w:trPr>
        <w:tc>
          <w:tcPr>
            <w:tcW w:w="4679" w:type="dxa"/>
            <w:tcBorders>
              <w:top w:val="nil"/>
              <w:left w:val="nil"/>
              <w:bottom w:val="nil"/>
            </w:tcBorders>
          </w:tcPr>
          <w:p w14:paraId="1F108F9E" w14:textId="445D085D" w:rsidR="00DC273D" w:rsidRPr="0016620E" w:rsidRDefault="00DC273D" w:rsidP="002F5837">
            <w:pPr>
              <w:spacing w:line="240" w:lineRule="auto"/>
              <w:rPr>
                <w:rFonts w:cs="Arial"/>
              </w:rPr>
            </w:pPr>
            <w:r w:rsidRPr="0016620E">
              <w:rPr>
                <w:rFonts w:cs="Arial"/>
              </w:rPr>
              <w:t>Control variables</w:t>
            </w:r>
          </w:p>
        </w:tc>
        <w:tc>
          <w:tcPr>
            <w:tcW w:w="1417" w:type="dxa"/>
            <w:tcBorders>
              <w:top w:val="nil"/>
              <w:bottom w:val="nil"/>
            </w:tcBorders>
          </w:tcPr>
          <w:p w14:paraId="59625D8A" w14:textId="3C7C4F76" w:rsidR="00DC273D" w:rsidRPr="0016620E" w:rsidRDefault="00DC273D" w:rsidP="002F5837">
            <w:pPr>
              <w:spacing w:line="240" w:lineRule="auto"/>
              <w:rPr>
                <w:rFonts w:cs="Arial"/>
              </w:rPr>
            </w:pPr>
            <w:r w:rsidRPr="0016620E">
              <w:rPr>
                <w:rFonts w:cs="Arial"/>
              </w:rPr>
              <w:t>No</w:t>
            </w:r>
          </w:p>
        </w:tc>
        <w:tc>
          <w:tcPr>
            <w:tcW w:w="1417" w:type="dxa"/>
            <w:tcBorders>
              <w:top w:val="nil"/>
              <w:bottom w:val="nil"/>
            </w:tcBorders>
          </w:tcPr>
          <w:p w14:paraId="2DAB595E" w14:textId="5012D025" w:rsidR="00DC273D" w:rsidRPr="0016620E" w:rsidRDefault="00DC273D" w:rsidP="002F5837">
            <w:pPr>
              <w:spacing w:line="240" w:lineRule="auto"/>
              <w:rPr>
                <w:rFonts w:cs="Arial"/>
              </w:rPr>
            </w:pPr>
            <w:r w:rsidRPr="0016620E">
              <w:rPr>
                <w:rFonts w:cs="Arial"/>
              </w:rPr>
              <w:t>Yes</w:t>
            </w:r>
          </w:p>
        </w:tc>
        <w:tc>
          <w:tcPr>
            <w:tcW w:w="1271" w:type="dxa"/>
            <w:tcBorders>
              <w:top w:val="nil"/>
              <w:bottom w:val="nil"/>
              <w:right w:val="nil"/>
            </w:tcBorders>
          </w:tcPr>
          <w:p w14:paraId="219023A6" w14:textId="12C1F337" w:rsidR="00DC273D" w:rsidRPr="0016620E" w:rsidRDefault="00DC273D" w:rsidP="002F5837">
            <w:pPr>
              <w:spacing w:after="120" w:line="240" w:lineRule="auto"/>
              <w:rPr>
                <w:rFonts w:cs="Arial"/>
              </w:rPr>
            </w:pPr>
            <w:r w:rsidRPr="0016620E">
              <w:rPr>
                <w:rFonts w:cs="Arial"/>
              </w:rPr>
              <w:t>Yes</w:t>
            </w:r>
          </w:p>
        </w:tc>
      </w:tr>
      <w:tr w:rsidR="00A815CC" w:rsidRPr="0016620E" w14:paraId="01564CCB" w14:textId="77777777" w:rsidTr="0095055E">
        <w:trPr>
          <w:jc w:val="center"/>
        </w:trPr>
        <w:tc>
          <w:tcPr>
            <w:tcW w:w="4679" w:type="dxa"/>
            <w:tcBorders>
              <w:top w:val="nil"/>
              <w:left w:val="nil"/>
              <w:bottom w:val="single" w:sz="4" w:space="0" w:color="auto"/>
            </w:tcBorders>
          </w:tcPr>
          <w:p w14:paraId="6604F225" w14:textId="77777777" w:rsidR="00A815CC" w:rsidRPr="0016620E" w:rsidRDefault="00A815CC" w:rsidP="002F5837">
            <w:pPr>
              <w:spacing w:line="240" w:lineRule="auto"/>
              <w:rPr>
                <w:rFonts w:cs="Arial"/>
              </w:rPr>
            </w:pPr>
            <w:r w:rsidRPr="0016620E">
              <w:rPr>
                <w:rFonts w:cs="Arial"/>
              </w:rPr>
              <w:t>Field of study</w:t>
            </w:r>
          </w:p>
        </w:tc>
        <w:tc>
          <w:tcPr>
            <w:tcW w:w="1417" w:type="dxa"/>
            <w:tcBorders>
              <w:top w:val="nil"/>
              <w:bottom w:val="single" w:sz="4" w:space="0" w:color="auto"/>
            </w:tcBorders>
          </w:tcPr>
          <w:p w14:paraId="1AE3A9B9" w14:textId="3F19B649" w:rsidR="00A815CC" w:rsidRPr="0016620E" w:rsidRDefault="00DC273D" w:rsidP="002F5837">
            <w:pPr>
              <w:spacing w:line="240" w:lineRule="auto"/>
              <w:rPr>
                <w:rFonts w:cs="Arial"/>
              </w:rPr>
            </w:pPr>
            <w:r w:rsidRPr="0016620E">
              <w:rPr>
                <w:rFonts w:cs="Arial"/>
              </w:rPr>
              <w:t>No</w:t>
            </w:r>
          </w:p>
        </w:tc>
        <w:tc>
          <w:tcPr>
            <w:tcW w:w="1417" w:type="dxa"/>
            <w:tcBorders>
              <w:top w:val="nil"/>
              <w:bottom w:val="single" w:sz="4" w:space="0" w:color="auto"/>
            </w:tcBorders>
          </w:tcPr>
          <w:p w14:paraId="66CA5F77" w14:textId="13540F82" w:rsidR="00A815CC" w:rsidRPr="0016620E" w:rsidRDefault="00A815CC" w:rsidP="002F5837">
            <w:pPr>
              <w:spacing w:line="240" w:lineRule="auto"/>
              <w:rPr>
                <w:rFonts w:cs="Arial"/>
              </w:rPr>
            </w:pPr>
            <w:r w:rsidRPr="0016620E">
              <w:rPr>
                <w:rFonts w:cs="Arial"/>
              </w:rPr>
              <w:t>No</w:t>
            </w:r>
          </w:p>
        </w:tc>
        <w:tc>
          <w:tcPr>
            <w:tcW w:w="1271" w:type="dxa"/>
            <w:tcBorders>
              <w:top w:val="nil"/>
              <w:bottom w:val="single" w:sz="4" w:space="0" w:color="auto"/>
              <w:right w:val="nil"/>
            </w:tcBorders>
          </w:tcPr>
          <w:p w14:paraId="7CBD32E4" w14:textId="77777777" w:rsidR="00A815CC" w:rsidRPr="0016620E" w:rsidRDefault="00A815CC" w:rsidP="002F5837">
            <w:pPr>
              <w:spacing w:after="120" w:line="240" w:lineRule="auto"/>
              <w:rPr>
                <w:rFonts w:cs="Arial"/>
              </w:rPr>
            </w:pPr>
            <w:r w:rsidRPr="0016620E">
              <w:rPr>
                <w:rFonts w:cs="Arial"/>
              </w:rPr>
              <w:t>Yes</w:t>
            </w:r>
          </w:p>
        </w:tc>
      </w:tr>
      <w:tr w:rsidR="000B0633" w:rsidRPr="0016620E" w14:paraId="04ED840F" w14:textId="77777777" w:rsidTr="0095055E">
        <w:trPr>
          <w:jc w:val="center"/>
        </w:trPr>
        <w:tc>
          <w:tcPr>
            <w:tcW w:w="4679" w:type="dxa"/>
            <w:tcBorders>
              <w:top w:val="single" w:sz="4" w:space="0" w:color="auto"/>
              <w:left w:val="nil"/>
              <w:bottom w:val="nil"/>
              <w:right w:val="nil"/>
            </w:tcBorders>
          </w:tcPr>
          <w:p w14:paraId="66CCB3E0" w14:textId="77777777" w:rsidR="000B0633" w:rsidRPr="0016620E" w:rsidRDefault="000B0633" w:rsidP="002F5837">
            <w:pPr>
              <w:spacing w:after="120" w:line="240" w:lineRule="auto"/>
              <w:rPr>
                <w:rFonts w:cs="Arial"/>
                <w:i/>
                <w:iCs/>
              </w:rPr>
            </w:pPr>
            <w:r w:rsidRPr="0016620E">
              <w:rPr>
                <w:rFonts w:cs="Arial"/>
                <w:i/>
                <w:iCs/>
              </w:rPr>
              <w:t>Individuals</w:t>
            </w:r>
          </w:p>
        </w:tc>
        <w:tc>
          <w:tcPr>
            <w:tcW w:w="1417" w:type="dxa"/>
            <w:tcBorders>
              <w:top w:val="single" w:sz="4" w:space="0" w:color="auto"/>
              <w:left w:val="nil"/>
              <w:bottom w:val="nil"/>
              <w:right w:val="nil"/>
            </w:tcBorders>
          </w:tcPr>
          <w:p w14:paraId="41AAA981" w14:textId="039471A9" w:rsidR="000B0633" w:rsidRPr="007017EF" w:rsidRDefault="000B0633" w:rsidP="002F5837">
            <w:pPr>
              <w:spacing w:after="120" w:line="240" w:lineRule="auto"/>
              <w:rPr>
                <w:rFonts w:cs="Arial"/>
              </w:rPr>
            </w:pPr>
            <w:r w:rsidRPr="007017EF">
              <w:rPr>
                <w:rFonts w:cs="Arial"/>
              </w:rPr>
              <w:t>4910</w:t>
            </w:r>
          </w:p>
        </w:tc>
        <w:tc>
          <w:tcPr>
            <w:tcW w:w="1417" w:type="dxa"/>
            <w:tcBorders>
              <w:top w:val="single" w:sz="4" w:space="0" w:color="auto"/>
              <w:left w:val="nil"/>
              <w:bottom w:val="nil"/>
              <w:right w:val="nil"/>
            </w:tcBorders>
          </w:tcPr>
          <w:p w14:paraId="561D980E" w14:textId="516394A0" w:rsidR="000B0633" w:rsidRPr="007017EF" w:rsidRDefault="000B0633" w:rsidP="002F5837">
            <w:pPr>
              <w:spacing w:after="120" w:line="240" w:lineRule="auto"/>
              <w:rPr>
                <w:rFonts w:cs="Arial"/>
              </w:rPr>
            </w:pPr>
            <w:r w:rsidRPr="007017EF">
              <w:rPr>
                <w:rFonts w:cs="Arial"/>
              </w:rPr>
              <w:t>4910</w:t>
            </w:r>
          </w:p>
        </w:tc>
        <w:tc>
          <w:tcPr>
            <w:tcW w:w="1271" w:type="dxa"/>
            <w:tcBorders>
              <w:top w:val="single" w:sz="4" w:space="0" w:color="auto"/>
              <w:left w:val="nil"/>
              <w:bottom w:val="nil"/>
              <w:right w:val="nil"/>
            </w:tcBorders>
          </w:tcPr>
          <w:p w14:paraId="485F23CE" w14:textId="46B3AC44" w:rsidR="000B0633" w:rsidRPr="007017EF" w:rsidRDefault="000B0633" w:rsidP="002F5837">
            <w:pPr>
              <w:spacing w:after="120" w:line="240" w:lineRule="auto"/>
              <w:rPr>
                <w:rFonts w:cs="Arial"/>
              </w:rPr>
            </w:pPr>
            <w:r w:rsidRPr="007017EF">
              <w:rPr>
                <w:rFonts w:cs="Arial"/>
              </w:rPr>
              <w:t>4910</w:t>
            </w:r>
          </w:p>
        </w:tc>
      </w:tr>
      <w:tr w:rsidR="000B0633" w:rsidRPr="0016620E" w14:paraId="3D1FEA4E" w14:textId="77777777" w:rsidTr="0095055E">
        <w:trPr>
          <w:jc w:val="center"/>
        </w:trPr>
        <w:tc>
          <w:tcPr>
            <w:tcW w:w="4679" w:type="dxa"/>
            <w:tcBorders>
              <w:top w:val="nil"/>
              <w:left w:val="nil"/>
              <w:bottom w:val="single" w:sz="4" w:space="0" w:color="auto"/>
              <w:right w:val="nil"/>
            </w:tcBorders>
          </w:tcPr>
          <w:p w14:paraId="26EFEE58" w14:textId="77777777" w:rsidR="000B0633" w:rsidRPr="0016620E" w:rsidRDefault="000B0633" w:rsidP="002F5837">
            <w:pPr>
              <w:spacing w:after="120" w:line="240" w:lineRule="auto"/>
              <w:rPr>
                <w:rFonts w:cs="Arial"/>
                <w:i/>
                <w:iCs/>
              </w:rPr>
            </w:pPr>
            <w:r w:rsidRPr="0016620E">
              <w:rPr>
                <w:rFonts w:cs="Arial"/>
                <w:i/>
                <w:iCs/>
              </w:rPr>
              <w:t>Observations</w:t>
            </w:r>
          </w:p>
        </w:tc>
        <w:tc>
          <w:tcPr>
            <w:tcW w:w="1417" w:type="dxa"/>
            <w:tcBorders>
              <w:top w:val="nil"/>
              <w:left w:val="nil"/>
              <w:bottom w:val="single" w:sz="4" w:space="0" w:color="auto"/>
              <w:right w:val="nil"/>
            </w:tcBorders>
          </w:tcPr>
          <w:p w14:paraId="5FF4C322" w14:textId="587AF1A7" w:rsidR="000B0633" w:rsidRPr="007017EF" w:rsidRDefault="000B0633" w:rsidP="002F5837">
            <w:pPr>
              <w:spacing w:after="120" w:line="240" w:lineRule="auto"/>
              <w:rPr>
                <w:rFonts w:cs="Arial"/>
              </w:rPr>
            </w:pPr>
            <w:r w:rsidRPr="007017EF">
              <w:rPr>
                <w:rFonts w:cs="Arial"/>
              </w:rPr>
              <w:t>9810</w:t>
            </w:r>
          </w:p>
        </w:tc>
        <w:tc>
          <w:tcPr>
            <w:tcW w:w="1417" w:type="dxa"/>
            <w:tcBorders>
              <w:top w:val="nil"/>
              <w:left w:val="nil"/>
              <w:bottom w:val="single" w:sz="4" w:space="0" w:color="auto"/>
              <w:right w:val="nil"/>
            </w:tcBorders>
          </w:tcPr>
          <w:p w14:paraId="5D9776F7" w14:textId="255FC5D4" w:rsidR="000B0633" w:rsidRPr="007017EF" w:rsidRDefault="000B0633" w:rsidP="002F5837">
            <w:pPr>
              <w:spacing w:after="120" w:line="240" w:lineRule="auto"/>
              <w:rPr>
                <w:rFonts w:cs="Arial"/>
              </w:rPr>
            </w:pPr>
            <w:r w:rsidRPr="007017EF">
              <w:rPr>
                <w:rFonts w:cs="Arial"/>
              </w:rPr>
              <w:t>9810</w:t>
            </w:r>
          </w:p>
        </w:tc>
        <w:tc>
          <w:tcPr>
            <w:tcW w:w="1271" w:type="dxa"/>
            <w:tcBorders>
              <w:top w:val="nil"/>
              <w:left w:val="nil"/>
              <w:bottom w:val="single" w:sz="4" w:space="0" w:color="auto"/>
              <w:right w:val="nil"/>
            </w:tcBorders>
          </w:tcPr>
          <w:p w14:paraId="16BBC922" w14:textId="1DBF612B" w:rsidR="000B0633" w:rsidRPr="007017EF" w:rsidRDefault="000B0633" w:rsidP="002F5837">
            <w:pPr>
              <w:spacing w:after="120" w:line="240" w:lineRule="auto"/>
              <w:rPr>
                <w:rFonts w:cs="Arial"/>
              </w:rPr>
            </w:pPr>
            <w:r w:rsidRPr="007017EF">
              <w:rPr>
                <w:rFonts w:cs="Arial"/>
              </w:rPr>
              <w:t>9810</w:t>
            </w:r>
          </w:p>
        </w:tc>
      </w:tr>
    </w:tbl>
    <w:p w14:paraId="5865B35C" w14:textId="77777777" w:rsidR="00014489" w:rsidRPr="0095055E" w:rsidRDefault="00014489" w:rsidP="000F54A6">
      <w:pPr>
        <w:spacing w:line="240" w:lineRule="auto"/>
        <w:ind w:left="340" w:right="284"/>
        <w:rPr>
          <w:rFonts w:eastAsia="Arial" w:cs="Arial"/>
          <w:i/>
          <w:iCs/>
          <w:w w:val="105"/>
          <w:kern w:val="0"/>
          <w:sz w:val="18"/>
          <w:szCs w:val="18"/>
          <w14:ligatures w14:val="none"/>
        </w:rPr>
      </w:pPr>
      <w:r w:rsidRPr="0095055E">
        <w:rPr>
          <w:rFonts w:eastAsia="Arial" w:cs="Arial"/>
          <w:i/>
          <w:iCs/>
          <w:w w:val="105"/>
          <w:kern w:val="0"/>
          <w:sz w:val="18"/>
          <w:szCs w:val="18"/>
          <w14:ligatures w14:val="none"/>
        </w:rPr>
        <w:t>Notes: The control variables include dummies for year of birth, gender, whether born in Australia, number of siblings, whether living in a major city, and dummies for state of residence and HILDA waves. Robust standard errors are in parentheses. *** p&lt;0.01; ** p&lt;0.05; * p&lt;0.10.</w:t>
      </w:r>
    </w:p>
    <w:p w14:paraId="6B3F1F9E" w14:textId="17D3C451" w:rsidR="00DB0AF8" w:rsidRPr="00DB0AF8" w:rsidRDefault="0003273D" w:rsidP="00721EB3">
      <w:pPr>
        <w:rPr>
          <w:w w:val="105"/>
          <w:kern w:val="0"/>
        </w:rPr>
      </w:pPr>
      <w:r w:rsidRPr="00E32AAB">
        <w:rPr>
          <w:w w:val="105"/>
          <w:kern w:val="0"/>
        </w:rPr>
        <w:t xml:space="preserve">The </w:t>
      </w:r>
      <w:r w:rsidR="00DB0AF8" w:rsidRPr="00DB0AF8">
        <w:rPr>
          <w:w w:val="105"/>
        </w:rPr>
        <w:t xml:space="preserve">results of the RE estimations for the probability of full-time employment are presented in Table </w:t>
      </w:r>
      <w:r w:rsidR="00134586">
        <w:rPr>
          <w:w w:val="105"/>
        </w:rPr>
        <w:t>6</w:t>
      </w:r>
      <w:r w:rsidR="00DB0AF8" w:rsidRPr="00DB0AF8">
        <w:rPr>
          <w:w w:val="105"/>
        </w:rPr>
        <w:t>. Column (</w:t>
      </w:r>
      <w:proofErr w:type="spellStart"/>
      <w:r w:rsidR="00DB0AF8" w:rsidRPr="00DB0AF8">
        <w:rPr>
          <w:w w:val="105"/>
        </w:rPr>
        <w:t>i</w:t>
      </w:r>
      <w:proofErr w:type="spellEnd"/>
      <w:r w:rsidR="00DB0AF8" w:rsidRPr="00DB0AF8">
        <w:rPr>
          <w:w w:val="105"/>
        </w:rPr>
        <w:t xml:space="preserve">) shows that there are no statistically significant differences in full-time employment rates between </w:t>
      </w:r>
      <w:r w:rsidR="00F00634">
        <w:rPr>
          <w:w w:val="105"/>
        </w:rPr>
        <w:t>Australians</w:t>
      </w:r>
      <w:r w:rsidR="00DB0AF8" w:rsidRPr="00DB0AF8">
        <w:rPr>
          <w:w w:val="105"/>
        </w:rPr>
        <w:t xml:space="preserve"> from disadvantaged and non-disadvantaged backgrounds. This finding </w:t>
      </w:r>
      <w:r w:rsidR="009044FC">
        <w:rPr>
          <w:w w:val="105"/>
        </w:rPr>
        <w:t>does not change</w:t>
      </w:r>
      <w:r w:rsidR="00DB0AF8" w:rsidRPr="00DB0AF8">
        <w:rPr>
          <w:w w:val="105"/>
        </w:rPr>
        <w:t xml:space="preserve"> </w:t>
      </w:r>
      <w:r w:rsidR="009044FC">
        <w:rPr>
          <w:w w:val="105"/>
        </w:rPr>
        <w:t>after</w:t>
      </w:r>
      <w:r w:rsidR="004323EF">
        <w:rPr>
          <w:w w:val="105"/>
        </w:rPr>
        <w:t xml:space="preserve"> </w:t>
      </w:r>
      <w:r w:rsidR="00DB0AF8" w:rsidRPr="00DB0AF8">
        <w:rPr>
          <w:w w:val="105"/>
        </w:rPr>
        <w:t>we control for demographic variables</w:t>
      </w:r>
      <w:r w:rsidR="004323EF">
        <w:rPr>
          <w:w w:val="105"/>
        </w:rPr>
        <w:t xml:space="preserve"> </w:t>
      </w:r>
      <w:r w:rsidR="004323EF" w:rsidRPr="00DB0AF8">
        <w:rPr>
          <w:w w:val="105"/>
        </w:rPr>
        <w:t>in column (ii)</w:t>
      </w:r>
      <w:r w:rsidR="00DB0AF8" w:rsidRPr="00DB0AF8">
        <w:rPr>
          <w:w w:val="105"/>
        </w:rPr>
        <w:t>.</w:t>
      </w:r>
      <w:r w:rsidR="00DB0AF8">
        <w:rPr>
          <w:w w:val="105"/>
        </w:rPr>
        <w:t xml:space="preserve"> </w:t>
      </w:r>
      <w:r w:rsidR="00DB0AF8" w:rsidRPr="00DB0AF8">
        <w:rPr>
          <w:w w:val="105"/>
          <w:kern w:val="0"/>
        </w:rPr>
        <w:t xml:space="preserve">A previous study by Edwards and Coates (2011) found that graduates from disadvantaged backgrounds were more likely to work full-time and less likely to work part-time within three to five years of completing university. However, </w:t>
      </w:r>
      <w:r w:rsidR="00DD12B7">
        <w:rPr>
          <w:w w:val="105"/>
          <w:kern w:val="0"/>
        </w:rPr>
        <w:t>our</w:t>
      </w:r>
      <w:r w:rsidR="00307842">
        <w:rPr>
          <w:w w:val="105"/>
          <w:kern w:val="0"/>
        </w:rPr>
        <w:t xml:space="preserve"> results</w:t>
      </w:r>
      <w:r w:rsidR="00DB0AF8" w:rsidRPr="00DB0AF8">
        <w:rPr>
          <w:w w:val="105"/>
          <w:kern w:val="0"/>
        </w:rPr>
        <w:t xml:space="preserve"> </w:t>
      </w:r>
      <w:r w:rsidR="00F96E35">
        <w:rPr>
          <w:w w:val="105"/>
          <w:kern w:val="0"/>
        </w:rPr>
        <w:t>for full-time employment</w:t>
      </w:r>
      <w:r w:rsidR="00357FC9">
        <w:rPr>
          <w:w w:val="105"/>
          <w:kern w:val="0"/>
        </w:rPr>
        <w:t>, as shown</w:t>
      </w:r>
      <w:r w:rsidR="00F96E35">
        <w:rPr>
          <w:w w:val="105"/>
          <w:kern w:val="0"/>
        </w:rPr>
        <w:t xml:space="preserve"> </w:t>
      </w:r>
      <w:r w:rsidR="00DB0AF8" w:rsidRPr="00DB0AF8">
        <w:rPr>
          <w:w w:val="105"/>
          <w:kern w:val="0"/>
        </w:rPr>
        <w:t xml:space="preserve">in </w:t>
      </w:r>
      <w:r w:rsidR="00293A66">
        <w:rPr>
          <w:w w:val="105"/>
          <w:kern w:val="0"/>
        </w:rPr>
        <w:t>columns (</w:t>
      </w:r>
      <w:proofErr w:type="spellStart"/>
      <w:r w:rsidR="00293A66">
        <w:rPr>
          <w:w w:val="105"/>
          <w:kern w:val="0"/>
        </w:rPr>
        <w:t>i</w:t>
      </w:r>
      <w:proofErr w:type="spellEnd"/>
      <w:r w:rsidR="00293A66">
        <w:rPr>
          <w:w w:val="105"/>
          <w:kern w:val="0"/>
        </w:rPr>
        <w:t xml:space="preserve">) and (ii) of </w:t>
      </w:r>
      <w:r w:rsidR="00DB0AF8" w:rsidRPr="00DB0AF8">
        <w:rPr>
          <w:w w:val="105"/>
          <w:kern w:val="0"/>
        </w:rPr>
        <w:t>Table 5</w:t>
      </w:r>
      <w:r w:rsidR="00357FC9">
        <w:rPr>
          <w:w w:val="105"/>
          <w:kern w:val="0"/>
        </w:rPr>
        <w:t>,</w:t>
      </w:r>
      <w:r w:rsidR="00DB0AF8" w:rsidRPr="00DB0AF8">
        <w:rPr>
          <w:w w:val="105"/>
          <w:kern w:val="0"/>
        </w:rPr>
        <w:t xml:space="preserve"> suggest that this di</w:t>
      </w:r>
      <w:r w:rsidR="00307842">
        <w:rPr>
          <w:w w:val="105"/>
          <w:kern w:val="0"/>
        </w:rPr>
        <w:t>fference</w:t>
      </w:r>
      <w:r w:rsidR="00DB0AF8" w:rsidRPr="00DB0AF8">
        <w:rPr>
          <w:w w:val="105"/>
          <w:kern w:val="0"/>
        </w:rPr>
        <w:t xml:space="preserve"> does not persist in the longer term. These </w:t>
      </w:r>
      <w:r w:rsidR="00307842">
        <w:rPr>
          <w:w w:val="105"/>
          <w:kern w:val="0"/>
        </w:rPr>
        <w:t>findings</w:t>
      </w:r>
      <w:r w:rsidR="00DB0AF8" w:rsidRPr="00DB0AF8">
        <w:rPr>
          <w:w w:val="105"/>
          <w:kern w:val="0"/>
        </w:rPr>
        <w:t xml:space="preserve"> align </w:t>
      </w:r>
      <w:r w:rsidR="00307842">
        <w:rPr>
          <w:w w:val="105"/>
          <w:kern w:val="0"/>
        </w:rPr>
        <w:t xml:space="preserve">well </w:t>
      </w:r>
      <w:r w:rsidR="00DB0AF8" w:rsidRPr="00DB0AF8">
        <w:rPr>
          <w:w w:val="105"/>
          <w:kern w:val="0"/>
        </w:rPr>
        <w:t xml:space="preserve">with the conclusions of Coates and Edwards (2009) and Li (2014) that </w:t>
      </w:r>
      <w:r w:rsidR="00871DCD">
        <w:rPr>
          <w:w w:val="105"/>
          <w:kern w:val="0"/>
        </w:rPr>
        <w:t xml:space="preserve">Australian </w:t>
      </w:r>
      <w:r w:rsidR="00DB0AF8" w:rsidRPr="00DB0AF8">
        <w:rPr>
          <w:w w:val="105"/>
          <w:kern w:val="0"/>
        </w:rPr>
        <w:t xml:space="preserve">graduates from disadvantaged and non-disadvantaged backgrounds </w:t>
      </w:r>
      <w:r w:rsidR="009C26F4">
        <w:rPr>
          <w:w w:val="105"/>
          <w:kern w:val="0"/>
        </w:rPr>
        <w:t>ha</w:t>
      </w:r>
      <w:r w:rsidR="00DC3CBD">
        <w:rPr>
          <w:w w:val="105"/>
          <w:kern w:val="0"/>
        </w:rPr>
        <w:t>d</w:t>
      </w:r>
      <w:r w:rsidR="00DB0AF8" w:rsidRPr="00DB0AF8">
        <w:rPr>
          <w:w w:val="105"/>
          <w:kern w:val="0"/>
        </w:rPr>
        <w:t xml:space="preserve"> similar </w:t>
      </w:r>
      <w:r w:rsidR="00B572E7">
        <w:rPr>
          <w:w w:val="105"/>
          <w:kern w:val="0"/>
        </w:rPr>
        <w:t xml:space="preserve">short-term </w:t>
      </w:r>
      <w:r w:rsidR="00DB0AF8" w:rsidRPr="00DB0AF8">
        <w:rPr>
          <w:w w:val="105"/>
          <w:kern w:val="0"/>
        </w:rPr>
        <w:t>employment outcomes in the labour market.</w:t>
      </w:r>
      <w:r w:rsidR="00B572E7">
        <w:rPr>
          <w:w w:val="105"/>
          <w:kern w:val="0"/>
        </w:rPr>
        <w:t xml:space="preserve"> The results here are also consistent with those reported in Tomaszewski et al. (2019) that </w:t>
      </w:r>
      <w:r w:rsidR="0030083B" w:rsidRPr="0030083B">
        <w:rPr>
          <w:w w:val="105"/>
          <w:kern w:val="0"/>
        </w:rPr>
        <w:t>differences</w:t>
      </w:r>
      <w:r w:rsidR="0030083B">
        <w:rPr>
          <w:w w:val="105"/>
          <w:kern w:val="0"/>
        </w:rPr>
        <w:t xml:space="preserve"> </w:t>
      </w:r>
      <w:r w:rsidR="001641F6" w:rsidRPr="001641F6">
        <w:rPr>
          <w:w w:val="105"/>
          <w:kern w:val="0"/>
        </w:rPr>
        <w:t>in labour market outcomes between equity and non-equity graduates were frequently statistically insignificant or tended to diminish over time</w:t>
      </w:r>
      <w:r w:rsidR="00B572E7" w:rsidRPr="00B572E7">
        <w:rPr>
          <w:w w:val="105"/>
          <w:kern w:val="0"/>
        </w:rPr>
        <w:t>.</w:t>
      </w:r>
    </w:p>
    <w:p w14:paraId="1EFC722E" w14:textId="61FE0C7F" w:rsidR="00875864" w:rsidRPr="00E32AAB" w:rsidRDefault="00EF6D0A" w:rsidP="00721EB3">
      <w:pPr>
        <w:rPr>
          <w:w w:val="105"/>
        </w:rPr>
      </w:pPr>
      <w:r w:rsidRPr="00EF6D0A">
        <w:rPr>
          <w:w w:val="105"/>
        </w:rPr>
        <w:t xml:space="preserve">In column (iii) of Table </w:t>
      </w:r>
      <w:r w:rsidR="00134586">
        <w:rPr>
          <w:w w:val="105"/>
        </w:rPr>
        <w:t>6</w:t>
      </w:r>
      <w:r w:rsidRPr="00EF6D0A">
        <w:rPr>
          <w:w w:val="105"/>
        </w:rPr>
        <w:t xml:space="preserve">, the coefficient on NESB becomes statistically significant at the 5% level after </w:t>
      </w:r>
      <w:r w:rsidR="006B7581">
        <w:rPr>
          <w:w w:val="105"/>
        </w:rPr>
        <w:t>controlling</w:t>
      </w:r>
      <w:r w:rsidRPr="00EF6D0A">
        <w:rPr>
          <w:w w:val="105"/>
        </w:rPr>
        <w:t xml:space="preserve"> for differences in university fields of study. This suggests that, if NESB and ESB Australians had </w:t>
      </w:r>
      <w:r w:rsidR="006B7581">
        <w:rPr>
          <w:w w:val="105"/>
        </w:rPr>
        <w:t>studied</w:t>
      </w:r>
      <w:r w:rsidRPr="00EF6D0A">
        <w:rPr>
          <w:w w:val="105"/>
        </w:rPr>
        <w:t xml:space="preserve"> the same academic disciplines, the probability of full-time employment would be 4.3 percentage points lower for NESB workers </w:t>
      </w:r>
      <w:r w:rsidR="006B7581">
        <w:rPr>
          <w:w w:val="105"/>
        </w:rPr>
        <w:t>than for</w:t>
      </w:r>
      <w:r w:rsidRPr="00EF6D0A">
        <w:rPr>
          <w:w w:val="105"/>
        </w:rPr>
        <w:t xml:space="preserve"> their ESB counterparts. This estimate is slightly larger in magnitude than the one reported in column (ii) (–0.027). The difference in estimates between columns (ii) and (iii) suggests that NESB individuals may have mitigated some of their disadvantage in securing full-time employment by </w:t>
      </w:r>
      <w:r w:rsidR="00035517">
        <w:rPr>
          <w:w w:val="105"/>
        </w:rPr>
        <w:t>choosing more rewarding</w:t>
      </w:r>
      <w:r w:rsidRPr="00EF6D0A">
        <w:rPr>
          <w:w w:val="105"/>
        </w:rPr>
        <w:t xml:space="preserve"> field</w:t>
      </w:r>
      <w:r w:rsidR="00232EC9">
        <w:rPr>
          <w:w w:val="105"/>
        </w:rPr>
        <w:t>s</w:t>
      </w:r>
      <w:r w:rsidRPr="00EF6D0A">
        <w:rPr>
          <w:w w:val="105"/>
        </w:rPr>
        <w:t xml:space="preserve"> of study. </w:t>
      </w:r>
      <w:r w:rsidR="009F4DE7" w:rsidRPr="009F4DE7">
        <w:rPr>
          <w:w w:val="105"/>
        </w:rPr>
        <w:t xml:space="preserve">Through their </w:t>
      </w:r>
      <w:r w:rsidR="00BE589B" w:rsidRPr="00BE589B">
        <w:rPr>
          <w:w w:val="105"/>
        </w:rPr>
        <w:t>academic specialisation</w:t>
      </w:r>
      <w:r w:rsidRPr="00EF6D0A">
        <w:rPr>
          <w:w w:val="105"/>
        </w:rPr>
        <w:t xml:space="preserve">, NESB graduates appear to have improved their prospects </w:t>
      </w:r>
      <w:r w:rsidR="009F4DE7">
        <w:rPr>
          <w:w w:val="105"/>
        </w:rPr>
        <w:t>for</w:t>
      </w:r>
      <w:r w:rsidR="00234762">
        <w:rPr>
          <w:w w:val="105"/>
        </w:rPr>
        <w:t xml:space="preserve"> full-time employment </w:t>
      </w:r>
      <w:r w:rsidRPr="00EF6D0A">
        <w:rPr>
          <w:w w:val="105"/>
        </w:rPr>
        <w:t xml:space="preserve">relative to what they might </w:t>
      </w:r>
      <w:r w:rsidR="001F7093">
        <w:rPr>
          <w:w w:val="105"/>
        </w:rPr>
        <w:t xml:space="preserve">otherwise </w:t>
      </w:r>
      <w:r w:rsidRPr="00EF6D0A">
        <w:rPr>
          <w:w w:val="105"/>
        </w:rPr>
        <w:t xml:space="preserve">have experienced. In </w:t>
      </w:r>
      <w:r w:rsidRPr="00EF6D0A">
        <w:rPr>
          <w:w w:val="105"/>
        </w:rPr>
        <w:lastRenderedPageBreak/>
        <w:t xml:space="preserve">contrast, there is no similar pattern observed for graduates from the other four </w:t>
      </w:r>
      <w:r w:rsidR="0097512D">
        <w:rPr>
          <w:w w:val="105"/>
        </w:rPr>
        <w:t>socio-economic</w:t>
      </w:r>
      <w:r w:rsidR="000E56D9">
        <w:rPr>
          <w:w w:val="105"/>
        </w:rPr>
        <w:t xml:space="preserve"> </w:t>
      </w:r>
      <w:r w:rsidR="000E56D9" w:rsidRPr="00BD38F3">
        <w:rPr>
          <w:w w:val="105"/>
        </w:rPr>
        <w:t>backgrounds</w:t>
      </w:r>
      <w:r w:rsidR="001F7093" w:rsidRPr="001F7093">
        <w:rPr>
          <w:w w:val="105"/>
        </w:rPr>
        <w:t>.</w:t>
      </w:r>
    </w:p>
    <w:p w14:paraId="38ACAA27" w14:textId="6110D103" w:rsidR="004B00E6" w:rsidRPr="00BF48E1" w:rsidRDefault="00481A66" w:rsidP="00BF48E1">
      <w:pPr>
        <w:pStyle w:val="Caption"/>
        <w:rPr>
          <w:rFonts w:cs="Arial"/>
          <w:color w:val="080808"/>
        </w:rPr>
      </w:pPr>
      <w:bookmarkStart w:id="62" w:name="_Ref184722810"/>
      <w:bookmarkStart w:id="63" w:name="_Toc222998790"/>
      <w:r w:rsidRPr="00BF48E1">
        <w:rPr>
          <w:rFonts w:cs="Arial"/>
          <w:color w:val="080808"/>
        </w:rPr>
        <w:t xml:space="preserve">Table </w:t>
      </w:r>
      <w:r w:rsidRPr="00BF48E1">
        <w:rPr>
          <w:rFonts w:cs="Arial"/>
          <w:color w:val="080808"/>
        </w:rPr>
        <w:fldChar w:fldCharType="begin"/>
      </w:r>
      <w:r w:rsidRPr="00BF48E1">
        <w:rPr>
          <w:rFonts w:cs="Arial"/>
          <w:color w:val="080808"/>
        </w:rPr>
        <w:instrText xml:space="preserve"> SEQ Table \* ARABIC </w:instrText>
      </w:r>
      <w:r w:rsidRPr="00BF48E1">
        <w:rPr>
          <w:rFonts w:cs="Arial"/>
          <w:color w:val="080808"/>
        </w:rPr>
        <w:fldChar w:fldCharType="separate"/>
      </w:r>
      <w:r w:rsidR="00392C8C" w:rsidRPr="00BF48E1">
        <w:rPr>
          <w:rFonts w:cs="Arial"/>
          <w:noProof/>
          <w:color w:val="080808"/>
        </w:rPr>
        <w:t>7</w:t>
      </w:r>
      <w:r w:rsidRPr="00BF48E1">
        <w:rPr>
          <w:rFonts w:cs="Arial"/>
          <w:color w:val="080808"/>
        </w:rPr>
        <w:fldChar w:fldCharType="end"/>
      </w:r>
      <w:bookmarkEnd w:id="62"/>
      <w:r w:rsidR="004B00E6" w:rsidRPr="00BF48E1">
        <w:rPr>
          <w:rFonts w:cs="Arial"/>
          <w:color w:val="080808"/>
        </w:rPr>
        <w:t xml:space="preserve">: </w:t>
      </w:r>
      <w:r w:rsidR="003D04E9" w:rsidRPr="00BF48E1">
        <w:rPr>
          <w:rFonts w:cs="Arial"/>
          <w:color w:val="080808"/>
        </w:rPr>
        <w:t>Probability</w:t>
      </w:r>
      <w:r w:rsidR="004B00E6" w:rsidRPr="00BF48E1">
        <w:rPr>
          <w:rFonts w:cs="Arial"/>
          <w:color w:val="080808"/>
        </w:rPr>
        <w:t xml:space="preserve"> of permanent</w:t>
      </w:r>
      <w:r w:rsidR="00494A84" w:rsidRPr="00BF48E1">
        <w:rPr>
          <w:rFonts w:cs="Arial"/>
          <w:color w:val="080808"/>
        </w:rPr>
        <w:t xml:space="preserve"> or </w:t>
      </w:r>
      <w:r w:rsidR="004B00E6" w:rsidRPr="00BF48E1">
        <w:rPr>
          <w:rFonts w:cs="Arial"/>
          <w:color w:val="080808"/>
        </w:rPr>
        <w:t>ongoing employment</w:t>
      </w:r>
      <w:bookmarkEnd w:id="63"/>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4679"/>
        <w:gridCol w:w="1417"/>
        <w:gridCol w:w="1417"/>
        <w:gridCol w:w="1271"/>
      </w:tblGrid>
      <w:tr w:rsidR="00A815CC" w:rsidRPr="0016620E" w14:paraId="634DE176" w14:textId="77777777" w:rsidTr="0095055E">
        <w:trPr>
          <w:jc w:val="center"/>
        </w:trPr>
        <w:tc>
          <w:tcPr>
            <w:tcW w:w="4679" w:type="dxa"/>
            <w:tcBorders>
              <w:top w:val="single" w:sz="4" w:space="0" w:color="auto"/>
              <w:left w:val="nil"/>
              <w:bottom w:val="single" w:sz="4" w:space="0" w:color="auto"/>
            </w:tcBorders>
            <w:shd w:val="clear" w:color="auto" w:fill="78DED9" w:themeFill="accent1"/>
          </w:tcPr>
          <w:p w14:paraId="530874AE" w14:textId="77777777" w:rsidR="00A815CC" w:rsidRPr="00D75CF3" w:rsidRDefault="00A815CC" w:rsidP="002F5837">
            <w:pPr>
              <w:spacing w:after="120" w:line="240" w:lineRule="auto"/>
              <w:rPr>
                <w:rFonts w:cs="Arial"/>
                <w:b/>
                <w:bCs/>
              </w:rPr>
            </w:pPr>
          </w:p>
        </w:tc>
        <w:tc>
          <w:tcPr>
            <w:tcW w:w="1417" w:type="dxa"/>
            <w:tcBorders>
              <w:top w:val="single" w:sz="4" w:space="0" w:color="auto"/>
              <w:bottom w:val="single" w:sz="4" w:space="0" w:color="auto"/>
            </w:tcBorders>
            <w:shd w:val="clear" w:color="auto" w:fill="78DED9" w:themeFill="accent1"/>
          </w:tcPr>
          <w:p w14:paraId="050A0B51" w14:textId="53D890DD" w:rsidR="00A815CC" w:rsidRPr="00D75CF3" w:rsidRDefault="00A815CC" w:rsidP="002F5837">
            <w:pPr>
              <w:spacing w:after="120" w:line="240" w:lineRule="auto"/>
              <w:rPr>
                <w:rFonts w:cs="Arial"/>
                <w:b/>
                <w:bCs/>
              </w:rPr>
            </w:pPr>
            <w:r w:rsidRPr="00D75CF3">
              <w:rPr>
                <w:rFonts w:cs="Arial"/>
                <w:b/>
                <w:bCs/>
              </w:rPr>
              <w:t>(</w:t>
            </w:r>
            <w:proofErr w:type="spellStart"/>
            <w:r w:rsidRPr="00D75CF3">
              <w:rPr>
                <w:rFonts w:cs="Arial"/>
                <w:b/>
                <w:bCs/>
              </w:rPr>
              <w:t>i</w:t>
            </w:r>
            <w:proofErr w:type="spellEnd"/>
            <w:r w:rsidRPr="00D75CF3">
              <w:rPr>
                <w:rFonts w:cs="Arial"/>
                <w:b/>
                <w:bCs/>
              </w:rPr>
              <w:t>)</w:t>
            </w:r>
          </w:p>
        </w:tc>
        <w:tc>
          <w:tcPr>
            <w:tcW w:w="1417" w:type="dxa"/>
            <w:tcBorders>
              <w:top w:val="single" w:sz="4" w:space="0" w:color="auto"/>
              <w:bottom w:val="single" w:sz="4" w:space="0" w:color="auto"/>
            </w:tcBorders>
            <w:shd w:val="clear" w:color="auto" w:fill="78DED9" w:themeFill="accent1"/>
            <w:vAlign w:val="center"/>
          </w:tcPr>
          <w:p w14:paraId="0671213D" w14:textId="76BF7058" w:rsidR="00A815CC" w:rsidRPr="00D75CF3" w:rsidRDefault="00A815CC" w:rsidP="002F5837">
            <w:pPr>
              <w:spacing w:after="120" w:line="240" w:lineRule="auto"/>
              <w:rPr>
                <w:rFonts w:cs="Arial"/>
                <w:b/>
                <w:bCs/>
              </w:rPr>
            </w:pPr>
            <w:r w:rsidRPr="00D75CF3">
              <w:rPr>
                <w:rFonts w:cs="Arial"/>
                <w:b/>
                <w:bCs/>
              </w:rPr>
              <w:t>(ii)</w:t>
            </w:r>
          </w:p>
        </w:tc>
        <w:tc>
          <w:tcPr>
            <w:tcW w:w="1271" w:type="dxa"/>
            <w:tcBorders>
              <w:top w:val="single" w:sz="4" w:space="0" w:color="auto"/>
              <w:bottom w:val="single" w:sz="4" w:space="0" w:color="auto"/>
              <w:right w:val="nil"/>
            </w:tcBorders>
            <w:shd w:val="clear" w:color="auto" w:fill="78DED9" w:themeFill="accent1"/>
            <w:vAlign w:val="center"/>
          </w:tcPr>
          <w:p w14:paraId="3D14D576" w14:textId="76546525" w:rsidR="00A815CC" w:rsidRPr="00D75CF3" w:rsidRDefault="00A815CC" w:rsidP="002F5837">
            <w:pPr>
              <w:spacing w:after="120" w:line="240" w:lineRule="auto"/>
              <w:rPr>
                <w:rFonts w:cs="Arial"/>
                <w:b/>
                <w:bCs/>
              </w:rPr>
            </w:pPr>
            <w:r w:rsidRPr="00D75CF3">
              <w:rPr>
                <w:rFonts w:cs="Arial"/>
                <w:b/>
                <w:bCs/>
              </w:rPr>
              <w:t>(iii)</w:t>
            </w:r>
          </w:p>
        </w:tc>
      </w:tr>
      <w:tr w:rsidR="00A815CC" w:rsidRPr="0016620E" w14:paraId="707059EE" w14:textId="77777777" w:rsidTr="0095055E">
        <w:trPr>
          <w:jc w:val="center"/>
        </w:trPr>
        <w:tc>
          <w:tcPr>
            <w:tcW w:w="4679" w:type="dxa"/>
            <w:tcBorders>
              <w:top w:val="single" w:sz="4" w:space="0" w:color="auto"/>
              <w:left w:val="nil"/>
            </w:tcBorders>
          </w:tcPr>
          <w:p w14:paraId="3DCF64A7" w14:textId="4128707A" w:rsidR="00A815CC" w:rsidRPr="0016620E" w:rsidRDefault="003023B0" w:rsidP="002F5837">
            <w:pPr>
              <w:spacing w:line="240" w:lineRule="auto"/>
              <w:rPr>
                <w:rFonts w:cs="Arial"/>
              </w:rPr>
            </w:pPr>
            <w:r w:rsidRPr="0016620E">
              <w:rPr>
                <w:rFonts w:cs="Arial"/>
              </w:rPr>
              <w:t>Indigenous</w:t>
            </w:r>
          </w:p>
        </w:tc>
        <w:tc>
          <w:tcPr>
            <w:tcW w:w="1417" w:type="dxa"/>
            <w:tcBorders>
              <w:top w:val="single" w:sz="4" w:space="0" w:color="auto"/>
            </w:tcBorders>
          </w:tcPr>
          <w:p w14:paraId="5B85418F" w14:textId="5FC126EC" w:rsidR="00A815CC" w:rsidRPr="0016620E" w:rsidRDefault="000441B4" w:rsidP="002F5837">
            <w:pPr>
              <w:spacing w:line="240" w:lineRule="auto"/>
              <w:rPr>
                <w:rFonts w:cs="Arial"/>
              </w:rPr>
            </w:pPr>
            <w:r w:rsidRPr="0016620E">
              <w:rPr>
                <w:rFonts w:cs="Arial"/>
              </w:rPr>
              <w:t>–0.008</w:t>
            </w:r>
          </w:p>
          <w:p w14:paraId="3936D6DB" w14:textId="7DFC687D" w:rsidR="000441B4" w:rsidRPr="0016620E" w:rsidRDefault="000441B4" w:rsidP="002F5837">
            <w:pPr>
              <w:spacing w:line="240" w:lineRule="auto"/>
              <w:rPr>
                <w:rFonts w:cs="Arial"/>
              </w:rPr>
            </w:pPr>
            <w:r w:rsidRPr="0016620E">
              <w:rPr>
                <w:rFonts w:cs="Arial"/>
              </w:rPr>
              <w:t>(0.056)</w:t>
            </w:r>
          </w:p>
        </w:tc>
        <w:tc>
          <w:tcPr>
            <w:tcW w:w="1417" w:type="dxa"/>
            <w:tcBorders>
              <w:top w:val="single" w:sz="4" w:space="0" w:color="auto"/>
            </w:tcBorders>
          </w:tcPr>
          <w:p w14:paraId="58552D03" w14:textId="6D60E4CF" w:rsidR="00A815CC" w:rsidRPr="0016620E" w:rsidRDefault="00A815CC" w:rsidP="002F5837">
            <w:pPr>
              <w:spacing w:line="240" w:lineRule="auto"/>
              <w:rPr>
                <w:rFonts w:cs="Arial"/>
              </w:rPr>
            </w:pPr>
            <w:r w:rsidRPr="0016620E">
              <w:rPr>
                <w:rFonts w:cs="Arial"/>
              </w:rPr>
              <w:t>–0.022</w:t>
            </w:r>
          </w:p>
          <w:p w14:paraId="56ACBDD4" w14:textId="77777777" w:rsidR="00A815CC" w:rsidRPr="0016620E" w:rsidRDefault="00A815CC" w:rsidP="002F5837">
            <w:pPr>
              <w:spacing w:line="240" w:lineRule="auto"/>
              <w:rPr>
                <w:rFonts w:cs="Arial"/>
              </w:rPr>
            </w:pPr>
            <w:r w:rsidRPr="0016620E">
              <w:rPr>
                <w:rFonts w:cs="Arial"/>
              </w:rPr>
              <w:t>(0.058)</w:t>
            </w:r>
          </w:p>
        </w:tc>
        <w:tc>
          <w:tcPr>
            <w:tcW w:w="1271" w:type="dxa"/>
            <w:tcBorders>
              <w:top w:val="single" w:sz="4" w:space="0" w:color="auto"/>
              <w:right w:val="nil"/>
            </w:tcBorders>
          </w:tcPr>
          <w:p w14:paraId="3BFB63E1" w14:textId="77777777" w:rsidR="00A815CC" w:rsidRPr="0016620E" w:rsidRDefault="00A815CC" w:rsidP="002F5837">
            <w:pPr>
              <w:spacing w:line="240" w:lineRule="auto"/>
              <w:rPr>
                <w:rFonts w:cs="Arial"/>
              </w:rPr>
            </w:pPr>
            <w:r w:rsidRPr="0016620E">
              <w:rPr>
                <w:rFonts w:cs="Arial"/>
              </w:rPr>
              <w:t>–0.021</w:t>
            </w:r>
          </w:p>
          <w:p w14:paraId="36337DDD" w14:textId="77777777" w:rsidR="00A815CC" w:rsidRPr="0016620E" w:rsidRDefault="00A815CC" w:rsidP="002F5837">
            <w:pPr>
              <w:spacing w:after="120" w:line="240" w:lineRule="auto"/>
              <w:rPr>
                <w:rFonts w:cs="Arial"/>
              </w:rPr>
            </w:pPr>
            <w:r w:rsidRPr="0016620E">
              <w:rPr>
                <w:rFonts w:cs="Arial"/>
              </w:rPr>
              <w:t>(0.059)</w:t>
            </w:r>
          </w:p>
        </w:tc>
      </w:tr>
      <w:tr w:rsidR="00A815CC" w:rsidRPr="0016620E" w14:paraId="50D02448" w14:textId="77777777" w:rsidTr="0095055E">
        <w:trPr>
          <w:jc w:val="center"/>
        </w:trPr>
        <w:tc>
          <w:tcPr>
            <w:tcW w:w="4679" w:type="dxa"/>
            <w:tcBorders>
              <w:left w:val="nil"/>
            </w:tcBorders>
          </w:tcPr>
          <w:p w14:paraId="2136E6B7" w14:textId="77777777" w:rsidR="00A815CC" w:rsidRPr="0016620E" w:rsidRDefault="00A815CC" w:rsidP="002F5837">
            <w:pPr>
              <w:spacing w:line="240" w:lineRule="auto"/>
              <w:rPr>
                <w:rFonts w:cs="Arial"/>
              </w:rPr>
            </w:pPr>
            <w:r w:rsidRPr="0016620E">
              <w:rPr>
                <w:rFonts w:cs="Arial"/>
              </w:rPr>
              <w:t>NESB</w:t>
            </w:r>
          </w:p>
        </w:tc>
        <w:tc>
          <w:tcPr>
            <w:tcW w:w="1417" w:type="dxa"/>
          </w:tcPr>
          <w:p w14:paraId="4819BC71" w14:textId="45F2E529" w:rsidR="00A815CC" w:rsidRPr="0016620E" w:rsidRDefault="000441B4" w:rsidP="002F5837">
            <w:pPr>
              <w:spacing w:line="240" w:lineRule="auto"/>
              <w:rPr>
                <w:rFonts w:cs="Arial"/>
              </w:rPr>
            </w:pPr>
            <w:r w:rsidRPr="0016620E">
              <w:rPr>
                <w:rFonts w:cs="Arial"/>
              </w:rPr>
              <w:t>–0.023</w:t>
            </w:r>
          </w:p>
          <w:p w14:paraId="51E81955" w14:textId="4B3E7377" w:rsidR="000441B4" w:rsidRPr="0016620E" w:rsidRDefault="000441B4" w:rsidP="002F5837">
            <w:pPr>
              <w:spacing w:line="240" w:lineRule="auto"/>
              <w:rPr>
                <w:rFonts w:cs="Arial"/>
              </w:rPr>
            </w:pPr>
            <w:r w:rsidRPr="0016620E">
              <w:rPr>
                <w:rFonts w:cs="Arial"/>
              </w:rPr>
              <w:t>(0.017)</w:t>
            </w:r>
          </w:p>
        </w:tc>
        <w:tc>
          <w:tcPr>
            <w:tcW w:w="1417" w:type="dxa"/>
          </w:tcPr>
          <w:p w14:paraId="523DB9A5" w14:textId="07DD5A91" w:rsidR="00A815CC" w:rsidRPr="0016620E" w:rsidRDefault="00A815CC" w:rsidP="002F5837">
            <w:pPr>
              <w:spacing w:line="240" w:lineRule="auto"/>
              <w:rPr>
                <w:rFonts w:cs="Arial"/>
              </w:rPr>
            </w:pPr>
            <w:r w:rsidRPr="0016620E">
              <w:rPr>
                <w:rFonts w:cs="Arial"/>
              </w:rPr>
              <w:t>–0.038</w:t>
            </w:r>
          </w:p>
          <w:p w14:paraId="2507CD81" w14:textId="77777777" w:rsidR="00A815CC" w:rsidRPr="0016620E" w:rsidRDefault="00A815CC" w:rsidP="002F5837">
            <w:pPr>
              <w:spacing w:line="240" w:lineRule="auto"/>
              <w:rPr>
                <w:rFonts w:cs="Arial"/>
              </w:rPr>
            </w:pPr>
            <w:r w:rsidRPr="0016620E">
              <w:rPr>
                <w:rFonts w:cs="Arial"/>
              </w:rPr>
              <w:t>(0.024)</w:t>
            </w:r>
          </w:p>
        </w:tc>
        <w:tc>
          <w:tcPr>
            <w:tcW w:w="1271" w:type="dxa"/>
            <w:tcBorders>
              <w:right w:val="nil"/>
            </w:tcBorders>
          </w:tcPr>
          <w:p w14:paraId="37638A2E" w14:textId="77777777" w:rsidR="00A815CC" w:rsidRPr="0016620E" w:rsidRDefault="00A815CC" w:rsidP="002F5837">
            <w:pPr>
              <w:spacing w:line="240" w:lineRule="auto"/>
              <w:rPr>
                <w:rFonts w:cs="Arial"/>
              </w:rPr>
            </w:pPr>
            <w:r w:rsidRPr="0016620E">
              <w:rPr>
                <w:rFonts w:cs="Arial"/>
              </w:rPr>
              <w:t>–0.051**</w:t>
            </w:r>
          </w:p>
          <w:p w14:paraId="00B8E905" w14:textId="77777777" w:rsidR="00A815CC" w:rsidRPr="0016620E" w:rsidRDefault="00A815CC" w:rsidP="002F5837">
            <w:pPr>
              <w:spacing w:after="120" w:line="240" w:lineRule="auto"/>
              <w:rPr>
                <w:rFonts w:cs="Arial"/>
              </w:rPr>
            </w:pPr>
            <w:r w:rsidRPr="0016620E">
              <w:rPr>
                <w:rFonts w:cs="Arial"/>
              </w:rPr>
              <w:t>(0.023)</w:t>
            </w:r>
          </w:p>
        </w:tc>
      </w:tr>
      <w:tr w:rsidR="00A815CC" w:rsidRPr="0016620E" w14:paraId="583891A1" w14:textId="77777777" w:rsidTr="0095055E">
        <w:trPr>
          <w:jc w:val="center"/>
        </w:trPr>
        <w:tc>
          <w:tcPr>
            <w:tcW w:w="4679" w:type="dxa"/>
            <w:tcBorders>
              <w:left w:val="nil"/>
            </w:tcBorders>
          </w:tcPr>
          <w:p w14:paraId="5C0CB23A" w14:textId="74977118" w:rsidR="00A815CC" w:rsidRPr="0016620E" w:rsidRDefault="00BF057E" w:rsidP="002F5837">
            <w:pPr>
              <w:spacing w:line="240" w:lineRule="auto"/>
              <w:rPr>
                <w:rFonts w:cs="Arial"/>
              </w:rPr>
            </w:pPr>
            <w:r>
              <w:rPr>
                <w:rFonts w:eastAsia="Arial" w:cs="Arial"/>
                <w:w w:val="105"/>
                <w14:ligatures w14:val="none"/>
              </w:rPr>
              <w:t>L</w:t>
            </w:r>
            <w:r w:rsidRPr="00276F44">
              <w:rPr>
                <w:rFonts w:eastAsia="Arial" w:cs="Arial"/>
                <w:w w:val="105"/>
                <w14:ligatures w14:val="none"/>
              </w:rPr>
              <w:t>ow</w:t>
            </w:r>
            <w:r>
              <w:rPr>
                <w:rFonts w:eastAsia="Arial" w:cs="Arial"/>
                <w:w w:val="105"/>
                <w14:ligatures w14:val="none"/>
              </w:rPr>
              <w:t xml:space="preserve"> </w:t>
            </w:r>
            <w:r w:rsidRPr="00276F44">
              <w:rPr>
                <w:rFonts w:eastAsia="Arial" w:cs="Arial"/>
                <w:w w:val="105"/>
                <w14:ligatures w14:val="none"/>
              </w:rPr>
              <w:t>SES</w:t>
            </w:r>
            <w:r>
              <w:rPr>
                <w:rFonts w:eastAsia="Arial" w:cs="Arial"/>
                <w:w w:val="105"/>
                <w14:ligatures w14:val="none"/>
              </w:rPr>
              <w:t xml:space="preserve"> in childhood</w:t>
            </w:r>
          </w:p>
        </w:tc>
        <w:tc>
          <w:tcPr>
            <w:tcW w:w="1417" w:type="dxa"/>
          </w:tcPr>
          <w:p w14:paraId="5A88BE69" w14:textId="77777777" w:rsidR="00A815CC" w:rsidRPr="0016620E" w:rsidRDefault="000441B4" w:rsidP="002F5837">
            <w:pPr>
              <w:spacing w:line="240" w:lineRule="auto"/>
              <w:rPr>
                <w:rFonts w:cs="Arial"/>
              </w:rPr>
            </w:pPr>
            <w:r w:rsidRPr="0016620E">
              <w:rPr>
                <w:rFonts w:cs="Arial"/>
              </w:rPr>
              <w:t>0.027**</w:t>
            </w:r>
          </w:p>
          <w:p w14:paraId="11E3F273" w14:textId="706F4858" w:rsidR="000441B4" w:rsidRPr="0016620E" w:rsidRDefault="000441B4" w:rsidP="002F5837">
            <w:pPr>
              <w:spacing w:line="240" w:lineRule="auto"/>
              <w:rPr>
                <w:rFonts w:cs="Arial"/>
              </w:rPr>
            </w:pPr>
            <w:r w:rsidRPr="0016620E">
              <w:rPr>
                <w:rFonts w:cs="Arial"/>
              </w:rPr>
              <w:t>(0.013)</w:t>
            </w:r>
          </w:p>
        </w:tc>
        <w:tc>
          <w:tcPr>
            <w:tcW w:w="1417" w:type="dxa"/>
          </w:tcPr>
          <w:p w14:paraId="6E1E38BA" w14:textId="5020B59C" w:rsidR="00A815CC" w:rsidRPr="0016620E" w:rsidRDefault="00A815CC" w:rsidP="002F5837">
            <w:pPr>
              <w:spacing w:line="240" w:lineRule="auto"/>
              <w:rPr>
                <w:rFonts w:cs="Arial"/>
              </w:rPr>
            </w:pPr>
            <w:r w:rsidRPr="0016620E">
              <w:rPr>
                <w:rFonts w:cs="Arial"/>
              </w:rPr>
              <w:t>0.033***</w:t>
            </w:r>
          </w:p>
          <w:p w14:paraId="187339B9" w14:textId="77777777" w:rsidR="00A815CC" w:rsidRPr="0016620E" w:rsidRDefault="00A815CC" w:rsidP="002F5837">
            <w:pPr>
              <w:spacing w:line="240" w:lineRule="auto"/>
              <w:rPr>
                <w:rFonts w:cs="Arial"/>
              </w:rPr>
            </w:pPr>
            <w:r w:rsidRPr="0016620E">
              <w:rPr>
                <w:rFonts w:cs="Arial"/>
              </w:rPr>
              <w:t>(0.013)</w:t>
            </w:r>
          </w:p>
        </w:tc>
        <w:tc>
          <w:tcPr>
            <w:tcW w:w="1271" w:type="dxa"/>
            <w:tcBorders>
              <w:right w:val="nil"/>
            </w:tcBorders>
          </w:tcPr>
          <w:p w14:paraId="177A3551" w14:textId="77777777" w:rsidR="00A815CC" w:rsidRPr="0016620E" w:rsidRDefault="00A815CC" w:rsidP="002F5837">
            <w:pPr>
              <w:spacing w:line="240" w:lineRule="auto"/>
              <w:rPr>
                <w:rFonts w:cs="Arial"/>
              </w:rPr>
            </w:pPr>
            <w:r w:rsidRPr="0016620E">
              <w:rPr>
                <w:rFonts w:cs="Arial"/>
              </w:rPr>
              <w:t>0.027**</w:t>
            </w:r>
          </w:p>
          <w:p w14:paraId="465C265D" w14:textId="77777777" w:rsidR="00A815CC" w:rsidRPr="0016620E" w:rsidRDefault="00A815CC" w:rsidP="002F5837">
            <w:pPr>
              <w:spacing w:after="120" w:line="240" w:lineRule="auto"/>
              <w:rPr>
                <w:rFonts w:cs="Arial"/>
              </w:rPr>
            </w:pPr>
            <w:r w:rsidRPr="0016620E">
              <w:rPr>
                <w:rFonts w:cs="Arial"/>
              </w:rPr>
              <w:t>(0.012)</w:t>
            </w:r>
          </w:p>
        </w:tc>
      </w:tr>
      <w:tr w:rsidR="00A815CC" w:rsidRPr="0016620E" w14:paraId="142FCA84" w14:textId="77777777" w:rsidTr="0095055E">
        <w:trPr>
          <w:jc w:val="center"/>
        </w:trPr>
        <w:tc>
          <w:tcPr>
            <w:tcW w:w="4679" w:type="dxa"/>
            <w:tcBorders>
              <w:left w:val="nil"/>
            </w:tcBorders>
          </w:tcPr>
          <w:p w14:paraId="0D37B125" w14:textId="358D4F0E" w:rsidR="00A815CC" w:rsidRPr="0016620E" w:rsidRDefault="00614B27" w:rsidP="002F5837">
            <w:pPr>
              <w:spacing w:line="240" w:lineRule="auto"/>
              <w:rPr>
                <w:rFonts w:cs="Arial"/>
              </w:rPr>
            </w:pPr>
            <w:r w:rsidRPr="0016620E">
              <w:rPr>
                <w:rFonts w:cs="Arial"/>
                <w:w w:val="105"/>
              </w:rPr>
              <w:t>Father unemployed for 6+ months</w:t>
            </w:r>
          </w:p>
        </w:tc>
        <w:tc>
          <w:tcPr>
            <w:tcW w:w="1417" w:type="dxa"/>
          </w:tcPr>
          <w:p w14:paraId="4CEB3171" w14:textId="325CC2F1" w:rsidR="00A815CC" w:rsidRPr="0016620E" w:rsidRDefault="00BA6217" w:rsidP="002F5837">
            <w:pPr>
              <w:spacing w:line="240" w:lineRule="auto"/>
              <w:rPr>
                <w:rFonts w:cs="Arial"/>
              </w:rPr>
            </w:pPr>
            <w:r w:rsidRPr="0016620E">
              <w:rPr>
                <w:rFonts w:cs="Arial"/>
              </w:rPr>
              <w:t>–</w:t>
            </w:r>
            <w:r w:rsidR="000441B4" w:rsidRPr="0016620E">
              <w:rPr>
                <w:rFonts w:cs="Arial"/>
              </w:rPr>
              <w:t>0.025</w:t>
            </w:r>
          </w:p>
          <w:p w14:paraId="48F9B0F5" w14:textId="23134E10" w:rsidR="000441B4" w:rsidRPr="0016620E" w:rsidRDefault="000441B4" w:rsidP="002F5837">
            <w:pPr>
              <w:spacing w:line="240" w:lineRule="auto"/>
              <w:rPr>
                <w:rFonts w:cs="Arial"/>
              </w:rPr>
            </w:pPr>
            <w:r w:rsidRPr="0016620E">
              <w:rPr>
                <w:rFonts w:cs="Arial"/>
              </w:rPr>
              <w:t>(0.019)</w:t>
            </w:r>
          </w:p>
        </w:tc>
        <w:tc>
          <w:tcPr>
            <w:tcW w:w="1417" w:type="dxa"/>
          </w:tcPr>
          <w:p w14:paraId="2C93A23F" w14:textId="70D8D1E8" w:rsidR="00A815CC" w:rsidRPr="0016620E" w:rsidRDefault="00A815CC" w:rsidP="002F5837">
            <w:pPr>
              <w:spacing w:line="240" w:lineRule="auto"/>
              <w:rPr>
                <w:rFonts w:cs="Arial"/>
              </w:rPr>
            </w:pPr>
            <w:r w:rsidRPr="0016620E">
              <w:rPr>
                <w:rFonts w:cs="Arial"/>
              </w:rPr>
              <w:t>–0.024</w:t>
            </w:r>
          </w:p>
          <w:p w14:paraId="36C42181" w14:textId="77777777" w:rsidR="00A815CC" w:rsidRPr="0016620E" w:rsidRDefault="00A815CC" w:rsidP="002F5837">
            <w:pPr>
              <w:spacing w:line="240" w:lineRule="auto"/>
              <w:rPr>
                <w:rFonts w:cs="Arial"/>
              </w:rPr>
            </w:pPr>
            <w:r w:rsidRPr="0016620E">
              <w:rPr>
                <w:rFonts w:cs="Arial"/>
              </w:rPr>
              <w:t>(0.019)</w:t>
            </w:r>
          </w:p>
        </w:tc>
        <w:tc>
          <w:tcPr>
            <w:tcW w:w="1271" w:type="dxa"/>
            <w:tcBorders>
              <w:right w:val="nil"/>
            </w:tcBorders>
          </w:tcPr>
          <w:p w14:paraId="1D462ACE" w14:textId="77777777" w:rsidR="00A815CC" w:rsidRPr="0016620E" w:rsidRDefault="00A815CC" w:rsidP="002F5837">
            <w:pPr>
              <w:spacing w:line="240" w:lineRule="auto"/>
              <w:rPr>
                <w:rFonts w:cs="Arial"/>
              </w:rPr>
            </w:pPr>
            <w:r w:rsidRPr="0016620E">
              <w:rPr>
                <w:rFonts w:cs="Arial"/>
              </w:rPr>
              <w:t>–0.023</w:t>
            </w:r>
          </w:p>
          <w:p w14:paraId="27E4EB9E" w14:textId="77777777" w:rsidR="00A815CC" w:rsidRPr="0016620E" w:rsidRDefault="00A815CC" w:rsidP="002F5837">
            <w:pPr>
              <w:spacing w:after="120" w:line="240" w:lineRule="auto"/>
              <w:rPr>
                <w:rFonts w:cs="Arial"/>
              </w:rPr>
            </w:pPr>
            <w:r w:rsidRPr="0016620E">
              <w:rPr>
                <w:rFonts w:cs="Arial"/>
              </w:rPr>
              <w:t>(0.018)</w:t>
            </w:r>
          </w:p>
        </w:tc>
      </w:tr>
      <w:tr w:rsidR="00A815CC" w:rsidRPr="0016620E" w14:paraId="6545720E" w14:textId="77777777" w:rsidTr="0095055E">
        <w:trPr>
          <w:trHeight w:val="610"/>
          <w:jc w:val="center"/>
        </w:trPr>
        <w:tc>
          <w:tcPr>
            <w:tcW w:w="4679" w:type="dxa"/>
            <w:tcBorders>
              <w:left w:val="nil"/>
              <w:bottom w:val="nil"/>
            </w:tcBorders>
          </w:tcPr>
          <w:p w14:paraId="0878F3B0" w14:textId="77777777" w:rsidR="00A815CC" w:rsidRPr="0016620E" w:rsidRDefault="00A815CC" w:rsidP="002F5837">
            <w:pPr>
              <w:spacing w:line="240" w:lineRule="auto"/>
              <w:rPr>
                <w:rFonts w:cs="Arial"/>
              </w:rPr>
            </w:pPr>
            <w:r w:rsidRPr="0016620E">
              <w:rPr>
                <w:rFonts w:cs="Arial"/>
              </w:rPr>
              <w:t>Single-parent family</w:t>
            </w:r>
          </w:p>
        </w:tc>
        <w:tc>
          <w:tcPr>
            <w:tcW w:w="1417" w:type="dxa"/>
            <w:tcBorders>
              <w:bottom w:val="nil"/>
            </w:tcBorders>
          </w:tcPr>
          <w:p w14:paraId="49D9B7BD" w14:textId="77777777" w:rsidR="00A815CC" w:rsidRPr="0016620E" w:rsidRDefault="000441B4" w:rsidP="002F5837">
            <w:pPr>
              <w:spacing w:line="240" w:lineRule="auto"/>
              <w:rPr>
                <w:rFonts w:cs="Arial"/>
              </w:rPr>
            </w:pPr>
            <w:r w:rsidRPr="0016620E">
              <w:rPr>
                <w:rFonts w:cs="Arial"/>
              </w:rPr>
              <w:t>0.031</w:t>
            </w:r>
          </w:p>
          <w:p w14:paraId="4D808E00" w14:textId="59DB5DC5" w:rsidR="000441B4" w:rsidRPr="0016620E" w:rsidRDefault="000441B4" w:rsidP="002F5837">
            <w:pPr>
              <w:spacing w:line="240" w:lineRule="auto"/>
              <w:rPr>
                <w:rFonts w:cs="Arial"/>
              </w:rPr>
            </w:pPr>
            <w:r w:rsidRPr="0016620E">
              <w:rPr>
                <w:rFonts w:cs="Arial"/>
              </w:rPr>
              <w:t>(0.031)</w:t>
            </w:r>
          </w:p>
        </w:tc>
        <w:tc>
          <w:tcPr>
            <w:tcW w:w="1417" w:type="dxa"/>
            <w:tcBorders>
              <w:bottom w:val="nil"/>
            </w:tcBorders>
          </w:tcPr>
          <w:p w14:paraId="2329503A" w14:textId="2E0694A0" w:rsidR="00A815CC" w:rsidRPr="0016620E" w:rsidRDefault="00A815CC" w:rsidP="002F5837">
            <w:pPr>
              <w:spacing w:line="240" w:lineRule="auto"/>
              <w:rPr>
                <w:rFonts w:cs="Arial"/>
              </w:rPr>
            </w:pPr>
            <w:r w:rsidRPr="0016620E">
              <w:rPr>
                <w:rFonts w:cs="Arial"/>
              </w:rPr>
              <w:t>0.035</w:t>
            </w:r>
          </w:p>
          <w:p w14:paraId="02F777C6" w14:textId="77777777" w:rsidR="00A815CC" w:rsidRPr="0016620E" w:rsidRDefault="00A815CC" w:rsidP="002F5837">
            <w:pPr>
              <w:spacing w:line="240" w:lineRule="auto"/>
              <w:rPr>
                <w:rFonts w:cs="Arial"/>
              </w:rPr>
            </w:pPr>
            <w:r w:rsidRPr="0016620E">
              <w:rPr>
                <w:rFonts w:cs="Arial"/>
              </w:rPr>
              <w:t>(0.031)</w:t>
            </w:r>
          </w:p>
        </w:tc>
        <w:tc>
          <w:tcPr>
            <w:tcW w:w="1271" w:type="dxa"/>
            <w:tcBorders>
              <w:bottom w:val="nil"/>
              <w:right w:val="nil"/>
            </w:tcBorders>
          </w:tcPr>
          <w:p w14:paraId="6ABA8AF8" w14:textId="77777777" w:rsidR="00A815CC" w:rsidRPr="0016620E" w:rsidRDefault="00A815CC" w:rsidP="002F5837">
            <w:pPr>
              <w:spacing w:line="240" w:lineRule="auto"/>
              <w:rPr>
                <w:rFonts w:cs="Arial"/>
              </w:rPr>
            </w:pPr>
            <w:r w:rsidRPr="0016620E">
              <w:rPr>
                <w:rFonts w:cs="Arial"/>
              </w:rPr>
              <w:t>0.037</w:t>
            </w:r>
          </w:p>
          <w:p w14:paraId="1172341A" w14:textId="77777777" w:rsidR="00A815CC" w:rsidRPr="0016620E" w:rsidRDefault="00A815CC" w:rsidP="002F5837">
            <w:pPr>
              <w:spacing w:after="120" w:line="240" w:lineRule="auto"/>
              <w:rPr>
                <w:rFonts w:cs="Arial"/>
              </w:rPr>
            </w:pPr>
            <w:r w:rsidRPr="0016620E">
              <w:rPr>
                <w:rFonts w:cs="Arial"/>
              </w:rPr>
              <w:t>(0.030)</w:t>
            </w:r>
          </w:p>
        </w:tc>
      </w:tr>
      <w:tr w:rsidR="00DC273D" w:rsidRPr="0016620E" w14:paraId="1CD02432" w14:textId="77777777" w:rsidTr="0095055E">
        <w:trPr>
          <w:jc w:val="center"/>
        </w:trPr>
        <w:tc>
          <w:tcPr>
            <w:tcW w:w="4679" w:type="dxa"/>
            <w:tcBorders>
              <w:top w:val="nil"/>
              <w:left w:val="nil"/>
              <w:bottom w:val="nil"/>
            </w:tcBorders>
          </w:tcPr>
          <w:p w14:paraId="6AE6E423" w14:textId="3767519C" w:rsidR="00DC273D" w:rsidRPr="0016620E" w:rsidRDefault="00DC273D" w:rsidP="002F5837">
            <w:pPr>
              <w:spacing w:after="120" w:line="240" w:lineRule="auto"/>
              <w:rPr>
                <w:rFonts w:cs="Arial"/>
              </w:rPr>
            </w:pPr>
            <w:r w:rsidRPr="0016620E">
              <w:rPr>
                <w:rFonts w:cs="Arial"/>
              </w:rPr>
              <w:t>Control variables</w:t>
            </w:r>
          </w:p>
        </w:tc>
        <w:tc>
          <w:tcPr>
            <w:tcW w:w="1417" w:type="dxa"/>
            <w:tcBorders>
              <w:top w:val="nil"/>
              <w:bottom w:val="nil"/>
            </w:tcBorders>
          </w:tcPr>
          <w:p w14:paraId="36CB15EA" w14:textId="11B2A1AB" w:rsidR="00DC273D" w:rsidRPr="0016620E" w:rsidRDefault="00DC273D" w:rsidP="002F5837">
            <w:pPr>
              <w:spacing w:after="120" w:line="240" w:lineRule="auto"/>
              <w:rPr>
                <w:rFonts w:cs="Arial"/>
              </w:rPr>
            </w:pPr>
            <w:r w:rsidRPr="0016620E">
              <w:rPr>
                <w:rFonts w:cs="Arial"/>
              </w:rPr>
              <w:t>No</w:t>
            </w:r>
          </w:p>
        </w:tc>
        <w:tc>
          <w:tcPr>
            <w:tcW w:w="1417" w:type="dxa"/>
            <w:tcBorders>
              <w:top w:val="nil"/>
              <w:bottom w:val="nil"/>
            </w:tcBorders>
          </w:tcPr>
          <w:p w14:paraId="28148DF2" w14:textId="0CF0E85A" w:rsidR="00DC273D" w:rsidRPr="0016620E" w:rsidRDefault="00DC273D" w:rsidP="002F5837">
            <w:pPr>
              <w:spacing w:after="120" w:line="240" w:lineRule="auto"/>
              <w:rPr>
                <w:rFonts w:cs="Arial"/>
              </w:rPr>
            </w:pPr>
            <w:r w:rsidRPr="0016620E">
              <w:rPr>
                <w:rFonts w:cs="Arial"/>
              </w:rPr>
              <w:t>Yes</w:t>
            </w:r>
          </w:p>
        </w:tc>
        <w:tc>
          <w:tcPr>
            <w:tcW w:w="1271" w:type="dxa"/>
            <w:tcBorders>
              <w:top w:val="nil"/>
              <w:bottom w:val="nil"/>
              <w:right w:val="nil"/>
            </w:tcBorders>
          </w:tcPr>
          <w:p w14:paraId="379651E2" w14:textId="110E8643" w:rsidR="00DC273D" w:rsidRPr="0016620E" w:rsidRDefault="00DC273D" w:rsidP="002F5837">
            <w:pPr>
              <w:spacing w:after="120" w:line="240" w:lineRule="auto"/>
              <w:rPr>
                <w:rFonts w:cs="Arial"/>
              </w:rPr>
            </w:pPr>
            <w:r w:rsidRPr="0016620E">
              <w:rPr>
                <w:rFonts w:cs="Arial"/>
              </w:rPr>
              <w:t>Yes</w:t>
            </w:r>
          </w:p>
        </w:tc>
      </w:tr>
      <w:tr w:rsidR="00DC273D" w:rsidRPr="0016620E" w14:paraId="35B842DE" w14:textId="77777777" w:rsidTr="0095055E">
        <w:trPr>
          <w:jc w:val="center"/>
        </w:trPr>
        <w:tc>
          <w:tcPr>
            <w:tcW w:w="4679" w:type="dxa"/>
            <w:tcBorders>
              <w:top w:val="nil"/>
              <w:left w:val="nil"/>
              <w:bottom w:val="single" w:sz="4" w:space="0" w:color="auto"/>
            </w:tcBorders>
          </w:tcPr>
          <w:p w14:paraId="34356E29" w14:textId="697326DD" w:rsidR="00DC273D" w:rsidRPr="0016620E" w:rsidRDefault="00DC273D" w:rsidP="002F5837">
            <w:pPr>
              <w:spacing w:after="120" w:line="240" w:lineRule="auto"/>
              <w:rPr>
                <w:rFonts w:cs="Arial"/>
              </w:rPr>
            </w:pPr>
            <w:r w:rsidRPr="0016620E">
              <w:rPr>
                <w:rFonts w:cs="Arial"/>
              </w:rPr>
              <w:t>Field of study</w:t>
            </w:r>
          </w:p>
        </w:tc>
        <w:tc>
          <w:tcPr>
            <w:tcW w:w="1417" w:type="dxa"/>
            <w:tcBorders>
              <w:top w:val="nil"/>
              <w:bottom w:val="single" w:sz="4" w:space="0" w:color="auto"/>
            </w:tcBorders>
          </w:tcPr>
          <w:p w14:paraId="09B1355A" w14:textId="01A6DAA9" w:rsidR="00DC273D" w:rsidRPr="0016620E" w:rsidRDefault="00DC273D" w:rsidP="002F5837">
            <w:pPr>
              <w:spacing w:after="120" w:line="240" w:lineRule="auto"/>
              <w:rPr>
                <w:rFonts w:cs="Arial"/>
              </w:rPr>
            </w:pPr>
            <w:r w:rsidRPr="0016620E">
              <w:rPr>
                <w:rFonts w:cs="Arial"/>
              </w:rPr>
              <w:t>No</w:t>
            </w:r>
          </w:p>
        </w:tc>
        <w:tc>
          <w:tcPr>
            <w:tcW w:w="1417" w:type="dxa"/>
            <w:tcBorders>
              <w:top w:val="nil"/>
              <w:bottom w:val="single" w:sz="4" w:space="0" w:color="auto"/>
            </w:tcBorders>
          </w:tcPr>
          <w:p w14:paraId="00CFE407" w14:textId="3B49120B" w:rsidR="00DC273D" w:rsidRPr="0016620E" w:rsidRDefault="00DC273D" w:rsidP="002F5837">
            <w:pPr>
              <w:spacing w:after="120" w:line="240" w:lineRule="auto"/>
              <w:rPr>
                <w:rFonts w:cs="Arial"/>
              </w:rPr>
            </w:pPr>
            <w:r w:rsidRPr="0016620E">
              <w:rPr>
                <w:rFonts w:cs="Arial"/>
              </w:rPr>
              <w:t>No</w:t>
            </w:r>
          </w:p>
        </w:tc>
        <w:tc>
          <w:tcPr>
            <w:tcW w:w="1271" w:type="dxa"/>
            <w:tcBorders>
              <w:top w:val="nil"/>
              <w:bottom w:val="single" w:sz="4" w:space="0" w:color="auto"/>
              <w:right w:val="nil"/>
            </w:tcBorders>
          </w:tcPr>
          <w:p w14:paraId="426B9ECF" w14:textId="0116FDE3" w:rsidR="00DC273D" w:rsidRPr="0016620E" w:rsidRDefault="00DC273D" w:rsidP="002F5837">
            <w:pPr>
              <w:spacing w:after="120" w:line="240" w:lineRule="auto"/>
              <w:rPr>
                <w:rFonts w:cs="Arial"/>
              </w:rPr>
            </w:pPr>
            <w:r w:rsidRPr="0016620E">
              <w:rPr>
                <w:rFonts w:cs="Arial"/>
              </w:rPr>
              <w:t>Yes</w:t>
            </w:r>
          </w:p>
        </w:tc>
      </w:tr>
      <w:tr w:rsidR="000B0633" w:rsidRPr="0016620E" w14:paraId="6E321B0D" w14:textId="77777777" w:rsidTr="0095055E">
        <w:trPr>
          <w:jc w:val="center"/>
        </w:trPr>
        <w:tc>
          <w:tcPr>
            <w:tcW w:w="4679" w:type="dxa"/>
            <w:tcBorders>
              <w:top w:val="single" w:sz="4" w:space="0" w:color="auto"/>
              <w:left w:val="nil"/>
              <w:bottom w:val="nil"/>
              <w:right w:val="nil"/>
            </w:tcBorders>
          </w:tcPr>
          <w:p w14:paraId="78EA1184" w14:textId="77777777" w:rsidR="000B0633" w:rsidRPr="0016620E" w:rsidRDefault="000B0633" w:rsidP="002F5837">
            <w:pPr>
              <w:spacing w:after="120" w:line="240" w:lineRule="auto"/>
              <w:rPr>
                <w:rFonts w:cs="Arial"/>
                <w:i/>
                <w:iCs/>
              </w:rPr>
            </w:pPr>
            <w:r w:rsidRPr="0016620E">
              <w:rPr>
                <w:rFonts w:cs="Arial"/>
                <w:i/>
                <w:iCs/>
              </w:rPr>
              <w:t>Individuals</w:t>
            </w:r>
          </w:p>
        </w:tc>
        <w:tc>
          <w:tcPr>
            <w:tcW w:w="1417" w:type="dxa"/>
            <w:tcBorders>
              <w:top w:val="single" w:sz="4" w:space="0" w:color="auto"/>
              <w:left w:val="nil"/>
              <w:bottom w:val="nil"/>
              <w:right w:val="nil"/>
            </w:tcBorders>
          </w:tcPr>
          <w:p w14:paraId="5444DC46" w14:textId="62FCFECD" w:rsidR="000B0633" w:rsidRPr="007017EF" w:rsidRDefault="000B0633" w:rsidP="002F5837">
            <w:pPr>
              <w:spacing w:after="120" w:line="240" w:lineRule="auto"/>
              <w:rPr>
                <w:rFonts w:cs="Arial"/>
              </w:rPr>
            </w:pPr>
            <w:r w:rsidRPr="007017EF">
              <w:rPr>
                <w:rFonts w:cs="Arial"/>
              </w:rPr>
              <w:t>4910</w:t>
            </w:r>
          </w:p>
        </w:tc>
        <w:tc>
          <w:tcPr>
            <w:tcW w:w="1417" w:type="dxa"/>
            <w:tcBorders>
              <w:top w:val="single" w:sz="4" w:space="0" w:color="auto"/>
              <w:left w:val="nil"/>
              <w:bottom w:val="nil"/>
              <w:right w:val="nil"/>
            </w:tcBorders>
          </w:tcPr>
          <w:p w14:paraId="46AEF11C" w14:textId="7668A836" w:rsidR="000B0633" w:rsidRPr="007017EF" w:rsidRDefault="000B0633" w:rsidP="002F5837">
            <w:pPr>
              <w:spacing w:after="120" w:line="240" w:lineRule="auto"/>
              <w:rPr>
                <w:rFonts w:cs="Arial"/>
              </w:rPr>
            </w:pPr>
            <w:r w:rsidRPr="007017EF">
              <w:rPr>
                <w:rFonts w:cs="Arial"/>
              </w:rPr>
              <w:t>4910</w:t>
            </w:r>
          </w:p>
        </w:tc>
        <w:tc>
          <w:tcPr>
            <w:tcW w:w="1271" w:type="dxa"/>
            <w:tcBorders>
              <w:top w:val="single" w:sz="4" w:space="0" w:color="auto"/>
              <w:left w:val="nil"/>
              <w:bottom w:val="nil"/>
              <w:right w:val="nil"/>
            </w:tcBorders>
          </w:tcPr>
          <w:p w14:paraId="40649843" w14:textId="255CE518" w:rsidR="000B0633" w:rsidRPr="007017EF" w:rsidRDefault="000B0633" w:rsidP="002F5837">
            <w:pPr>
              <w:spacing w:after="120" w:line="240" w:lineRule="auto"/>
              <w:rPr>
                <w:rFonts w:cs="Arial"/>
              </w:rPr>
            </w:pPr>
            <w:r w:rsidRPr="007017EF">
              <w:rPr>
                <w:rFonts w:cs="Arial"/>
              </w:rPr>
              <w:t>4910</w:t>
            </w:r>
          </w:p>
        </w:tc>
      </w:tr>
      <w:tr w:rsidR="000B0633" w:rsidRPr="0016620E" w14:paraId="382D9D9C" w14:textId="77777777" w:rsidTr="0095055E">
        <w:trPr>
          <w:jc w:val="center"/>
        </w:trPr>
        <w:tc>
          <w:tcPr>
            <w:tcW w:w="4679" w:type="dxa"/>
            <w:tcBorders>
              <w:top w:val="nil"/>
              <w:left w:val="nil"/>
              <w:bottom w:val="single" w:sz="4" w:space="0" w:color="auto"/>
              <w:right w:val="nil"/>
            </w:tcBorders>
          </w:tcPr>
          <w:p w14:paraId="1344C453" w14:textId="77777777" w:rsidR="000B0633" w:rsidRPr="0016620E" w:rsidRDefault="000B0633" w:rsidP="002F5837">
            <w:pPr>
              <w:spacing w:after="120" w:line="240" w:lineRule="auto"/>
              <w:rPr>
                <w:rFonts w:cs="Arial"/>
                <w:i/>
                <w:iCs/>
              </w:rPr>
            </w:pPr>
            <w:r w:rsidRPr="0016620E">
              <w:rPr>
                <w:rFonts w:cs="Arial"/>
                <w:i/>
                <w:iCs/>
              </w:rPr>
              <w:t>Observations</w:t>
            </w:r>
          </w:p>
        </w:tc>
        <w:tc>
          <w:tcPr>
            <w:tcW w:w="1417" w:type="dxa"/>
            <w:tcBorders>
              <w:top w:val="nil"/>
              <w:left w:val="nil"/>
              <w:bottom w:val="single" w:sz="4" w:space="0" w:color="auto"/>
              <w:right w:val="nil"/>
            </w:tcBorders>
          </w:tcPr>
          <w:p w14:paraId="0E6B7A92" w14:textId="22260EE1" w:rsidR="000B0633" w:rsidRPr="007017EF" w:rsidRDefault="000B0633" w:rsidP="002F5837">
            <w:pPr>
              <w:spacing w:after="120" w:line="240" w:lineRule="auto"/>
              <w:rPr>
                <w:rFonts w:cs="Arial"/>
              </w:rPr>
            </w:pPr>
            <w:r w:rsidRPr="007017EF">
              <w:rPr>
                <w:rFonts w:cs="Arial"/>
              </w:rPr>
              <w:t>9810</w:t>
            </w:r>
          </w:p>
        </w:tc>
        <w:tc>
          <w:tcPr>
            <w:tcW w:w="1417" w:type="dxa"/>
            <w:tcBorders>
              <w:top w:val="nil"/>
              <w:left w:val="nil"/>
              <w:bottom w:val="single" w:sz="4" w:space="0" w:color="auto"/>
              <w:right w:val="nil"/>
            </w:tcBorders>
          </w:tcPr>
          <w:p w14:paraId="502C6EB5" w14:textId="3D2CBD10" w:rsidR="000B0633" w:rsidRPr="007017EF" w:rsidRDefault="000B0633" w:rsidP="002F5837">
            <w:pPr>
              <w:spacing w:after="120" w:line="240" w:lineRule="auto"/>
              <w:rPr>
                <w:rFonts w:cs="Arial"/>
              </w:rPr>
            </w:pPr>
            <w:r w:rsidRPr="007017EF">
              <w:rPr>
                <w:rFonts w:cs="Arial"/>
              </w:rPr>
              <w:t>9810</w:t>
            </w:r>
          </w:p>
        </w:tc>
        <w:tc>
          <w:tcPr>
            <w:tcW w:w="1271" w:type="dxa"/>
            <w:tcBorders>
              <w:top w:val="nil"/>
              <w:left w:val="nil"/>
              <w:bottom w:val="single" w:sz="4" w:space="0" w:color="auto"/>
              <w:right w:val="nil"/>
            </w:tcBorders>
          </w:tcPr>
          <w:p w14:paraId="539FE554" w14:textId="4294044B" w:rsidR="000B0633" w:rsidRPr="007017EF" w:rsidRDefault="000B0633" w:rsidP="002F5837">
            <w:pPr>
              <w:spacing w:after="120" w:line="240" w:lineRule="auto"/>
              <w:rPr>
                <w:rFonts w:cs="Arial"/>
              </w:rPr>
            </w:pPr>
            <w:r w:rsidRPr="007017EF">
              <w:rPr>
                <w:rFonts w:cs="Arial"/>
              </w:rPr>
              <w:t>9810</w:t>
            </w:r>
          </w:p>
        </w:tc>
      </w:tr>
    </w:tbl>
    <w:p w14:paraId="509EB773" w14:textId="77777777" w:rsidR="00014489" w:rsidRPr="0095055E" w:rsidRDefault="00014489" w:rsidP="000F54A6">
      <w:pPr>
        <w:spacing w:line="240" w:lineRule="auto"/>
        <w:ind w:left="340" w:right="284"/>
        <w:rPr>
          <w:rFonts w:eastAsia="Arial" w:cs="Arial"/>
          <w:i/>
          <w:iCs/>
          <w:w w:val="105"/>
          <w:kern w:val="0"/>
          <w:sz w:val="18"/>
          <w:szCs w:val="18"/>
          <w14:ligatures w14:val="none"/>
        </w:rPr>
      </w:pPr>
      <w:r w:rsidRPr="0095055E">
        <w:rPr>
          <w:rFonts w:eastAsia="Arial" w:cs="Arial"/>
          <w:i/>
          <w:iCs/>
          <w:w w:val="105"/>
          <w:kern w:val="0"/>
          <w:sz w:val="18"/>
          <w:szCs w:val="18"/>
          <w14:ligatures w14:val="none"/>
        </w:rPr>
        <w:t>Notes: The control variables include dummies for year of birth, gender, whether born in Australia, number of siblings, whether living in a major city, and dummies for state of residence and HILDA waves. Robust standard errors are in parentheses. *** p&lt;0.01; ** p&lt;0.05; * p&lt;0.10.</w:t>
      </w:r>
    </w:p>
    <w:p w14:paraId="3239D03E" w14:textId="2491B0B8" w:rsidR="004B00E6" w:rsidRPr="00E32AAB" w:rsidRDefault="00041FBF" w:rsidP="00721EB3">
      <w:pPr>
        <w:rPr>
          <w:w w:val="105"/>
        </w:rPr>
      </w:pPr>
      <w:r w:rsidRPr="00041FBF">
        <w:rPr>
          <w:w w:val="105"/>
        </w:rPr>
        <w:t xml:space="preserve">The estimated effects of </w:t>
      </w:r>
      <w:r w:rsidR="0097512D">
        <w:rPr>
          <w:w w:val="105"/>
        </w:rPr>
        <w:t>socio-economic</w:t>
      </w:r>
      <w:r w:rsidR="000E56D9">
        <w:rPr>
          <w:w w:val="105"/>
        </w:rPr>
        <w:t xml:space="preserve"> </w:t>
      </w:r>
      <w:r w:rsidR="000E56D9" w:rsidRPr="00BD38F3">
        <w:rPr>
          <w:w w:val="105"/>
        </w:rPr>
        <w:t>backgrounds</w:t>
      </w:r>
      <w:r w:rsidR="000E56D9">
        <w:rPr>
          <w:w w:val="105"/>
        </w:rPr>
        <w:t xml:space="preserve"> </w:t>
      </w:r>
      <w:r w:rsidRPr="00041FBF">
        <w:rPr>
          <w:w w:val="105"/>
        </w:rPr>
        <w:t xml:space="preserve">on permanent or ongoing employment are </w:t>
      </w:r>
      <w:r w:rsidR="00A223DD">
        <w:rPr>
          <w:w w:val="105"/>
        </w:rPr>
        <w:t>shown</w:t>
      </w:r>
      <w:r w:rsidRPr="00041FBF">
        <w:rPr>
          <w:w w:val="105"/>
        </w:rPr>
        <w:t xml:space="preserve"> in Table </w:t>
      </w:r>
      <w:r w:rsidR="00134586">
        <w:rPr>
          <w:w w:val="105"/>
        </w:rPr>
        <w:t>7</w:t>
      </w:r>
      <w:r w:rsidRPr="00041FBF">
        <w:rPr>
          <w:w w:val="105"/>
        </w:rPr>
        <w:t xml:space="preserve">. Among the five indicators of </w:t>
      </w:r>
      <w:r w:rsidR="0097512D">
        <w:rPr>
          <w:w w:val="105"/>
        </w:rPr>
        <w:t>socio-economic</w:t>
      </w:r>
      <w:r w:rsidR="00A03056" w:rsidRPr="00BC1650">
        <w:rPr>
          <w:w w:val="105"/>
        </w:rPr>
        <w:t xml:space="preserve"> background</w:t>
      </w:r>
      <w:r w:rsidR="00A03056">
        <w:rPr>
          <w:w w:val="105"/>
        </w:rPr>
        <w:t>s</w:t>
      </w:r>
      <w:r w:rsidRPr="00041FBF">
        <w:rPr>
          <w:w w:val="105"/>
        </w:rPr>
        <w:t>, only low SES</w:t>
      </w:r>
      <w:r w:rsidR="00587895" w:rsidRPr="00587895">
        <w:rPr>
          <w:w w:val="105"/>
        </w:rPr>
        <w:t xml:space="preserve"> </w:t>
      </w:r>
      <w:r w:rsidR="00587895">
        <w:rPr>
          <w:w w:val="105"/>
        </w:rPr>
        <w:t>in childhood</w:t>
      </w:r>
      <w:r w:rsidRPr="00041FBF">
        <w:rPr>
          <w:w w:val="105"/>
        </w:rPr>
        <w:t xml:space="preserve"> is significantly associated with permanent or ongoing employment. Specifically, workers from a low</w:t>
      </w:r>
      <w:r w:rsidR="006B0E3C">
        <w:rPr>
          <w:w w:val="105"/>
        </w:rPr>
        <w:t xml:space="preserve"> </w:t>
      </w:r>
      <w:r w:rsidRPr="00041FBF">
        <w:rPr>
          <w:w w:val="105"/>
        </w:rPr>
        <w:t>SES background are about 3 percentage points more likely to h</w:t>
      </w:r>
      <w:r w:rsidR="00E43B48">
        <w:rPr>
          <w:w w:val="105"/>
        </w:rPr>
        <w:t>ave</w:t>
      </w:r>
      <w:r w:rsidRPr="00041FBF">
        <w:rPr>
          <w:w w:val="105"/>
        </w:rPr>
        <w:t xml:space="preserve"> a permanent or ongoing job </w:t>
      </w:r>
      <w:r w:rsidR="006B0E3C">
        <w:rPr>
          <w:w w:val="105"/>
        </w:rPr>
        <w:t>than</w:t>
      </w:r>
      <w:r w:rsidRPr="00041FBF">
        <w:rPr>
          <w:w w:val="105"/>
        </w:rPr>
        <w:t xml:space="preserve"> those from a higher SES background. </w:t>
      </w:r>
      <w:r w:rsidR="00E4703D">
        <w:rPr>
          <w:w w:val="105"/>
        </w:rPr>
        <w:t>In addition</w:t>
      </w:r>
      <w:r w:rsidR="006441A0">
        <w:rPr>
          <w:w w:val="105"/>
        </w:rPr>
        <w:t xml:space="preserve">, </w:t>
      </w:r>
      <w:r w:rsidRPr="00041FBF">
        <w:rPr>
          <w:w w:val="105"/>
        </w:rPr>
        <w:t xml:space="preserve">the negative estimate for NESB </w:t>
      </w:r>
      <w:r w:rsidR="006441A0">
        <w:rPr>
          <w:w w:val="105"/>
        </w:rPr>
        <w:t>is not statistically significant in columns (</w:t>
      </w:r>
      <w:proofErr w:type="spellStart"/>
      <w:r w:rsidR="006441A0">
        <w:rPr>
          <w:w w:val="105"/>
        </w:rPr>
        <w:t>i</w:t>
      </w:r>
      <w:proofErr w:type="spellEnd"/>
      <w:r w:rsidR="006441A0">
        <w:rPr>
          <w:w w:val="105"/>
        </w:rPr>
        <w:t>) and (ii)</w:t>
      </w:r>
      <w:r w:rsidR="007E5A8E">
        <w:rPr>
          <w:w w:val="105"/>
        </w:rPr>
        <w:t>,</w:t>
      </w:r>
      <w:r w:rsidR="006441A0">
        <w:rPr>
          <w:w w:val="105"/>
        </w:rPr>
        <w:t xml:space="preserve"> but </w:t>
      </w:r>
      <w:r w:rsidRPr="00041FBF">
        <w:rPr>
          <w:w w:val="105"/>
        </w:rPr>
        <w:t>becomes significant at the 5% level</w:t>
      </w:r>
      <w:r w:rsidR="006441A0">
        <w:rPr>
          <w:w w:val="105"/>
        </w:rPr>
        <w:t xml:space="preserve"> in column (iii)</w:t>
      </w:r>
      <w:r w:rsidRPr="00041FBF">
        <w:rPr>
          <w:w w:val="105"/>
        </w:rPr>
        <w:t xml:space="preserve">. If NESB and ESB Australians had pursued the same fields of study, NESB workers would have been 5.1 percentage points less likely to </w:t>
      </w:r>
      <w:r w:rsidR="007E5A8E">
        <w:rPr>
          <w:w w:val="105"/>
        </w:rPr>
        <w:t>have</w:t>
      </w:r>
      <w:r w:rsidRPr="00041FBF">
        <w:rPr>
          <w:w w:val="105"/>
        </w:rPr>
        <w:t xml:space="preserve"> a permanent or ongoing job. Given that the estimate in column (ii) is slightly smaller than that in column (iii), this suggests that NESB Australians may have reduced some of their disadvantage in obtaining permanent or ongoing employment through their </w:t>
      </w:r>
      <w:r w:rsidR="006B0E3C" w:rsidRPr="006B0E3C">
        <w:rPr>
          <w:w w:val="105"/>
        </w:rPr>
        <w:t>choice of fields of study</w:t>
      </w:r>
      <w:r w:rsidR="00997195">
        <w:rPr>
          <w:w w:val="105"/>
        </w:rPr>
        <w:t xml:space="preserve"> at university</w:t>
      </w:r>
      <w:r w:rsidR="006B0E3C" w:rsidRPr="006B0E3C">
        <w:rPr>
          <w:w w:val="105"/>
        </w:rPr>
        <w:t>.</w:t>
      </w:r>
      <w:r w:rsidR="000974E6" w:rsidRPr="00E32AAB">
        <w:rPr>
          <w:w w:val="105"/>
        </w:rPr>
        <w:t xml:space="preserve"> </w:t>
      </w:r>
    </w:p>
    <w:p w14:paraId="750ED4F3" w14:textId="77777777" w:rsidR="005D3C9B" w:rsidRDefault="005D3C9B">
      <w:pPr>
        <w:spacing w:line="259" w:lineRule="auto"/>
        <w:rPr>
          <w:rFonts w:cs="Arial"/>
          <w:i/>
          <w:iCs/>
          <w:color w:val="080808"/>
        </w:rPr>
      </w:pPr>
      <w:bookmarkStart w:id="64" w:name="_Ref184722838"/>
      <w:r>
        <w:rPr>
          <w:rFonts w:cs="Arial"/>
          <w:color w:val="080808"/>
        </w:rPr>
        <w:br w:type="page"/>
      </w:r>
    </w:p>
    <w:p w14:paraId="6EF6968A" w14:textId="0CD8D277" w:rsidR="004B00E6" w:rsidRPr="00BF48E1" w:rsidRDefault="007F1BC5" w:rsidP="00BF48E1">
      <w:pPr>
        <w:pStyle w:val="Caption"/>
        <w:rPr>
          <w:rFonts w:cs="Arial"/>
          <w:color w:val="080808"/>
          <w:lang w:eastAsia="en-AU"/>
        </w:rPr>
      </w:pPr>
      <w:bookmarkStart w:id="65" w:name="_Toc222998791"/>
      <w:r w:rsidRPr="00BF48E1">
        <w:rPr>
          <w:rFonts w:cs="Arial"/>
          <w:color w:val="080808"/>
        </w:rPr>
        <w:lastRenderedPageBreak/>
        <w:t xml:space="preserve">Table </w:t>
      </w:r>
      <w:r w:rsidR="007C1B95" w:rsidRPr="00BF48E1">
        <w:rPr>
          <w:rFonts w:cs="Arial"/>
          <w:color w:val="080808"/>
        </w:rPr>
        <w:fldChar w:fldCharType="begin"/>
      </w:r>
      <w:r w:rsidR="007C1B95" w:rsidRPr="00BF48E1">
        <w:rPr>
          <w:rFonts w:cs="Arial"/>
          <w:color w:val="080808"/>
        </w:rPr>
        <w:instrText xml:space="preserve"> SEQ Table \* ARABIC </w:instrText>
      </w:r>
      <w:r w:rsidR="007C1B95" w:rsidRPr="00BF48E1">
        <w:rPr>
          <w:rFonts w:cs="Arial"/>
          <w:color w:val="080808"/>
        </w:rPr>
        <w:fldChar w:fldCharType="separate"/>
      </w:r>
      <w:r w:rsidR="00392C8C" w:rsidRPr="00BF48E1">
        <w:rPr>
          <w:rFonts w:cs="Arial"/>
          <w:noProof/>
          <w:color w:val="080808"/>
        </w:rPr>
        <w:t>8</w:t>
      </w:r>
      <w:r w:rsidR="007C1B95" w:rsidRPr="00BF48E1">
        <w:rPr>
          <w:rFonts w:cs="Arial"/>
          <w:color w:val="080808"/>
        </w:rPr>
        <w:fldChar w:fldCharType="end"/>
      </w:r>
      <w:bookmarkEnd w:id="64"/>
      <w:r w:rsidR="004B00E6" w:rsidRPr="00BF48E1">
        <w:rPr>
          <w:rFonts w:cs="Arial"/>
          <w:color w:val="080808"/>
          <w:lang w:eastAsia="en-AU"/>
        </w:rPr>
        <w:t xml:space="preserve">: </w:t>
      </w:r>
      <w:r w:rsidR="003D04E9" w:rsidRPr="00BF48E1">
        <w:rPr>
          <w:rFonts w:cs="Arial"/>
          <w:color w:val="080808"/>
          <w:lang w:eastAsia="en-AU"/>
        </w:rPr>
        <w:t>Probability</w:t>
      </w:r>
      <w:r w:rsidR="004B00E6" w:rsidRPr="00BF48E1">
        <w:rPr>
          <w:rFonts w:cs="Arial"/>
          <w:color w:val="080808"/>
          <w:lang w:eastAsia="en-AU"/>
        </w:rPr>
        <w:t xml:space="preserve"> of having a managerial</w:t>
      </w:r>
      <w:r w:rsidR="0058230D" w:rsidRPr="00BF48E1">
        <w:rPr>
          <w:rFonts w:cs="Arial"/>
          <w:color w:val="080808"/>
          <w:lang w:eastAsia="en-AU"/>
        </w:rPr>
        <w:t xml:space="preserve"> or </w:t>
      </w:r>
      <w:r w:rsidR="004B00E6" w:rsidRPr="00BF48E1">
        <w:rPr>
          <w:rFonts w:cs="Arial"/>
          <w:color w:val="080808"/>
          <w:lang w:eastAsia="en-AU"/>
        </w:rPr>
        <w:t>professional job</w:t>
      </w:r>
      <w:bookmarkEnd w:id="65"/>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4820"/>
        <w:gridCol w:w="1417"/>
        <w:gridCol w:w="1417"/>
        <w:gridCol w:w="1271"/>
      </w:tblGrid>
      <w:tr w:rsidR="00A815CC" w:rsidRPr="0016620E" w14:paraId="1E6024C4" w14:textId="77777777" w:rsidTr="0095055E">
        <w:trPr>
          <w:jc w:val="center"/>
        </w:trPr>
        <w:tc>
          <w:tcPr>
            <w:tcW w:w="4820" w:type="dxa"/>
            <w:tcBorders>
              <w:top w:val="single" w:sz="4" w:space="0" w:color="auto"/>
              <w:left w:val="nil"/>
              <w:bottom w:val="single" w:sz="4" w:space="0" w:color="auto"/>
            </w:tcBorders>
            <w:shd w:val="clear" w:color="auto" w:fill="78DED9" w:themeFill="accent1"/>
          </w:tcPr>
          <w:p w14:paraId="04FA18EF" w14:textId="77777777" w:rsidR="00A815CC" w:rsidRPr="00D75CF3" w:rsidRDefault="00A815CC" w:rsidP="002F5837">
            <w:pPr>
              <w:spacing w:after="120" w:line="240" w:lineRule="auto"/>
              <w:rPr>
                <w:rFonts w:cs="Arial"/>
                <w:b/>
                <w:bCs/>
              </w:rPr>
            </w:pPr>
          </w:p>
        </w:tc>
        <w:tc>
          <w:tcPr>
            <w:tcW w:w="1417" w:type="dxa"/>
            <w:tcBorders>
              <w:top w:val="single" w:sz="4" w:space="0" w:color="auto"/>
              <w:bottom w:val="single" w:sz="4" w:space="0" w:color="auto"/>
            </w:tcBorders>
            <w:shd w:val="clear" w:color="auto" w:fill="78DED9" w:themeFill="accent1"/>
          </w:tcPr>
          <w:p w14:paraId="1C44B30B" w14:textId="4E346036" w:rsidR="00A815CC" w:rsidRPr="00D75CF3" w:rsidRDefault="00A815CC" w:rsidP="002F5837">
            <w:pPr>
              <w:spacing w:after="120" w:line="240" w:lineRule="auto"/>
              <w:rPr>
                <w:rFonts w:cs="Arial"/>
                <w:b/>
                <w:bCs/>
              </w:rPr>
            </w:pPr>
            <w:r w:rsidRPr="00D75CF3">
              <w:rPr>
                <w:rFonts w:cs="Arial"/>
                <w:b/>
                <w:bCs/>
              </w:rPr>
              <w:t>(</w:t>
            </w:r>
            <w:proofErr w:type="spellStart"/>
            <w:r w:rsidRPr="00D75CF3">
              <w:rPr>
                <w:rFonts w:cs="Arial"/>
                <w:b/>
                <w:bCs/>
              </w:rPr>
              <w:t>i</w:t>
            </w:r>
            <w:proofErr w:type="spellEnd"/>
            <w:r w:rsidRPr="00D75CF3">
              <w:rPr>
                <w:rFonts w:cs="Arial"/>
                <w:b/>
                <w:bCs/>
              </w:rPr>
              <w:t>)</w:t>
            </w:r>
          </w:p>
        </w:tc>
        <w:tc>
          <w:tcPr>
            <w:tcW w:w="1417" w:type="dxa"/>
            <w:tcBorders>
              <w:top w:val="single" w:sz="4" w:space="0" w:color="auto"/>
              <w:bottom w:val="single" w:sz="4" w:space="0" w:color="auto"/>
            </w:tcBorders>
            <w:shd w:val="clear" w:color="auto" w:fill="78DED9" w:themeFill="accent1"/>
            <w:vAlign w:val="center"/>
          </w:tcPr>
          <w:p w14:paraId="099B326A" w14:textId="3DBBFB7B" w:rsidR="00A815CC" w:rsidRPr="00D75CF3" w:rsidRDefault="00A815CC" w:rsidP="002F5837">
            <w:pPr>
              <w:spacing w:after="120" w:line="240" w:lineRule="auto"/>
              <w:rPr>
                <w:rFonts w:cs="Arial"/>
                <w:b/>
                <w:bCs/>
              </w:rPr>
            </w:pPr>
            <w:r w:rsidRPr="00D75CF3">
              <w:rPr>
                <w:rFonts w:cs="Arial"/>
                <w:b/>
                <w:bCs/>
              </w:rPr>
              <w:t>(ii)</w:t>
            </w:r>
          </w:p>
        </w:tc>
        <w:tc>
          <w:tcPr>
            <w:tcW w:w="1271" w:type="dxa"/>
            <w:tcBorders>
              <w:top w:val="single" w:sz="4" w:space="0" w:color="auto"/>
              <w:bottom w:val="single" w:sz="4" w:space="0" w:color="auto"/>
              <w:right w:val="nil"/>
            </w:tcBorders>
            <w:shd w:val="clear" w:color="auto" w:fill="78DED9" w:themeFill="accent1"/>
            <w:vAlign w:val="center"/>
          </w:tcPr>
          <w:p w14:paraId="21E9B8B8" w14:textId="1F3D8B0E" w:rsidR="00A815CC" w:rsidRPr="00D75CF3" w:rsidRDefault="00A815CC" w:rsidP="002F5837">
            <w:pPr>
              <w:spacing w:after="120" w:line="240" w:lineRule="auto"/>
              <w:rPr>
                <w:rFonts w:cs="Arial"/>
                <w:b/>
                <w:bCs/>
              </w:rPr>
            </w:pPr>
            <w:r w:rsidRPr="00D75CF3">
              <w:rPr>
                <w:rFonts w:cs="Arial"/>
                <w:b/>
                <w:bCs/>
              </w:rPr>
              <w:t>(iii)</w:t>
            </w:r>
          </w:p>
        </w:tc>
      </w:tr>
      <w:tr w:rsidR="00A815CC" w:rsidRPr="0016620E" w14:paraId="2D6E0B7C" w14:textId="77777777" w:rsidTr="0095055E">
        <w:trPr>
          <w:jc w:val="center"/>
        </w:trPr>
        <w:tc>
          <w:tcPr>
            <w:tcW w:w="4820" w:type="dxa"/>
            <w:tcBorders>
              <w:top w:val="single" w:sz="4" w:space="0" w:color="auto"/>
              <w:left w:val="nil"/>
            </w:tcBorders>
          </w:tcPr>
          <w:p w14:paraId="696F3656" w14:textId="28095EA1" w:rsidR="00A815CC" w:rsidRPr="0016620E" w:rsidRDefault="003023B0" w:rsidP="002F5837">
            <w:pPr>
              <w:spacing w:line="240" w:lineRule="auto"/>
              <w:rPr>
                <w:rFonts w:cs="Arial"/>
              </w:rPr>
            </w:pPr>
            <w:r w:rsidRPr="0016620E">
              <w:rPr>
                <w:rFonts w:cs="Arial"/>
              </w:rPr>
              <w:t>Indigenous</w:t>
            </w:r>
          </w:p>
        </w:tc>
        <w:tc>
          <w:tcPr>
            <w:tcW w:w="1417" w:type="dxa"/>
            <w:tcBorders>
              <w:top w:val="single" w:sz="4" w:space="0" w:color="auto"/>
            </w:tcBorders>
          </w:tcPr>
          <w:p w14:paraId="635F917E" w14:textId="77777777" w:rsidR="00A815CC" w:rsidRPr="0016620E" w:rsidRDefault="00A4163B" w:rsidP="002F5837">
            <w:pPr>
              <w:spacing w:line="240" w:lineRule="auto"/>
              <w:rPr>
                <w:rFonts w:cs="Arial"/>
              </w:rPr>
            </w:pPr>
            <w:r w:rsidRPr="0016620E">
              <w:rPr>
                <w:rFonts w:cs="Arial"/>
              </w:rPr>
              <w:t>0.028</w:t>
            </w:r>
          </w:p>
          <w:p w14:paraId="0A4C14FB" w14:textId="260E9EF9" w:rsidR="00A4163B" w:rsidRPr="0016620E" w:rsidRDefault="00A4163B" w:rsidP="002F5837">
            <w:pPr>
              <w:spacing w:line="240" w:lineRule="auto"/>
              <w:rPr>
                <w:rFonts w:cs="Arial"/>
              </w:rPr>
            </w:pPr>
            <w:r w:rsidRPr="0016620E">
              <w:rPr>
                <w:rFonts w:cs="Arial"/>
              </w:rPr>
              <w:t>(0.051)</w:t>
            </w:r>
          </w:p>
        </w:tc>
        <w:tc>
          <w:tcPr>
            <w:tcW w:w="1417" w:type="dxa"/>
            <w:tcBorders>
              <w:top w:val="single" w:sz="4" w:space="0" w:color="auto"/>
            </w:tcBorders>
          </w:tcPr>
          <w:p w14:paraId="6A8477DA" w14:textId="1295723C" w:rsidR="00A815CC" w:rsidRPr="0016620E" w:rsidRDefault="00A815CC" w:rsidP="002F5837">
            <w:pPr>
              <w:spacing w:line="240" w:lineRule="auto"/>
              <w:rPr>
                <w:rFonts w:cs="Arial"/>
              </w:rPr>
            </w:pPr>
            <w:r w:rsidRPr="0016620E">
              <w:rPr>
                <w:rFonts w:cs="Arial"/>
              </w:rPr>
              <w:t>0.019</w:t>
            </w:r>
          </w:p>
          <w:p w14:paraId="76F6D4A3" w14:textId="77777777" w:rsidR="00A815CC" w:rsidRPr="0016620E" w:rsidRDefault="00A815CC" w:rsidP="002F5837">
            <w:pPr>
              <w:spacing w:line="240" w:lineRule="auto"/>
              <w:rPr>
                <w:rFonts w:cs="Arial"/>
              </w:rPr>
            </w:pPr>
            <w:r w:rsidRPr="0016620E">
              <w:rPr>
                <w:rFonts w:cs="Arial"/>
              </w:rPr>
              <w:t>(0.052)</w:t>
            </w:r>
          </w:p>
        </w:tc>
        <w:tc>
          <w:tcPr>
            <w:tcW w:w="1271" w:type="dxa"/>
            <w:tcBorders>
              <w:top w:val="single" w:sz="4" w:space="0" w:color="auto"/>
              <w:right w:val="nil"/>
            </w:tcBorders>
          </w:tcPr>
          <w:p w14:paraId="76486760" w14:textId="77777777" w:rsidR="00A815CC" w:rsidRPr="0016620E" w:rsidRDefault="00A815CC" w:rsidP="002F5837">
            <w:pPr>
              <w:spacing w:line="240" w:lineRule="auto"/>
              <w:rPr>
                <w:rFonts w:cs="Arial"/>
              </w:rPr>
            </w:pPr>
            <w:r w:rsidRPr="0016620E">
              <w:rPr>
                <w:rFonts w:cs="Arial"/>
              </w:rPr>
              <w:t>0.018</w:t>
            </w:r>
          </w:p>
          <w:p w14:paraId="52B2B8F2" w14:textId="77777777" w:rsidR="00A815CC" w:rsidRPr="0016620E" w:rsidRDefault="00A815CC" w:rsidP="002F5837">
            <w:pPr>
              <w:spacing w:after="120" w:line="240" w:lineRule="auto"/>
              <w:rPr>
                <w:rFonts w:cs="Arial"/>
              </w:rPr>
            </w:pPr>
            <w:r w:rsidRPr="0016620E">
              <w:rPr>
                <w:rFonts w:cs="Arial"/>
              </w:rPr>
              <w:t>(0.053)</w:t>
            </w:r>
          </w:p>
        </w:tc>
      </w:tr>
      <w:tr w:rsidR="00A815CC" w:rsidRPr="0016620E" w14:paraId="5D5594D4" w14:textId="77777777" w:rsidTr="0095055E">
        <w:trPr>
          <w:jc w:val="center"/>
        </w:trPr>
        <w:tc>
          <w:tcPr>
            <w:tcW w:w="4820" w:type="dxa"/>
            <w:tcBorders>
              <w:left w:val="nil"/>
            </w:tcBorders>
          </w:tcPr>
          <w:p w14:paraId="71BB5947" w14:textId="77777777" w:rsidR="00A815CC" w:rsidRPr="0016620E" w:rsidRDefault="00A815CC" w:rsidP="002F5837">
            <w:pPr>
              <w:spacing w:line="240" w:lineRule="auto"/>
              <w:rPr>
                <w:rFonts w:cs="Arial"/>
              </w:rPr>
            </w:pPr>
            <w:r w:rsidRPr="0016620E">
              <w:rPr>
                <w:rFonts w:cs="Arial"/>
              </w:rPr>
              <w:t>NESB</w:t>
            </w:r>
          </w:p>
        </w:tc>
        <w:tc>
          <w:tcPr>
            <w:tcW w:w="1417" w:type="dxa"/>
          </w:tcPr>
          <w:p w14:paraId="6EF5FFFF" w14:textId="213DA6EC" w:rsidR="00A815CC" w:rsidRPr="0016620E" w:rsidRDefault="00A4163B" w:rsidP="002F5837">
            <w:pPr>
              <w:spacing w:line="240" w:lineRule="auto"/>
              <w:rPr>
                <w:rFonts w:cs="Arial"/>
              </w:rPr>
            </w:pPr>
            <w:r w:rsidRPr="0016620E">
              <w:rPr>
                <w:rFonts w:cs="Arial"/>
              </w:rPr>
              <w:t>–0.140***</w:t>
            </w:r>
          </w:p>
          <w:p w14:paraId="23D7E605" w14:textId="0EBBBF33" w:rsidR="00A4163B" w:rsidRPr="0016620E" w:rsidRDefault="00A4163B" w:rsidP="002F5837">
            <w:pPr>
              <w:spacing w:line="240" w:lineRule="auto"/>
              <w:rPr>
                <w:rFonts w:cs="Arial"/>
              </w:rPr>
            </w:pPr>
            <w:r w:rsidRPr="0016620E">
              <w:rPr>
                <w:rFonts w:cs="Arial"/>
              </w:rPr>
              <w:t>(0.018)</w:t>
            </w:r>
          </w:p>
        </w:tc>
        <w:tc>
          <w:tcPr>
            <w:tcW w:w="1417" w:type="dxa"/>
          </w:tcPr>
          <w:p w14:paraId="3B5CF2B4" w14:textId="23CDA8F8" w:rsidR="00A815CC" w:rsidRPr="0016620E" w:rsidRDefault="00A815CC" w:rsidP="002F5837">
            <w:pPr>
              <w:spacing w:line="240" w:lineRule="auto"/>
              <w:rPr>
                <w:rFonts w:cs="Arial"/>
              </w:rPr>
            </w:pPr>
            <w:r w:rsidRPr="0016620E">
              <w:rPr>
                <w:rFonts w:cs="Arial"/>
              </w:rPr>
              <w:t>–0.128***</w:t>
            </w:r>
          </w:p>
          <w:p w14:paraId="77D7AB3E" w14:textId="77777777" w:rsidR="00A815CC" w:rsidRPr="0016620E" w:rsidRDefault="00A815CC" w:rsidP="002F5837">
            <w:pPr>
              <w:spacing w:line="240" w:lineRule="auto"/>
              <w:rPr>
                <w:rFonts w:cs="Arial"/>
              </w:rPr>
            </w:pPr>
            <w:r w:rsidRPr="0016620E">
              <w:rPr>
                <w:rFonts w:cs="Arial"/>
              </w:rPr>
              <w:t>(0.024)</w:t>
            </w:r>
          </w:p>
        </w:tc>
        <w:tc>
          <w:tcPr>
            <w:tcW w:w="1271" w:type="dxa"/>
            <w:tcBorders>
              <w:right w:val="nil"/>
            </w:tcBorders>
          </w:tcPr>
          <w:p w14:paraId="27D17125" w14:textId="77777777" w:rsidR="00A815CC" w:rsidRPr="0016620E" w:rsidRDefault="00A815CC" w:rsidP="002F5837">
            <w:pPr>
              <w:spacing w:line="240" w:lineRule="auto"/>
              <w:rPr>
                <w:rFonts w:cs="Arial"/>
              </w:rPr>
            </w:pPr>
            <w:r w:rsidRPr="0016620E">
              <w:rPr>
                <w:rFonts w:cs="Arial"/>
              </w:rPr>
              <w:t>–0.143***</w:t>
            </w:r>
          </w:p>
          <w:p w14:paraId="28EE6997" w14:textId="77777777" w:rsidR="00A815CC" w:rsidRPr="0016620E" w:rsidRDefault="00A815CC" w:rsidP="002F5837">
            <w:pPr>
              <w:spacing w:after="120" w:line="240" w:lineRule="auto"/>
              <w:rPr>
                <w:rFonts w:cs="Arial"/>
              </w:rPr>
            </w:pPr>
            <w:r w:rsidRPr="0016620E">
              <w:rPr>
                <w:rFonts w:cs="Arial"/>
              </w:rPr>
              <w:t>(0.023)</w:t>
            </w:r>
          </w:p>
        </w:tc>
      </w:tr>
      <w:tr w:rsidR="00A815CC" w:rsidRPr="0016620E" w14:paraId="61EFD41F" w14:textId="77777777" w:rsidTr="0095055E">
        <w:trPr>
          <w:jc w:val="center"/>
        </w:trPr>
        <w:tc>
          <w:tcPr>
            <w:tcW w:w="4820" w:type="dxa"/>
            <w:tcBorders>
              <w:left w:val="nil"/>
            </w:tcBorders>
          </w:tcPr>
          <w:p w14:paraId="373B7417" w14:textId="0B450CB7" w:rsidR="00A815CC" w:rsidRPr="0016620E" w:rsidRDefault="00BF057E" w:rsidP="002F5837">
            <w:pPr>
              <w:spacing w:line="240" w:lineRule="auto"/>
              <w:rPr>
                <w:rFonts w:cs="Arial"/>
              </w:rPr>
            </w:pPr>
            <w:r>
              <w:rPr>
                <w:rFonts w:eastAsia="Arial" w:cs="Arial"/>
                <w:w w:val="105"/>
                <w14:ligatures w14:val="none"/>
              </w:rPr>
              <w:t>L</w:t>
            </w:r>
            <w:r w:rsidRPr="00276F44">
              <w:rPr>
                <w:rFonts w:eastAsia="Arial" w:cs="Arial"/>
                <w:w w:val="105"/>
                <w14:ligatures w14:val="none"/>
              </w:rPr>
              <w:t>ow</w:t>
            </w:r>
            <w:r>
              <w:rPr>
                <w:rFonts w:eastAsia="Arial" w:cs="Arial"/>
                <w:w w:val="105"/>
                <w14:ligatures w14:val="none"/>
              </w:rPr>
              <w:t xml:space="preserve"> </w:t>
            </w:r>
            <w:r w:rsidRPr="00276F44">
              <w:rPr>
                <w:rFonts w:eastAsia="Arial" w:cs="Arial"/>
                <w:w w:val="105"/>
                <w14:ligatures w14:val="none"/>
              </w:rPr>
              <w:t>SES</w:t>
            </w:r>
            <w:r>
              <w:rPr>
                <w:rFonts w:eastAsia="Arial" w:cs="Arial"/>
                <w:w w:val="105"/>
                <w14:ligatures w14:val="none"/>
              </w:rPr>
              <w:t xml:space="preserve"> in childhood</w:t>
            </w:r>
          </w:p>
        </w:tc>
        <w:tc>
          <w:tcPr>
            <w:tcW w:w="1417" w:type="dxa"/>
          </w:tcPr>
          <w:p w14:paraId="2298C9A4" w14:textId="186D651B" w:rsidR="00A815CC" w:rsidRPr="0016620E" w:rsidRDefault="00A4163B" w:rsidP="002F5837">
            <w:pPr>
              <w:spacing w:line="240" w:lineRule="auto"/>
              <w:rPr>
                <w:rFonts w:cs="Arial"/>
              </w:rPr>
            </w:pPr>
            <w:r w:rsidRPr="0016620E">
              <w:rPr>
                <w:rFonts w:cs="Arial"/>
              </w:rPr>
              <w:t>–0.035***</w:t>
            </w:r>
          </w:p>
          <w:p w14:paraId="166911DA" w14:textId="7FEE289C" w:rsidR="00A4163B" w:rsidRPr="0016620E" w:rsidRDefault="00A4163B" w:rsidP="002F5837">
            <w:pPr>
              <w:spacing w:line="240" w:lineRule="auto"/>
              <w:rPr>
                <w:rFonts w:cs="Arial"/>
              </w:rPr>
            </w:pPr>
            <w:r w:rsidRPr="0016620E">
              <w:rPr>
                <w:rFonts w:cs="Arial"/>
              </w:rPr>
              <w:t>(0.012)</w:t>
            </w:r>
          </w:p>
        </w:tc>
        <w:tc>
          <w:tcPr>
            <w:tcW w:w="1417" w:type="dxa"/>
          </w:tcPr>
          <w:p w14:paraId="7EE15F7B" w14:textId="2CA022F0" w:rsidR="00A815CC" w:rsidRPr="0016620E" w:rsidRDefault="00A815CC" w:rsidP="002F5837">
            <w:pPr>
              <w:spacing w:line="240" w:lineRule="auto"/>
              <w:rPr>
                <w:rFonts w:cs="Arial"/>
              </w:rPr>
            </w:pPr>
            <w:r w:rsidRPr="0016620E">
              <w:rPr>
                <w:rFonts w:cs="Arial"/>
              </w:rPr>
              <w:t>–0.038***</w:t>
            </w:r>
          </w:p>
          <w:p w14:paraId="2718FCAD" w14:textId="77777777" w:rsidR="00A815CC" w:rsidRPr="0016620E" w:rsidRDefault="00A815CC" w:rsidP="002F5837">
            <w:pPr>
              <w:spacing w:line="240" w:lineRule="auto"/>
              <w:rPr>
                <w:rFonts w:cs="Arial"/>
              </w:rPr>
            </w:pPr>
            <w:r w:rsidRPr="0016620E">
              <w:rPr>
                <w:rFonts w:cs="Arial"/>
              </w:rPr>
              <w:t>(0.011)</w:t>
            </w:r>
          </w:p>
        </w:tc>
        <w:tc>
          <w:tcPr>
            <w:tcW w:w="1271" w:type="dxa"/>
            <w:tcBorders>
              <w:right w:val="nil"/>
            </w:tcBorders>
          </w:tcPr>
          <w:p w14:paraId="04A25098" w14:textId="77777777" w:rsidR="00A815CC" w:rsidRPr="0016620E" w:rsidRDefault="00A815CC" w:rsidP="002F5837">
            <w:pPr>
              <w:spacing w:line="240" w:lineRule="auto"/>
              <w:rPr>
                <w:rFonts w:cs="Arial"/>
              </w:rPr>
            </w:pPr>
            <w:r w:rsidRPr="0016620E">
              <w:rPr>
                <w:rFonts w:cs="Arial"/>
              </w:rPr>
              <w:t>–0.039***</w:t>
            </w:r>
          </w:p>
          <w:p w14:paraId="61FA7F3B" w14:textId="77777777" w:rsidR="00A815CC" w:rsidRPr="0016620E" w:rsidRDefault="00A815CC" w:rsidP="002F5837">
            <w:pPr>
              <w:spacing w:after="120" w:line="240" w:lineRule="auto"/>
              <w:rPr>
                <w:rFonts w:cs="Arial"/>
              </w:rPr>
            </w:pPr>
            <w:r w:rsidRPr="0016620E">
              <w:rPr>
                <w:rFonts w:cs="Arial"/>
              </w:rPr>
              <w:t>(0.012)</w:t>
            </w:r>
          </w:p>
        </w:tc>
      </w:tr>
      <w:tr w:rsidR="00A815CC" w:rsidRPr="0016620E" w14:paraId="32EC22C6" w14:textId="77777777" w:rsidTr="0095055E">
        <w:trPr>
          <w:jc w:val="center"/>
        </w:trPr>
        <w:tc>
          <w:tcPr>
            <w:tcW w:w="4820" w:type="dxa"/>
            <w:tcBorders>
              <w:left w:val="nil"/>
            </w:tcBorders>
          </w:tcPr>
          <w:p w14:paraId="48A9935C" w14:textId="188C3652" w:rsidR="00A815CC" w:rsidRPr="0016620E" w:rsidRDefault="00614B27" w:rsidP="002F5837">
            <w:pPr>
              <w:spacing w:line="240" w:lineRule="auto"/>
              <w:rPr>
                <w:rFonts w:cs="Arial"/>
              </w:rPr>
            </w:pPr>
            <w:r w:rsidRPr="0016620E">
              <w:rPr>
                <w:rFonts w:cs="Arial"/>
                <w:w w:val="105"/>
              </w:rPr>
              <w:t>Father unemployed for 6+ months</w:t>
            </w:r>
          </w:p>
        </w:tc>
        <w:tc>
          <w:tcPr>
            <w:tcW w:w="1417" w:type="dxa"/>
          </w:tcPr>
          <w:p w14:paraId="3898F8C2" w14:textId="3B833518" w:rsidR="00A815CC" w:rsidRPr="0016620E" w:rsidRDefault="00A4163B" w:rsidP="002F5837">
            <w:pPr>
              <w:spacing w:line="240" w:lineRule="auto"/>
              <w:rPr>
                <w:rFonts w:cs="Arial"/>
              </w:rPr>
            </w:pPr>
            <w:r w:rsidRPr="0016620E">
              <w:rPr>
                <w:rFonts w:cs="Arial"/>
              </w:rPr>
              <w:t>–0.044</w:t>
            </w:r>
          </w:p>
          <w:p w14:paraId="13F9851C" w14:textId="2A4F930A" w:rsidR="00A4163B" w:rsidRPr="0016620E" w:rsidRDefault="00A4163B" w:rsidP="002F5837">
            <w:pPr>
              <w:spacing w:line="240" w:lineRule="auto"/>
              <w:rPr>
                <w:rFonts w:cs="Arial"/>
              </w:rPr>
            </w:pPr>
            <w:r w:rsidRPr="0016620E">
              <w:rPr>
                <w:rFonts w:cs="Arial"/>
              </w:rPr>
              <w:t>(0.017)</w:t>
            </w:r>
          </w:p>
        </w:tc>
        <w:tc>
          <w:tcPr>
            <w:tcW w:w="1417" w:type="dxa"/>
          </w:tcPr>
          <w:p w14:paraId="2C87120E" w14:textId="57DEA8AB" w:rsidR="00A815CC" w:rsidRPr="0016620E" w:rsidRDefault="00A815CC" w:rsidP="002F5837">
            <w:pPr>
              <w:spacing w:line="240" w:lineRule="auto"/>
              <w:rPr>
                <w:rFonts w:cs="Arial"/>
              </w:rPr>
            </w:pPr>
            <w:r w:rsidRPr="0016620E">
              <w:rPr>
                <w:rFonts w:cs="Arial"/>
              </w:rPr>
              <w:t>0.009</w:t>
            </w:r>
          </w:p>
          <w:p w14:paraId="54CC7090" w14:textId="77777777" w:rsidR="00A815CC" w:rsidRPr="0016620E" w:rsidRDefault="00A815CC" w:rsidP="002F5837">
            <w:pPr>
              <w:spacing w:line="240" w:lineRule="auto"/>
              <w:rPr>
                <w:rFonts w:cs="Arial"/>
              </w:rPr>
            </w:pPr>
            <w:r w:rsidRPr="0016620E">
              <w:rPr>
                <w:rFonts w:cs="Arial"/>
              </w:rPr>
              <w:t>(0.017)</w:t>
            </w:r>
          </w:p>
        </w:tc>
        <w:tc>
          <w:tcPr>
            <w:tcW w:w="1271" w:type="dxa"/>
            <w:tcBorders>
              <w:right w:val="nil"/>
            </w:tcBorders>
          </w:tcPr>
          <w:p w14:paraId="4207171C" w14:textId="77777777" w:rsidR="00A815CC" w:rsidRPr="0016620E" w:rsidRDefault="00A815CC" w:rsidP="002F5837">
            <w:pPr>
              <w:spacing w:line="240" w:lineRule="auto"/>
              <w:rPr>
                <w:rFonts w:cs="Arial"/>
              </w:rPr>
            </w:pPr>
            <w:r w:rsidRPr="0016620E">
              <w:rPr>
                <w:rFonts w:cs="Arial"/>
              </w:rPr>
              <w:t>0.010</w:t>
            </w:r>
          </w:p>
          <w:p w14:paraId="250E5C00" w14:textId="77777777" w:rsidR="00A815CC" w:rsidRPr="0016620E" w:rsidRDefault="00A815CC" w:rsidP="002F5837">
            <w:pPr>
              <w:spacing w:after="120" w:line="240" w:lineRule="auto"/>
              <w:rPr>
                <w:rFonts w:cs="Arial"/>
              </w:rPr>
            </w:pPr>
            <w:r w:rsidRPr="0016620E">
              <w:rPr>
                <w:rFonts w:cs="Arial"/>
              </w:rPr>
              <w:t>(0.016)</w:t>
            </w:r>
          </w:p>
        </w:tc>
      </w:tr>
      <w:tr w:rsidR="00A815CC" w:rsidRPr="0016620E" w14:paraId="3868421B" w14:textId="77777777" w:rsidTr="0095055E">
        <w:trPr>
          <w:jc w:val="center"/>
        </w:trPr>
        <w:tc>
          <w:tcPr>
            <w:tcW w:w="4820" w:type="dxa"/>
            <w:tcBorders>
              <w:left w:val="nil"/>
              <w:bottom w:val="nil"/>
            </w:tcBorders>
          </w:tcPr>
          <w:p w14:paraId="27FED74E" w14:textId="77777777" w:rsidR="00A815CC" w:rsidRPr="0016620E" w:rsidRDefault="00A815CC" w:rsidP="002F5837">
            <w:pPr>
              <w:spacing w:line="240" w:lineRule="auto"/>
              <w:rPr>
                <w:rFonts w:cs="Arial"/>
              </w:rPr>
            </w:pPr>
            <w:r w:rsidRPr="0016620E">
              <w:rPr>
                <w:rFonts w:cs="Arial"/>
              </w:rPr>
              <w:t>Single-parent family</w:t>
            </w:r>
          </w:p>
        </w:tc>
        <w:tc>
          <w:tcPr>
            <w:tcW w:w="1417" w:type="dxa"/>
            <w:tcBorders>
              <w:bottom w:val="nil"/>
            </w:tcBorders>
          </w:tcPr>
          <w:p w14:paraId="339B7C7C" w14:textId="0321F2A7" w:rsidR="00A815CC" w:rsidRPr="0016620E" w:rsidRDefault="00A4163B" w:rsidP="002F5837">
            <w:pPr>
              <w:spacing w:line="240" w:lineRule="auto"/>
              <w:rPr>
                <w:rFonts w:cs="Arial"/>
              </w:rPr>
            </w:pPr>
            <w:r w:rsidRPr="0016620E">
              <w:rPr>
                <w:rFonts w:cs="Arial"/>
              </w:rPr>
              <w:t>–0.047</w:t>
            </w:r>
          </w:p>
          <w:p w14:paraId="15C5946F" w14:textId="1732C41B" w:rsidR="00A4163B" w:rsidRPr="0016620E" w:rsidRDefault="00A4163B" w:rsidP="002F5837">
            <w:pPr>
              <w:spacing w:line="240" w:lineRule="auto"/>
              <w:rPr>
                <w:rFonts w:cs="Arial"/>
              </w:rPr>
            </w:pPr>
            <w:r w:rsidRPr="0016620E">
              <w:rPr>
                <w:rFonts w:cs="Arial"/>
              </w:rPr>
              <w:t>(0.031)</w:t>
            </w:r>
          </w:p>
        </w:tc>
        <w:tc>
          <w:tcPr>
            <w:tcW w:w="1417" w:type="dxa"/>
            <w:tcBorders>
              <w:bottom w:val="nil"/>
            </w:tcBorders>
          </w:tcPr>
          <w:p w14:paraId="769688D9" w14:textId="6674469B" w:rsidR="00A815CC" w:rsidRPr="0016620E" w:rsidRDefault="00A815CC" w:rsidP="002F5837">
            <w:pPr>
              <w:spacing w:line="240" w:lineRule="auto"/>
              <w:rPr>
                <w:rFonts w:cs="Arial"/>
              </w:rPr>
            </w:pPr>
            <w:r w:rsidRPr="0016620E">
              <w:rPr>
                <w:rFonts w:cs="Arial"/>
              </w:rPr>
              <w:t>–0.050</w:t>
            </w:r>
          </w:p>
          <w:p w14:paraId="080CF1E9" w14:textId="77777777" w:rsidR="00A815CC" w:rsidRPr="0016620E" w:rsidRDefault="00A815CC" w:rsidP="002F5837">
            <w:pPr>
              <w:spacing w:line="240" w:lineRule="auto"/>
              <w:rPr>
                <w:rFonts w:cs="Arial"/>
              </w:rPr>
            </w:pPr>
            <w:r w:rsidRPr="0016620E">
              <w:rPr>
                <w:rFonts w:cs="Arial"/>
              </w:rPr>
              <w:t>(0.030)</w:t>
            </w:r>
          </w:p>
        </w:tc>
        <w:tc>
          <w:tcPr>
            <w:tcW w:w="1271" w:type="dxa"/>
            <w:tcBorders>
              <w:bottom w:val="nil"/>
              <w:right w:val="nil"/>
            </w:tcBorders>
          </w:tcPr>
          <w:p w14:paraId="73A91B88" w14:textId="77777777" w:rsidR="00A815CC" w:rsidRPr="0016620E" w:rsidRDefault="00A815CC" w:rsidP="002F5837">
            <w:pPr>
              <w:spacing w:line="240" w:lineRule="auto"/>
              <w:rPr>
                <w:rFonts w:cs="Arial"/>
              </w:rPr>
            </w:pPr>
            <w:r w:rsidRPr="0016620E">
              <w:rPr>
                <w:rFonts w:cs="Arial"/>
              </w:rPr>
              <w:t>–0.041</w:t>
            </w:r>
          </w:p>
          <w:p w14:paraId="399230D6" w14:textId="77777777" w:rsidR="00A815CC" w:rsidRPr="0016620E" w:rsidRDefault="00A815CC" w:rsidP="002F5837">
            <w:pPr>
              <w:spacing w:after="120" w:line="240" w:lineRule="auto"/>
              <w:rPr>
                <w:rFonts w:cs="Arial"/>
              </w:rPr>
            </w:pPr>
            <w:r w:rsidRPr="0016620E">
              <w:rPr>
                <w:rFonts w:cs="Arial"/>
              </w:rPr>
              <w:t>(0.030)</w:t>
            </w:r>
          </w:p>
        </w:tc>
      </w:tr>
      <w:tr w:rsidR="00DC273D" w:rsidRPr="0016620E" w14:paraId="2E20F497" w14:textId="77777777" w:rsidTr="0095055E">
        <w:trPr>
          <w:jc w:val="center"/>
        </w:trPr>
        <w:tc>
          <w:tcPr>
            <w:tcW w:w="4820" w:type="dxa"/>
            <w:tcBorders>
              <w:top w:val="nil"/>
              <w:left w:val="nil"/>
              <w:bottom w:val="nil"/>
            </w:tcBorders>
          </w:tcPr>
          <w:p w14:paraId="0C769C3D" w14:textId="3A43B27A" w:rsidR="00DC273D" w:rsidRPr="0016620E" w:rsidRDefault="00DC273D" w:rsidP="002F5837">
            <w:pPr>
              <w:spacing w:after="120" w:line="240" w:lineRule="auto"/>
              <w:rPr>
                <w:rFonts w:cs="Arial"/>
              </w:rPr>
            </w:pPr>
            <w:r w:rsidRPr="0016620E">
              <w:rPr>
                <w:rFonts w:cs="Arial"/>
              </w:rPr>
              <w:t>Control variables</w:t>
            </w:r>
          </w:p>
        </w:tc>
        <w:tc>
          <w:tcPr>
            <w:tcW w:w="1417" w:type="dxa"/>
            <w:tcBorders>
              <w:top w:val="nil"/>
              <w:bottom w:val="nil"/>
            </w:tcBorders>
          </w:tcPr>
          <w:p w14:paraId="3D549ACA" w14:textId="5222CA6F" w:rsidR="00DC273D" w:rsidRPr="0016620E" w:rsidRDefault="00DC273D" w:rsidP="002F5837">
            <w:pPr>
              <w:spacing w:after="120" w:line="240" w:lineRule="auto"/>
              <w:rPr>
                <w:rFonts w:cs="Arial"/>
              </w:rPr>
            </w:pPr>
            <w:r w:rsidRPr="0016620E">
              <w:rPr>
                <w:rFonts w:cs="Arial"/>
              </w:rPr>
              <w:t>No</w:t>
            </w:r>
          </w:p>
        </w:tc>
        <w:tc>
          <w:tcPr>
            <w:tcW w:w="1417" w:type="dxa"/>
            <w:tcBorders>
              <w:top w:val="nil"/>
              <w:bottom w:val="nil"/>
            </w:tcBorders>
          </w:tcPr>
          <w:p w14:paraId="71C30DEC" w14:textId="1BBCF58B" w:rsidR="00DC273D" w:rsidRPr="0016620E" w:rsidRDefault="00DC273D" w:rsidP="002F5837">
            <w:pPr>
              <w:spacing w:after="120" w:line="240" w:lineRule="auto"/>
              <w:rPr>
                <w:rFonts w:cs="Arial"/>
              </w:rPr>
            </w:pPr>
            <w:r w:rsidRPr="0016620E">
              <w:rPr>
                <w:rFonts w:cs="Arial"/>
              </w:rPr>
              <w:t>Yes</w:t>
            </w:r>
          </w:p>
        </w:tc>
        <w:tc>
          <w:tcPr>
            <w:tcW w:w="1271" w:type="dxa"/>
            <w:tcBorders>
              <w:top w:val="nil"/>
              <w:bottom w:val="nil"/>
              <w:right w:val="nil"/>
            </w:tcBorders>
          </w:tcPr>
          <w:p w14:paraId="62FA0F11" w14:textId="3B249A95" w:rsidR="00DC273D" w:rsidRPr="0016620E" w:rsidRDefault="00DC273D" w:rsidP="002F5837">
            <w:pPr>
              <w:spacing w:after="120" w:line="240" w:lineRule="auto"/>
              <w:rPr>
                <w:rFonts w:cs="Arial"/>
              </w:rPr>
            </w:pPr>
            <w:r w:rsidRPr="0016620E">
              <w:rPr>
                <w:rFonts w:cs="Arial"/>
              </w:rPr>
              <w:t>Yes</w:t>
            </w:r>
          </w:p>
        </w:tc>
      </w:tr>
      <w:tr w:rsidR="00DC273D" w:rsidRPr="0016620E" w14:paraId="11E1FCE3" w14:textId="77777777" w:rsidTr="0095055E">
        <w:trPr>
          <w:jc w:val="center"/>
        </w:trPr>
        <w:tc>
          <w:tcPr>
            <w:tcW w:w="4820" w:type="dxa"/>
            <w:tcBorders>
              <w:top w:val="nil"/>
              <w:left w:val="nil"/>
              <w:bottom w:val="single" w:sz="4" w:space="0" w:color="auto"/>
            </w:tcBorders>
          </w:tcPr>
          <w:p w14:paraId="12BCE0C6" w14:textId="080E21B0" w:rsidR="00DC273D" w:rsidRPr="0016620E" w:rsidRDefault="00DC273D" w:rsidP="002F5837">
            <w:pPr>
              <w:spacing w:after="120" w:line="240" w:lineRule="auto"/>
              <w:rPr>
                <w:rFonts w:cs="Arial"/>
              </w:rPr>
            </w:pPr>
            <w:r w:rsidRPr="0016620E">
              <w:rPr>
                <w:rFonts w:cs="Arial"/>
              </w:rPr>
              <w:t>Field of study</w:t>
            </w:r>
          </w:p>
        </w:tc>
        <w:tc>
          <w:tcPr>
            <w:tcW w:w="1417" w:type="dxa"/>
            <w:tcBorders>
              <w:top w:val="nil"/>
              <w:bottom w:val="single" w:sz="4" w:space="0" w:color="auto"/>
            </w:tcBorders>
          </w:tcPr>
          <w:p w14:paraId="3274B808" w14:textId="212F101E" w:rsidR="00DC273D" w:rsidRPr="0016620E" w:rsidRDefault="00DC273D" w:rsidP="002F5837">
            <w:pPr>
              <w:spacing w:after="120" w:line="240" w:lineRule="auto"/>
              <w:rPr>
                <w:rFonts w:cs="Arial"/>
              </w:rPr>
            </w:pPr>
            <w:r w:rsidRPr="0016620E">
              <w:rPr>
                <w:rFonts w:cs="Arial"/>
              </w:rPr>
              <w:t>No</w:t>
            </w:r>
          </w:p>
        </w:tc>
        <w:tc>
          <w:tcPr>
            <w:tcW w:w="1417" w:type="dxa"/>
            <w:tcBorders>
              <w:top w:val="nil"/>
              <w:bottom w:val="single" w:sz="4" w:space="0" w:color="auto"/>
            </w:tcBorders>
          </w:tcPr>
          <w:p w14:paraId="7307D309" w14:textId="3AE30A8A" w:rsidR="00DC273D" w:rsidRPr="0016620E" w:rsidRDefault="00DC273D" w:rsidP="002F5837">
            <w:pPr>
              <w:spacing w:after="120" w:line="240" w:lineRule="auto"/>
              <w:rPr>
                <w:rFonts w:cs="Arial"/>
              </w:rPr>
            </w:pPr>
            <w:r w:rsidRPr="0016620E">
              <w:rPr>
                <w:rFonts w:cs="Arial"/>
              </w:rPr>
              <w:t>No</w:t>
            </w:r>
          </w:p>
        </w:tc>
        <w:tc>
          <w:tcPr>
            <w:tcW w:w="1271" w:type="dxa"/>
            <w:tcBorders>
              <w:top w:val="nil"/>
              <w:bottom w:val="single" w:sz="4" w:space="0" w:color="auto"/>
              <w:right w:val="nil"/>
            </w:tcBorders>
          </w:tcPr>
          <w:p w14:paraId="0E37E893" w14:textId="3F17FDC3" w:rsidR="00DC273D" w:rsidRPr="0016620E" w:rsidRDefault="00DC273D" w:rsidP="002F5837">
            <w:pPr>
              <w:spacing w:after="120" w:line="240" w:lineRule="auto"/>
              <w:rPr>
                <w:rFonts w:cs="Arial"/>
              </w:rPr>
            </w:pPr>
            <w:r w:rsidRPr="0016620E">
              <w:rPr>
                <w:rFonts w:cs="Arial"/>
              </w:rPr>
              <w:t>Yes</w:t>
            </w:r>
          </w:p>
        </w:tc>
      </w:tr>
      <w:tr w:rsidR="000B0633" w:rsidRPr="0016620E" w14:paraId="7B5DE1DE" w14:textId="77777777" w:rsidTr="0095055E">
        <w:trPr>
          <w:jc w:val="center"/>
        </w:trPr>
        <w:tc>
          <w:tcPr>
            <w:tcW w:w="4820" w:type="dxa"/>
            <w:tcBorders>
              <w:top w:val="single" w:sz="4" w:space="0" w:color="auto"/>
              <w:left w:val="nil"/>
              <w:bottom w:val="nil"/>
              <w:right w:val="nil"/>
            </w:tcBorders>
          </w:tcPr>
          <w:p w14:paraId="25AF4DC2" w14:textId="77777777" w:rsidR="000B0633" w:rsidRPr="0016620E" w:rsidRDefault="000B0633" w:rsidP="002F5837">
            <w:pPr>
              <w:spacing w:after="120" w:line="240" w:lineRule="auto"/>
              <w:rPr>
                <w:rFonts w:cs="Arial"/>
                <w:i/>
                <w:iCs/>
              </w:rPr>
            </w:pPr>
            <w:r w:rsidRPr="0016620E">
              <w:rPr>
                <w:rFonts w:cs="Arial"/>
                <w:i/>
                <w:iCs/>
              </w:rPr>
              <w:t>Individuals</w:t>
            </w:r>
          </w:p>
        </w:tc>
        <w:tc>
          <w:tcPr>
            <w:tcW w:w="1417" w:type="dxa"/>
            <w:tcBorders>
              <w:top w:val="single" w:sz="4" w:space="0" w:color="auto"/>
              <w:left w:val="nil"/>
              <w:bottom w:val="nil"/>
              <w:right w:val="nil"/>
            </w:tcBorders>
          </w:tcPr>
          <w:p w14:paraId="16FE1FC2" w14:textId="1E72D843" w:rsidR="000B0633" w:rsidRPr="007017EF" w:rsidRDefault="000B0633" w:rsidP="002F5837">
            <w:pPr>
              <w:spacing w:after="120" w:line="240" w:lineRule="auto"/>
              <w:rPr>
                <w:rFonts w:cs="Arial"/>
              </w:rPr>
            </w:pPr>
            <w:r w:rsidRPr="007017EF">
              <w:rPr>
                <w:rFonts w:cs="Arial"/>
              </w:rPr>
              <w:t>4910</w:t>
            </w:r>
          </w:p>
        </w:tc>
        <w:tc>
          <w:tcPr>
            <w:tcW w:w="1417" w:type="dxa"/>
            <w:tcBorders>
              <w:top w:val="single" w:sz="4" w:space="0" w:color="auto"/>
              <w:left w:val="nil"/>
              <w:bottom w:val="nil"/>
              <w:right w:val="nil"/>
            </w:tcBorders>
          </w:tcPr>
          <w:p w14:paraId="5146D548" w14:textId="2E7380D5" w:rsidR="000B0633" w:rsidRPr="007017EF" w:rsidRDefault="000B0633" w:rsidP="002F5837">
            <w:pPr>
              <w:spacing w:after="120" w:line="240" w:lineRule="auto"/>
              <w:rPr>
                <w:rFonts w:cs="Arial"/>
              </w:rPr>
            </w:pPr>
            <w:r w:rsidRPr="007017EF">
              <w:rPr>
                <w:rFonts w:cs="Arial"/>
              </w:rPr>
              <w:t>4910</w:t>
            </w:r>
          </w:p>
        </w:tc>
        <w:tc>
          <w:tcPr>
            <w:tcW w:w="1271" w:type="dxa"/>
            <w:tcBorders>
              <w:top w:val="single" w:sz="4" w:space="0" w:color="auto"/>
              <w:left w:val="nil"/>
              <w:bottom w:val="nil"/>
              <w:right w:val="nil"/>
            </w:tcBorders>
          </w:tcPr>
          <w:p w14:paraId="257101C6" w14:textId="5AFD6716" w:rsidR="000B0633" w:rsidRPr="007017EF" w:rsidRDefault="000B0633" w:rsidP="002F5837">
            <w:pPr>
              <w:spacing w:after="120" w:line="240" w:lineRule="auto"/>
              <w:rPr>
                <w:rFonts w:cs="Arial"/>
              </w:rPr>
            </w:pPr>
            <w:r w:rsidRPr="007017EF">
              <w:rPr>
                <w:rFonts w:cs="Arial"/>
              </w:rPr>
              <w:t>4910</w:t>
            </w:r>
          </w:p>
        </w:tc>
      </w:tr>
      <w:tr w:rsidR="000B0633" w:rsidRPr="0016620E" w14:paraId="5E5A6FE2" w14:textId="77777777" w:rsidTr="0095055E">
        <w:trPr>
          <w:jc w:val="center"/>
        </w:trPr>
        <w:tc>
          <w:tcPr>
            <w:tcW w:w="4820" w:type="dxa"/>
            <w:tcBorders>
              <w:top w:val="nil"/>
              <w:left w:val="nil"/>
              <w:bottom w:val="single" w:sz="4" w:space="0" w:color="auto"/>
              <w:right w:val="nil"/>
            </w:tcBorders>
          </w:tcPr>
          <w:p w14:paraId="5BAEF2CA" w14:textId="77777777" w:rsidR="000B0633" w:rsidRPr="0016620E" w:rsidRDefault="000B0633" w:rsidP="002F5837">
            <w:pPr>
              <w:spacing w:after="120" w:line="240" w:lineRule="auto"/>
              <w:rPr>
                <w:rFonts w:cs="Arial"/>
                <w:i/>
                <w:iCs/>
              </w:rPr>
            </w:pPr>
            <w:r w:rsidRPr="0016620E">
              <w:rPr>
                <w:rFonts w:cs="Arial"/>
                <w:i/>
                <w:iCs/>
              </w:rPr>
              <w:t>Observations</w:t>
            </w:r>
          </w:p>
        </w:tc>
        <w:tc>
          <w:tcPr>
            <w:tcW w:w="1417" w:type="dxa"/>
            <w:tcBorders>
              <w:top w:val="nil"/>
              <w:left w:val="nil"/>
              <w:bottom w:val="single" w:sz="4" w:space="0" w:color="auto"/>
              <w:right w:val="nil"/>
            </w:tcBorders>
          </w:tcPr>
          <w:p w14:paraId="7B60C3A4" w14:textId="3826A369" w:rsidR="000B0633" w:rsidRPr="007017EF" w:rsidRDefault="000B0633" w:rsidP="002F5837">
            <w:pPr>
              <w:spacing w:after="120" w:line="240" w:lineRule="auto"/>
              <w:rPr>
                <w:rFonts w:cs="Arial"/>
              </w:rPr>
            </w:pPr>
            <w:r w:rsidRPr="007017EF">
              <w:rPr>
                <w:rFonts w:cs="Arial"/>
              </w:rPr>
              <w:t>9810</w:t>
            </w:r>
          </w:p>
        </w:tc>
        <w:tc>
          <w:tcPr>
            <w:tcW w:w="1417" w:type="dxa"/>
            <w:tcBorders>
              <w:top w:val="nil"/>
              <w:left w:val="nil"/>
              <w:bottom w:val="single" w:sz="4" w:space="0" w:color="auto"/>
              <w:right w:val="nil"/>
            </w:tcBorders>
          </w:tcPr>
          <w:p w14:paraId="61A51403" w14:textId="68EA590D" w:rsidR="000B0633" w:rsidRPr="007017EF" w:rsidRDefault="000B0633" w:rsidP="002F5837">
            <w:pPr>
              <w:spacing w:after="120" w:line="240" w:lineRule="auto"/>
              <w:rPr>
                <w:rFonts w:cs="Arial"/>
              </w:rPr>
            </w:pPr>
            <w:r w:rsidRPr="007017EF">
              <w:rPr>
                <w:rFonts w:cs="Arial"/>
              </w:rPr>
              <w:t>9810</w:t>
            </w:r>
          </w:p>
        </w:tc>
        <w:tc>
          <w:tcPr>
            <w:tcW w:w="1271" w:type="dxa"/>
            <w:tcBorders>
              <w:top w:val="nil"/>
              <w:left w:val="nil"/>
              <w:bottom w:val="single" w:sz="4" w:space="0" w:color="auto"/>
              <w:right w:val="nil"/>
            </w:tcBorders>
          </w:tcPr>
          <w:p w14:paraId="14FD8EC2" w14:textId="6CEC9E11" w:rsidR="000B0633" w:rsidRPr="007017EF" w:rsidRDefault="000B0633" w:rsidP="002F5837">
            <w:pPr>
              <w:spacing w:after="120" w:line="240" w:lineRule="auto"/>
              <w:rPr>
                <w:rFonts w:cs="Arial"/>
              </w:rPr>
            </w:pPr>
            <w:r w:rsidRPr="007017EF">
              <w:rPr>
                <w:rFonts w:cs="Arial"/>
              </w:rPr>
              <w:t>9810</w:t>
            </w:r>
          </w:p>
        </w:tc>
      </w:tr>
    </w:tbl>
    <w:p w14:paraId="73F0873F" w14:textId="77777777" w:rsidR="00014489" w:rsidRPr="0095055E" w:rsidRDefault="00014489" w:rsidP="000F54A6">
      <w:pPr>
        <w:spacing w:line="240" w:lineRule="auto"/>
        <w:ind w:left="340" w:right="284"/>
        <w:rPr>
          <w:rFonts w:eastAsia="Arial" w:cs="Arial"/>
          <w:i/>
          <w:iCs/>
          <w:w w:val="105"/>
          <w:kern w:val="0"/>
          <w:sz w:val="18"/>
          <w:szCs w:val="18"/>
          <w14:ligatures w14:val="none"/>
        </w:rPr>
      </w:pPr>
      <w:r w:rsidRPr="0095055E">
        <w:rPr>
          <w:rFonts w:eastAsia="Arial" w:cs="Arial"/>
          <w:i/>
          <w:iCs/>
          <w:w w:val="105"/>
          <w:kern w:val="0"/>
          <w:sz w:val="18"/>
          <w:szCs w:val="18"/>
          <w14:ligatures w14:val="none"/>
        </w:rPr>
        <w:t>Notes: The control variables include dummies for year of birth, gender, whether born in Australia, number of siblings, whether living in a major city, and dummies for state of residence and HILDA waves. Robust standard errors are in parentheses. *** p&lt;0.01; ** p&lt;0.05; * p&lt;0.10.</w:t>
      </w:r>
    </w:p>
    <w:p w14:paraId="14DFEA5F" w14:textId="03D7D29A" w:rsidR="004B00E6" w:rsidRPr="00E32AAB" w:rsidRDefault="00463621" w:rsidP="00721EB3">
      <w:pPr>
        <w:rPr>
          <w:w w:val="105"/>
        </w:rPr>
      </w:pPr>
      <w:r w:rsidRPr="00463621">
        <w:rPr>
          <w:w w:val="105"/>
        </w:rPr>
        <w:t xml:space="preserve">Next, we </w:t>
      </w:r>
      <w:r w:rsidR="00313CBD">
        <w:rPr>
          <w:w w:val="105"/>
        </w:rPr>
        <w:t>discuss</w:t>
      </w:r>
      <w:r w:rsidRPr="00463621">
        <w:rPr>
          <w:w w:val="105"/>
        </w:rPr>
        <w:t xml:space="preserve"> the estimated effects of </w:t>
      </w:r>
      <w:r w:rsidR="0097512D">
        <w:rPr>
          <w:w w:val="105"/>
        </w:rPr>
        <w:t>socio-economic</w:t>
      </w:r>
      <w:r w:rsidR="000E56D9">
        <w:rPr>
          <w:w w:val="105"/>
        </w:rPr>
        <w:t xml:space="preserve"> </w:t>
      </w:r>
      <w:r w:rsidR="000E56D9" w:rsidRPr="00BD38F3">
        <w:rPr>
          <w:w w:val="105"/>
        </w:rPr>
        <w:t>backgrounds</w:t>
      </w:r>
      <w:r w:rsidR="000E56D9">
        <w:rPr>
          <w:w w:val="105"/>
        </w:rPr>
        <w:t xml:space="preserve"> </w:t>
      </w:r>
      <w:r w:rsidRPr="00463621">
        <w:rPr>
          <w:w w:val="105"/>
        </w:rPr>
        <w:t xml:space="preserve">on the likelihood of </w:t>
      </w:r>
      <w:r w:rsidR="00B95DF0">
        <w:rPr>
          <w:w w:val="105"/>
        </w:rPr>
        <w:t xml:space="preserve">being </w:t>
      </w:r>
      <w:r w:rsidRPr="00463621">
        <w:rPr>
          <w:w w:val="105"/>
        </w:rPr>
        <w:t>employ</w:t>
      </w:r>
      <w:r w:rsidR="00B95DF0">
        <w:rPr>
          <w:w w:val="105"/>
        </w:rPr>
        <w:t>ed</w:t>
      </w:r>
      <w:r w:rsidRPr="00463621">
        <w:rPr>
          <w:w w:val="105"/>
        </w:rPr>
        <w:t xml:space="preserve"> in managerial or professional occupations. Table </w:t>
      </w:r>
      <w:r w:rsidR="00134586">
        <w:rPr>
          <w:w w:val="105"/>
        </w:rPr>
        <w:t>8</w:t>
      </w:r>
      <w:r w:rsidR="00134586" w:rsidRPr="00463621">
        <w:rPr>
          <w:w w:val="105"/>
        </w:rPr>
        <w:t xml:space="preserve"> </w:t>
      </w:r>
      <w:r w:rsidRPr="00463621">
        <w:rPr>
          <w:w w:val="105"/>
        </w:rPr>
        <w:t xml:space="preserve">shows that NESB graduates are </w:t>
      </w:r>
      <w:r w:rsidR="001955C5">
        <w:rPr>
          <w:w w:val="105"/>
        </w:rPr>
        <w:t xml:space="preserve">around </w:t>
      </w:r>
      <w:r w:rsidRPr="00463621">
        <w:rPr>
          <w:w w:val="105"/>
        </w:rPr>
        <w:t xml:space="preserve">14 percentage points less likely to be employed in these </w:t>
      </w:r>
      <w:r w:rsidR="00B95DF0">
        <w:rPr>
          <w:w w:val="105"/>
        </w:rPr>
        <w:t>occupations</w:t>
      </w:r>
      <w:r w:rsidRPr="00463621">
        <w:rPr>
          <w:w w:val="105"/>
        </w:rPr>
        <w:t>. This result remains robust after controlling for field</w:t>
      </w:r>
      <w:r w:rsidR="008C4B5C">
        <w:rPr>
          <w:w w:val="105"/>
        </w:rPr>
        <w:t>s</w:t>
      </w:r>
      <w:r w:rsidRPr="00463621">
        <w:rPr>
          <w:w w:val="105"/>
        </w:rPr>
        <w:t xml:space="preserve"> of study and demographic covariates</w:t>
      </w:r>
      <w:r w:rsidR="00590DAE">
        <w:rPr>
          <w:w w:val="105"/>
        </w:rPr>
        <w:t>. The fact that NESB graduates are less likely to be in a managerial positi</w:t>
      </w:r>
      <w:r w:rsidR="009B0E7D">
        <w:rPr>
          <w:w w:val="105"/>
        </w:rPr>
        <w:t>on</w:t>
      </w:r>
      <w:r w:rsidR="00590DAE">
        <w:rPr>
          <w:w w:val="105"/>
        </w:rPr>
        <w:t xml:space="preserve"> even when holding the same qualification may reflect</w:t>
      </w:r>
      <w:r w:rsidRPr="00463621">
        <w:rPr>
          <w:w w:val="105"/>
        </w:rPr>
        <w:t xml:space="preserve"> a glass ceiling effect for </w:t>
      </w:r>
      <w:r w:rsidR="00590DAE">
        <w:rPr>
          <w:w w:val="105"/>
        </w:rPr>
        <w:t>them</w:t>
      </w:r>
      <w:r w:rsidRPr="00463621">
        <w:rPr>
          <w:w w:val="105"/>
        </w:rPr>
        <w:t xml:space="preserve">. The estimates for low SES </w:t>
      </w:r>
      <w:r w:rsidR="00587895">
        <w:rPr>
          <w:w w:val="105"/>
        </w:rPr>
        <w:t xml:space="preserve">in childhood </w:t>
      </w:r>
      <w:r w:rsidRPr="00463621">
        <w:rPr>
          <w:w w:val="105"/>
        </w:rPr>
        <w:t>are also statistically significant but to a lesser extent. Specifically, workers from low</w:t>
      </w:r>
      <w:r w:rsidR="00B95DF0">
        <w:rPr>
          <w:w w:val="105"/>
        </w:rPr>
        <w:t xml:space="preserve"> </w:t>
      </w:r>
      <w:r w:rsidRPr="00463621">
        <w:rPr>
          <w:w w:val="105"/>
        </w:rPr>
        <w:t xml:space="preserve">SES backgrounds are about </w:t>
      </w:r>
      <w:r w:rsidR="00D16DED">
        <w:rPr>
          <w:w w:val="105"/>
        </w:rPr>
        <w:t>four</w:t>
      </w:r>
      <w:r w:rsidRPr="00463621">
        <w:rPr>
          <w:w w:val="105"/>
        </w:rPr>
        <w:t xml:space="preserve"> percentage points less likely to be in managerial or professional occupations compared to their higher</w:t>
      </w:r>
      <w:r w:rsidR="00B95DF0">
        <w:rPr>
          <w:w w:val="105"/>
        </w:rPr>
        <w:t xml:space="preserve"> </w:t>
      </w:r>
      <w:r w:rsidRPr="00463621">
        <w:rPr>
          <w:w w:val="105"/>
        </w:rPr>
        <w:t xml:space="preserve">SES counterparts. This </w:t>
      </w:r>
      <w:r w:rsidR="00B95DF0">
        <w:rPr>
          <w:w w:val="105"/>
        </w:rPr>
        <w:t xml:space="preserve">is </w:t>
      </w:r>
      <w:r w:rsidR="007C5E07">
        <w:rPr>
          <w:w w:val="105"/>
        </w:rPr>
        <w:t>in line</w:t>
      </w:r>
      <w:r w:rsidR="00B95DF0">
        <w:rPr>
          <w:w w:val="105"/>
        </w:rPr>
        <w:t xml:space="preserve"> </w:t>
      </w:r>
      <w:r w:rsidRPr="00463621">
        <w:rPr>
          <w:w w:val="105"/>
        </w:rPr>
        <w:t xml:space="preserve">with </w:t>
      </w:r>
      <w:r w:rsidR="00B95DF0">
        <w:rPr>
          <w:w w:val="105"/>
        </w:rPr>
        <w:t xml:space="preserve">the </w:t>
      </w:r>
      <w:r w:rsidRPr="00463621">
        <w:rPr>
          <w:w w:val="105"/>
        </w:rPr>
        <w:t xml:space="preserve">findings </w:t>
      </w:r>
      <w:r w:rsidR="00B95DF0">
        <w:rPr>
          <w:w w:val="105"/>
        </w:rPr>
        <w:t>of</w:t>
      </w:r>
      <w:r w:rsidRPr="00463621">
        <w:rPr>
          <w:w w:val="105"/>
        </w:rPr>
        <w:t xml:space="preserve"> Tomaszewski et al. (2021), which indicate</w:t>
      </w:r>
      <w:r w:rsidR="00E71197">
        <w:rPr>
          <w:w w:val="105"/>
        </w:rPr>
        <w:t>d</w:t>
      </w:r>
      <w:r w:rsidRPr="00463621">
        <w:rPr>
          <w:w w:val="105"/>
        </w:rPr>
        <w:t xml:space="preserve"> that low</w:t>
      </w:r>
      <w:r w:rsidR="00B95DF0">
        <w:rPr>
          <w:w w:val="105"/>
        </w:rPr>
        <w:t xml:space="preserve"> </w:t>
      </w:r>
      <w:r w:rsidRPr="00463621">
        <w:rPr>
          <w:w w:val="105"/>
        </w:rPr>
        <w:t>SES graduates face</w:t>
      </w:r>
      <w:r w:rsidR="00E71197">
        <w:rPr>
          <w:w w:val="105"/>
        </w:rPr>
        <w:t>d</w:t>
      </w:r>
      <w:r w:rsidRPr="00463621">
        <w:rPr>
          <w:w w:val="105"/>
        </w:rPr>
        <w:t xml:space="preserve"> disadvantages in </w:t>
      </w:r>
      <w:r w:rsidR="00433810">
        <w:rPr>
          <w:w w:val="105"/>
        </w:rPr>
        <w:t xml:space="preserve">terms of </w:t>
      </w:r>
      <w:r w:rsidRPr="00463621">
        <w:rPr>
          <w:w w:val="105"/>
        </w:rPr>
        <w:t xml:space="preserve">occupational status despite their tertiary education. </w:t>
      </w:r>
      <w:r w:rsidR="00ED76A9">
        <w:rPr>
          <w:w w:val="105"/>
        </w:rPr>
        <w:t>Table 8 shows n</w:t>
      </w:r>
      <w:r w:rsidRPr="00463621">
        <w:rPr>
          <w:w w:val="105"/>
        </w:rPr>
        <w:t xml:space="preserve">o significant correlations for the other three indicators of </w:t>
      </w:r>
      <w:r w:rsidR="0097512D">
        <w:rPr>
          <w:w w:val="105"/>
        </w:rPr>
        <w:t>socio-economic</w:t>
      </w:r>
      <w:r w:rsidR="000E56D9">
        <w:rPr>
          <w:w w:val="105"/>
        </w:rPr>
        <w:t xml:space="preserve"> </w:t>
      </w:r>
      <w:r w:rsidR="000E56D9" w:rsidRPr="00BD38F3">
        <w:rPr>
          <w:w w:val="105"/>
        </w:rPr>
        <w:t>backgrounds</w:t>
      </w:r>
      <w:r w:rsidRPr="00463621">
        <w:rPr>
          <w:w w:val="105"/>
        </w:rPr>
        <w:t>.</w:t>
      </w:r>
      <w:r w:rsidR="00B53F6D" w:rsidRPr="00E32AAB">
        <w:rPr>
          <w:w w:val="105"/>
        </w:rPr>
        <w:t xml:space="preserve"> </w:t>
      </w:r>
    </w:p>
    <w:p w14:paraId="2D365AD6" w14:textId="77777777" w:rsidR="005D3C9B" w:rsidRDefault="005D3C9B">
      <w:pPr>
        <w:spacing w:line="259" w:lineRule="auto"/>
        <w:rPr>
          <w:rFonts w:cs="Arial"/>
          <w:i/>
          <w:iCs/>
          <w:color w:val="080808"/>
        </w:rPr>
      </w:pPr>
      <w:bookmarkStart w:id="66" w:name="_Ref184722859"/>
      <w:bookmarkStart w:id="67" w:name="_Ref185012986"/>
      <w:r>
        <w:rPr>
          <w:rFonts w:cs="Arial"/>
          <w:color w:val="080808"/>
        </w:rPr>
        <w:br w:type="page"/>
      </w:r>
    </w:p>
    <w:p w14:paraId="6D2EFD4D" w14:textId="78B75B4C" w:rsidR="004B00E6" w:rsidRPr="00BF48E1" w:rsidRDefault="007F1BC5" w:rsidP="00BF48E1">
      <w:pPr>
        <w:pStyle w:val="Caption"/>
        <w:rPr>
          <w:rFonts w:cs="Arial"/>
          <w:color w:val="080808"/>
          <w:lang w:eastAsia="en-AU"/>
        </w:rPr>
      </w:pPr>
      <w:bookmarkStart w:id="68" w:name="_Toc222998792"/>
      <w:r w:rsidRPr="00BF48E1">
        <w:rPr>
          <w:rFonts w:cs="Arial"/>
          <w:color w:val="080808"/>
        </w:rPr>
        <w:lastRenderedPageBreak/>
        <w:t xml:space="preserve">Table </w:t>
      </w:r>
      <w:r w:rsidR="007C1B95" w:rsidRPr="00BF48E1">
        <w:rPr>
          <w:rFonts w:cs="Arial"/>
          <w:color w:val="080808"/>
        </w:rPr>
        <w:fldChar w:fldCharType="begin"/>
      </w:r>
      <w:r w:rsidR="007C1B95" w:rsidRPr="00BF48E1">
        <w:rPr>
          <w:rFonts w:cs="Arial"/>
          <w:color w:val="080808"/>
        </w:rPr>
        <w:instrText xml:space="preserve"> SEQ Table \* ARABIC </w:instrText>
      </w:r>
      <w:r w:rsidR="007C1B95" w:rsidRPr="00BF48E1">
        <w:rPr>
          <w:rFonts w:cs="Arial"/>
          <w:color w:val="080808"/>
        </w:rPr>
        <w:fldChar w:fldCharType="separate"/>
      </w:r>
      <w:r w:rsidR="00392C8C" w:rsidRPr="00BF48E1">
        <w:rPr>
          <w:rFonts w:cs="Arial"/>
          <w:noProof/>
          <w:color w:val="080808"/>
        </w:rPr>
        <w:t>9</w:t>
      </w:r>
      <w:r w:rsidR="007C1B95" w:rsidRPr="00BF48E1">
        <w:rPr>
          <w:rFonts w:cs="Arial"/>
          <w:color w:val="080808"/>
        </w:rPr>
        <w:fldChar w:fldCharType="end"/>
      </w:r>
      <w:bookmarkEnd w:id="66"/>
      <w:r w:rsidR="004B00E6" w:rsidRPr="00BF48E1">
        <w:rPr>
          <w:rFonts w:cs="Arial"/>
          <w:color w:val="080808"/>
          <w:lang w:eastAsia="en-AU"/>
        </w:rPr>
        <w:t xml:space="preserve">: </w:t>
      </w:r>
      <w:r w:rsidR="004B53FC" w:rsidRPr="00BF48E1">
        <w:rPr>
          <w:rFonts w:cs="Arial"/>
          <w:color w:val="080808"/>
          <w:lang w:eastAsia="en-AU"/>
        </w:rPr>
        <w:t>Log</w:t>
      </w:r>
      <w:r w:rsidR="004B53FC" w:rsidRPr="00BF48E1">
        <w:rPr>
          <w:rFonts w:cs="Arial"/>
          <w:color w:val="080808"/>
        </w:rPr>
        <w:t xml:space="preserve"> </w:t>
      </w:r>
      <w:r w:rsidR="004B00E6" w:rsidRPr="00BF48E1">
        <w:rPr>
          <w:rFonts w:cs="Arial"/>
          <w:color w:val="080808"/>
        </w:rPr>
        <w:t xml:space="preserve">weekly </w:t>
      </w:r>
      <w:r w:rsidR="003D04E9" w:rsidRPr="00BF48E1">
        <w:rPr>
          <w:rFonts w:cs="Arial"/>
          <w:color w:val="080808"/>
        </w:rPr>
        <w:t>earnings</w:t>
      </w:r>
      <w:bookmarkEnd w:id="67"/>
      <w:bookmarkEnd w:id="68"/>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4679"/>
        <w:gridCol w:w="1417"/>
        <w:gridCol w:w="1417"/>
        <w:gridCol w:w="1271"/>
      </w:tblGrid>
      <w:tr w:rsidR="00A815CC" w:rsidRPr="0016620E" w14:paraId="744A1BDB" w14:textId="77777777" w:rsidTr="0095055E">
        <w:trPr>
          <w:jc w:val="center"/>
        </w:trPr>
        <w:tc>
          <w:tcPr>
            <w:tcW w:w="4679" w:type="dxa"/>
            <w:tcBorders>
              <w:top w:val="single" w:sz="4" w:space="0" w:color="auto"/>
              <w:left w:val="nil"/>
              <w:bottom w:val="single" w:sz="4" w:space="0" w:color="auto"/>
            </w:tcBorders>
            <w:shd w:val="clear" w:color="auto" w:fill="78DED9" w:themeFill="accent1"/>
          </w:tcPr>
          <w:p w14:paraId="3EB8550E" w14:textId="77777777" w:rsidR="00A815CC" w:rsidRPr="00D75CF3" w:rsidRDefault="00A815CC" w:rsidP="002F5837">
            <w:pPr>
              <w:spacing w:after="120" w:line="240" w:lineRule="auto"/>
              <w:rPr>
                <w:rFonts w:cs="Arial"/>
                <w:b/>
                <w:bCs/>
              </w:rPr>
            </w:pPr>
          </w:p>
        </w:tc>
        <w:tc>
          <w:tcPr>
            <w:tcW w:w="1417" w:type="dxa"/>
            <w:tcBorders>
              <w:top w:val="single" w:sz="4" w:space="0" w:color="auto"/>
              <w:bottom w:val="single" w:sz="4" w:space="0" w:color="auto"/>
            </w:tcBorders>
            <w:shd w:val="clear" w:color="auto" w:fill="78DED9" w:themeFill="accent1"/>
          </w:tcPr>
          <w:p w14:paraId="346E1552" w14:textId="70B1EF12" w:rsidR="00A815CC" w:rsidRPr="00D75CF3" w:rsidRDefault="00A815CC" w:rsidP="002F5837">
            <w:pPr>
              <w:spacing w:after="120" w:line="240" w:lineRule="auto"/>
              <w:rPr>
                <w:rFonts w:cs="Arial"/>
                <w:b/>
                <w:bCs/>
              </w:rPr>
            </w:pPr>
            <w:r w:rsidRPr="00D75CF3">
              <w:rPr>
                <w:rFonts w:cs="Arial"/>
                <w:b/>
                <w:bCs/>
              </w:rPr>
              <w:t>(</w:t>
            </w:r>
            <w:proofErr w:type="spellStart"/>
            <w:r w:rsidRPr="00D75CF3">
              <w:rPr>
                <w:rFonts w:cs="Arial"/>
                <w:b/>
                <w:bCs/>
              </w:rPr>
              <w:t>i</w:t>
            </w:r>
            <w:proofErr w:type="spellEnd"/>
            <w:r w:rsidRPr="00D75CF3">
              <w:rPr>
                <w:rFonts w:cs="Arial"/>
                <w:b/>
                <w:bCs/>
              </w:rPr>
              <w:t>)</w:t>
            </w:r>
          </w:p>
        </w:tc>
        <w:tc>
          <w:tcPr>
            <w:tcW w:w="1417" w:type="dxa"/>
            <w:tcBorders>
              <w:top w:val="single" w:sz="4" w:space="0" w:color="auto"/>
              <w:bottom w:val="single" w:sz="4" w:space="0" w:color="auto"/>
            </w:tcBorders>
            <w:shd w:val="clear" w:color="auto" w:fill="78DED9" w:themeFill="accent1"/>
            <w:vAlign w:val="center"/>
          </w:tcPr>
          <w:p w14:paraId="40A3CB15" w14:textId="6ABC0672" w:rsidR="00A815CC" w:rsidRPr="00D75CF3" w:rsidRDefault="00A815CC" w:rsidP="002F5837">
            <w:pPr>
              <w:spacing w:after="120" w:line="240" w:lineRule="auto"/>
              <w:rPr>
                <w:rFonts w:cs="Arial"/>
                <w:b/>
                <w:bCs/>
              </w:rPr>
            </w:pPr>
            <w:r w:rsidRPr="00D75CF3">
              <w:rPr>
                <w:rFonts w:cs="Arial"/>
                <w:b/>
                <w:bCs/>
              </w:rPr>
              <w:t>(ii)</w:t>
            </w:r>
          </w:p>
        </w:tc>
        <w:tc>
          <w:tcPr>
            <w:tcW w:w="1271" w:type="dxa"/>
            <w:tcBorders>
              <w:top w:val="single" w:sz="4" w:space="0" w:color="auto"/>
              <w:bottom w:val="single" w:sz="4" w:space="0" w:color="auto"/>
              <w:right w:val="nil"/>
            </w:tcBorders>
            <w:shd w:val="clear" w:color="auto" w:fill="78DED9" w:themeFill="accent1"/>
            <w:vAlign w:val="center"/>
          </w:tcPr>
          <w:p w14:paraId="66B2CC07" w14:textId="02112F2A" w:rsidR="00A815CC" w:rsidRPr="00D75CF3" w:rsidRDefault="00A815CC" w:rsidP="002F5837">
            <w:pPr>
              <w:spacing w:after="120" w:line="240" w:lineRule="auto"/>
              <w:rPr>
                <w:rFonts w:cs="Arial"/>
                <w:b/>
                <w:bCs/>
              </w:rPr>
            </w:pPr>
            <w:r w:rsidRPr="00D75CF3">
              <w:rPr>
                <w:rFonts w:cs="Arial"/>
                <w:b/>
                <w:bCs/>
              </w:rPr>
              <w:t>(iii)</w:t>
            </w:r>
          </w:p>
        </w:tc>
      </w:tr>
      <w:tr w:rsidR="00A815CC" w:rsidRPr="0016620E" w14:paraId="5F449AD9" w14:textId="77777777" w:rsidTr="0095055E">
        <w:trPr>
          <w:jc w:val="center"/>
        </w:trPr>
        <w:tc>
          <w:tcPr>
            <w:tcW w:w="4679" w:type="dxa"/>
            <w:tcBorders>
              <w:top w:val="single" w:sz="4" w:space="0" w:color="auto"/>
              <w:left w:val="nil"/>
            </w:tcBorders>
          </w:tcPr>
          <w:p w14:paraId="5A1B8F4D" w14:textId="6CD01171" w:rsidR="00A815CC" w:rsidRPr="0016620E" w:rsidRDefault="003023B0" w:rsidP="002F5837">
            <w:pPr>
              <w:spacing w:line="240" w:lineRule="auto"/>
              <w:rPr>
                <w:rFonts w:cs="Arial"/>
              </w:rPr>
            </w:pPr>
            <w:r w:rsidRPr="0016620E">
              <w:rPr>
                <w:rFonts w:cs="Arial"/>
              </w:rPr>
              <w:t>Indigenous</w:t>
            </w:r>
          </w:p>
        </w:tc>
        <w:tc>
          <w:tcPr>
            <w:tcW w:w="1417" w:type="dxa"/>
            <w:tcBorders>
              <w:top w:val="single" w:sz="4" w:space="0" w:color="auto"/>
            </w:tcBorders>
          </w:tcPr>
          <w:p w14:paraId="17475E1D" w14:textId="610259D3" w:rsidR="00A815CC" w:rsidRPr="0016620E" w:rsidRDefault="00081C8F" w:rsidP="002F5837">
            <w:pPr>
              <w:spacing w:line="240" w:lineRule="auto"/>
              <w:rPr>
                <w:rFonts w:cs="Arial"/>
              </w:rPr>
            </w:pPr>
            <w:r w:rsidRPr="0016620E">
              <w:rPr>
                <w:rFonts w:cs="Arial"/>
              </w:rPr>
              <w:t>0.</w:t>
            </w:r>
            <w:r w:rsidR="005F0922" w:rsidRPr="0016620E">
              <w:rPr>
                <w:rFonts w:cs="Arial"/>
              </w:rPr>
              <w:t>16</w:t>
            </w:r>
            <w:r w:rsidR="005F0922">
              <w:rPr>
                <w:rFonts w:cs="Arial"/>
              </w:rPr>
              <w:t>0</w:t>
            </w:r>
          </w:p>
          <w:p w14:paraId="473D5F1F" w14:textId="323CD62F" w:rsidR="00081C8F" w:rsidRPr="0016620E" w:rsidRDefault="00430764" w:rsidP="002F5837">
            <w:pPr>
              <w:spacing w:line="240" w:lineRule="auto"/>
              <w:rPr>
                <w:rFonts w:cs="Arial"/>
              </w:rPr>
            </w:pPr>
            <w:r w:rsidRPr="0016620E">
              <w:rPr>
                <w:rFonts w:cs="Arial"/>
              </w:rPr>
              <w:t>(</w:t>
            </w:r>
            <w:r w:rsidR="00081C8F" w:rsidRPr="0016620E">
              <w:rPr>
                <w:rFonts w:cs="Arial"/>
              </w:rPr>
              <w:t>0.</w:t>
            </w:r>
            <w:r w:rsidR="005F0922" w:rsidRPr="0016620E">
              <w:rPr>
                <w:rFonts w:cs="Arial"/>
              </w:rPr>
              <w:t>20</w:t>
            </w:r>
            <w:r w:rsidR="005F0922">
              <w:rPr>
                <w:rFonts w:cs="Arial"/>
              </w:rPr>
              <w:t>2</w:t>
            </w:r>
            <w:r w:rsidRPr="0016620E">
              <w:rPr>
                <w:rFonts w:cs="Arial"/>
              </w:rPr>
              <w:t>)</w:t>
            </w:r>
          </w:p>
        </w:tc>
        <w:tc>
          <w:tcPr>
            <w:tcW w:w="1417" w:type="dxa"/>
            <w:tcBorders>
              <w:top w:val="single" w:sz="4" w:space="0" w:color="auto"/>
            </w:tcBorders>
          </w:tcPr>
          <w:p w14:paraId="6E5568CB" w14:textId="7E34B62A" w:rsidR="00A815CC" w:rsidRPr="0016620E" w:rsidRDefault="00A815CC" w:rsidP="002F5837">
            <w:pPr>
              <w:spacing w:line="240" w:lineRule="auto"/>
              <w:rPr>
                <w:rFonts w:cs="Arial"/>
              </w:rPr>
            </w:pPr>
            <w:r w:rsidRPr="0016620E">
              <w:rPr>
                <w:rFonts w:cs="Arial"/>
              </w:rPr>
              <w:t>0.078</w:t>
            </w:r>
          </w:p>
          <w:p w14:paraId="5DA21C32" w14:textId="62F19D71" w:rsidR="00A815CC" w:rsidRPr="0016620E" w:rsidRDefault="00A815CC" w:rsidP="002F5837">
            <w:pPr>
              <w:spacing w:line="240" w:lineRule="auto"/>
              <w:rPr>
                <w:rFonts w:cs="Arial"/>
              </w:rPr>
            </w:pPr>
            <w:r w:rsidRPr="0016620E">
              <w:rPr>
                <w:rFonts w:cs="Arial"/>
              </w:rPr>
              <w:t>(0.</w:t>
            </w:r>
            <w:r w:rsidR="002A08BE" w:rsidRPr="0016620E">
              <w:rPr>
                <w:rFonts w:cs="Arial"/>
              </w:rPr>
              <w:t>20</w:t>
            </w:r>
            <w:r w:rsidR="002A08BE">
              <w:rPr>
                <w:rFonts w:cs="Arial"/>
              </w:rPr>
              <w:t>9</w:t>
            </w:r>
            <w:r w:rsidRPr="0016620E">
              <w:rPr>
                <w:rFonts w:cs="Arial"/>
              </w:rPr>
              <w:t>)</w:t>
            </w:r>
          </w:p>
        </w:tc>
        <w:tc>
          <w:tcPr>
            <w:tcW w:w="1271" w:type="dxa"/>
            <w:tcBorders>
              <w:top w:val="single" w:sz="4" w:space="0" w:color="auto"/>
              <w:right w:val="nil"/>
            </w:tcBorders>
          </w:tcPr>
          <w:p w14:paraId="2F208C19" w14:textId="77777777" w:rsidR="00A815CC" w:rsidRPr="0016620E" w:rsidRDefault="00A815CC" w:rsidP="002F5837">
            <w:pPr>
              <w:spacing w:line="240" w:lineRule="auto"/>
              <w:rPr>
                <w:rFonts w:cs="Arial"/>
              </w:rPr>
            </w:pPr>
            <w:r w:rsidRPr="0016620E">
              <w:rPr>
                <w:rFonts w:cs="Arial"/>
              </w:rPr>
              <w:t>0.061</w:t>
            </w:r>
          </w:p>
          <w:p w14:paraId="0EAB5E12" w14:textId="6A31E61E" w:rsidR="00A815CC" w:rsidRPr="0016620E" w:rsidRDefault="00A815CC" w:rsidP="002F5837">
            <w:pPr>
              <w:spacing w:after="120" w:line="240" w:lineRule="auto"/>
              <w:rPr>
                <w:rFonts w:cs="Arial"/>
              </w:rPr>
            </w:pPr>
            <w:r w:rsidRPr="0016620E">
              <w:rPr>
                <w:rFonts w:cs="Arial"/>
              </w:rPr>
              <w:t>(0.</w:t>
            </w:r>
            <w:r w:rsidR="00CF5791" w:rsidRPr="0016620E">
              <w:rPr>
                <w:rFonts w:cs="Arial"/>
              </w:rPr>
              <w:t>21</w:t>
            </w:r>
            <w:r w:rsidR="00CF5791">
              <w:rPr>
                <w:rFonts w:cs="Arial"/>
              </w:rPr>
              <w:t>2</w:t>
            </w:r>
            <w:r w:rsidRPr="0016620E">
              <w:rPr>
                <w:rFonts w:cs="Arial"/>
              </w:rPr>
              <w:t>)</w:t>
            </w:r>
          </w:p>
        </w:tc>
      </w:tr>
      <w:tr w:rsidR="00A815CC" w:rsidRPr="0016620E" w14:paraId="4B689338" w14:textId="77777777" w:rsidTr="0095055E">
        <w:trPr>
          <w:jc w:val="center"/>
        </w:trPr>
        <w:tc>
          <w:tcPr>
            <w:tcW w:w="4679" w:type="dxa"/>
            <w:tcBorders>
              <w:left w:val="nil"/>
            </w:tcBorders>
          </w:tcPr>
          <w:p w14:paraId="65F56D84" w14:textId="77777777" w:rsidR="00A815CC" w:rsidRPr="0016620E" w:rsidRDefault="00A815CC" w:rsidP="002F5837">
            <w:pPr>
              <w:spacing w:line="240" w:lineRule="auto"/>
              <w:rPr>
                <w:rFonts w:cs="Arial"/>
              </w:rPr>
            </w:pPr>
            <w:r w:rsidRPr="0016620E">
              <w:rPr>
                <w:rFonts w:cs="Arial"/>
              </w:rPr>
              <w:t>NESB</w:t>
            </w:r>
          </w:p>
        </w:tc>
        <w:tc>
          <w:tcPr>
            <w:tcW w:w="1417" w:type="dxa"/>
          </w:tcPr>
          <w:p w14:paraId="05C11560" w14:textId="17560696" w:rsidR="00A815CC" w:rsidRPr="0016620E" w:rsidRDefault="00430764" w:rsidP="002F5837">
            <w:pPr>
              <w:spacing w:line="240" w:lineRule="auto"/>
              <w:rPr>
                <w:rFonts w:cs="Arial"/>
              </w:rPr>
            </w:pPr>
            <w:r w:rsidRPr="0016620E">
              <w:rPr>
                <w:rFonts w:cs="Arial"/>
              </w:rPr>
              <w:t>–</w:t>
            </w:r>
            <w:r w:rsidR="00081C8F" w:rsidRPr="0016620E">
              <w:rPr>
                <w:rFonts w:cs="Arial"/>
              </w:rPr>
              <w:t>0.</w:t>
            </w:r>
            <w:r w:rsidR="005F0922" w:rsidRPr="0016620E">
              <w:rPr>
                <w:rFonts w:cs="Arial"/>
              </w:rPr>
              <w:t>09</w:t>
            </w:r>
            <w:r w:rsidR="005F0922">
              <w:rPr>
                <w:rFonts w:cs="Arial"/>
              </w:rPr>
              <w:t>3</w:t>
            </w:r>
          </w:p>
          <w:p w14:paraId="2700437C" w14:textId="5A475B5E" w:rsidR="00081C8F" w:rsidRPr="0016620E" w:rsidRDefault="00081C8F" w:rsidP="002F5837">
            <w:pPr>
              <w:spacing w:line="240" w:lineRule="auto"/>
              <w:rPr>
                <w:rFonts w:cs="Arial"/>
              </w:rPr>
            </w:pPr>
            <w:r w:rsidRPr="0016620E">
              <w:rPr>
                <w:rFonts w:cs="Arial"/>
              </w:rPr>
              <w:t>(0.</w:t>
            </w:r>
            <w:r w:rsidR="005F0922" w:rsidRPr="0016620E">
              <w:rPr>
                <w:rFonts w:cs="Arial"/>
              </w:rPr>
              <w:t>07</w:t>
            </w:r>
            <w:r w:rsidR="005F0922">
              <w:rPr>
                <w:rFonts w:cs="Arial"/>
              </w:rPr>
              <w:t>4</w:t>
            </w:r>
            <w:r w:rsidRPr="0016620E">
              <w:rPr>
                <w:rFonts w:cs="Arial"/>
              </w:rPr>
              <w:t>)</w:t>
            </w:r>
          </w:p>
        </w:tc>
        <w:tc>
          <w:tcPr>
            <w:tcW w:w="1417" w:type="dxa"/>
          </w:tcPr>
          <w:p w14:paraId="1377565E" w14:textId="1876F777" w:rsidR="00A815CC" w:rsidRPr="0016620E" w:rsidRDefault="00A815CC" w:rsidP="002F5837">
            <w:pPr>
              <w:spacing w:line="240" w:lineRule="auto"/>
              <w:rPr>
                <w:rFonts w:cs="Arial"/>
              </w:rPr>
            </w:pPr>
            <w:r w:rsidRPr="0016620E">
              <w:rPr>
                <w:rFonts w:cs="Arial"/>
              </w:rPr>
              <w:t>–0.198*</w:t>
            </w:r>
          </w:p>
          <w:p w14:paraId="64391FD3" w14:textId="7E890BCC" w:rsidR="00A815CC" w:rsidRPr="0016620E" w:rsidRDefault="00A815CC" w:rsidP="002F5837">
            <w:pPr>
              <w:spacing w:line="240" w:lineRule="auto"/>
              <w:rPr>
                <w:rFonts w:cs="Arial"/>
              </w:rPr>
            </w:pPr>
            <w:r w:rsidRPr="0016620E">
              <w:rPr>
                <w:rFonts w:cs="Arial"/>
              </w:rPr>
              <w:t>(0.</w:t>
            </w:r>
            <w:r w:rsidR="002A08BE" w:rsidRPr="0016620E">
              <w:rPr>
                <w:rFonts w:cs="Arial"/>
              </w:rPr>
              <w:t>10</w:t>
            </w:r>
            <w:r w:rsidR="002A08BE">
              <w:rPr>
                <w:rFonts w:cs="Arial"/>
              </w:rPr>
              <w:t>4</w:t>
            </w:r>
            <w:r w:rsidRPr="0016620E">
              <w:rPr>
                <w:rFonts w:cs="Arial"/>
              </w:rPr>
              <w:t>)</w:t>
            </w:r>
          </w:p>
        </w:tc>
        <w:tc>
          <w:tcPr>
            <w:tcW w:w="1271" w:type="dxa"/>
            <w:tcBorders>
              <w:right w:val="nil"/>
            </w:tcBorders>
          </w:tcPr>
          <w:p w14:paraId="7E86CD05" w14:textId="6A968B77" w:rsidR="00A815CC" w:rsidRPr="0016620E" w:rsidRDefault="00A815CC" w:rsidP="002F5837">
            <w:pPr>
              <w:spacing w:line="240" w:lineRule="auto"/>
              <w:rPr>
                <w:rFonts w:cs="Arial"/>
              </w:rPr>
            </w:pPr>
            <w:r w:rsidRPr="0016620E">
              <w:rPr>
                <w:rFonts w:cs="Arial"/>
              </w:rPr>
              <w:t>–0.</w:t>
            </w:r>
            <w:r w:rsidR="00CF5791" w:rsidRPr="0016620E">
              <w:rPr>
                <w:rFonts w:cs="Arial"/>
              </w:rPr>
              <w:t>26</w:t>
            </w:r>
            <w:r w:rsidR="00CF5791">
              <w:rPr>
                <w:rFonts w:cs="Arial"/>
              </w:rPr>
              <w:t>1</w:t>
            </w:r>
            <w:r w:rsidRPr="0016620E">
              <w:rPr>
                <w:rFonts w:cs="Arial"/>
              </w:rPr>
              <w:t>**</w:t>
            </w:r>
          </w:p>
          <w:p w14:paraId="14744430" w14:textId="2C7145E6" w:rsidR="00A815CC" w:rsidRPr="0016620E" w:rsidRDefault="00A815CC" w:rsidP="002F5837">
            <w:pPr>
              <w:spacing w:after="120" w:line="240" w:lineRule="auto"/>
              <w:rPr>
                <w:rFonts w:cs="Arial"/>
              </w:rPr>
            </w:pPr>
            <w:r w:rsidRPr="0016620E">
              <w:rPr>
                <w:rFonts w:cs="Arial"/>
              </w:rPr>
              <w:t>(0.</w:t>
            </w:r>
            <w:r w:rsidR="00CF5791" w:rsidRPr="0016620E">
              <w:rPr>
                <w:rFonts w:cs="Arial"/>
              </w:rPr>
              <w:t>10</w:t>
            </w:r>
            <w:r w:rsidR="00CF5791">
              <w:rPr>
                <w:rFonts w:cs="Arial"/>
              </w:rPr>
              <w:t>2</w:t>
            </w:r>
            <w:r w:rsidRPr="0016620E">
              <w:rPr>
                <w:rFonts w:cs="Arial"/>
              </w:rPr>
              <w:t>)</w:t>
            </w:r>
          </w:p>
        </w:tc>
      </w:tr>
      <w:tr w:rsidR="00A815CC" w:rsidRPr="0016620E" w14:paraId="64B10B5B" w14:textId="77777777" w:rsidTr="0095055E">
        <w:trPr>
          <w:jc w:val="center"/>
        </w:trPr>
        <w:tc>
          <w:tcPr>
            <w:tcW w:w="4679" w:type="dxa"/>
            <w:tcBorders>
              <w:left w:val="nil"/>
            </w:tcBorders>
          </w:tcPr>
          <w:p w14:paraId="05E4A483" w14:textId="33ECFDA0" w:rsidR="00A815CC" w:rsidRPr="0016620E" w:rsidRDefault="00BF057E" w:rsidP="002F5837">
            <w:pPr>
              <w:spacing w:line="240" w:lineRule="auto"/>
              <w:rPr>
                <w:rFonts w:cs="Arial"/>
              </w:rPr>
            </w:pPr>
            <w:r>
              <w:rPr>
                <w:rFonts w:eastAsia="Arial" w:cs="Arial"/>
                <w:w w:val="105"/>
                <w14:ligatures w14:val="none"/>
              </w:rPr>
              <w:t>L</w:t>
            </w:r>
            <w:r w:rsidRPr="00276F44">
              <w:rPr>
                <w:rFonts w:eastAsia="Arial" w:cs="Arial"/>
                <w:w w:val="105"/>
                <w14:ligatures w14:val="none"/>
              </w:rPr>
              <w:t>ow</w:t>
            </w:r>
            <w:r>
              <w:rPr>
                <w:rFonts w:eastAsia="Arial" w:cs="Arial"/>
                <w:w w:val="105"/>
                <w14:ligatures w14:val="none"/>
              </w:rPr>
              <w:t xml:space="preserve"> </w:t>
            </w:r>
            <w:r w:rsidRPr="00276F44">
              <w:rPr>
                <w:rFonts w:eastAsia="Arial" w:cs="Arial"/>
                <w:w w:val="105"/>
                <w14:ligatures w14:val="none"/>
              </w:rPr>
              <w:t>SES</w:t>
            </w:r>
            <w:r>
              <w:rPr>
                <w:rFonts w:eastAsia="Arial" w:cs="Arial"/>
                <w:w w:val="105"/>
                <w14:ligatures w14:val="none"/>
              </w:rPr>
              <w:t xml:space="preserve"> in childhood</w:t>
            </w:r>
          </w:p>
        </w:tc>
        <w:tc>
          <w:tcPr>
            <w:tcW w:w="1417" w:type="dxa"/>
          </w:tcPr>
          <w:p w14:paraId="02FC1CD3" w14:textId="10935117" w:rsidR="00A815CC" w:rsidRPr="0016620E" w:rsidRDefault="00081C8F" w:rsidP="002F5837">
            <w:pPr>
              <w:spacing w:line="240" w:lineRule="auto"/>
              <w:rPr>
                <w:rFonts w:cs="Arial"/>
              </w:rPr>
            </w:pPr>
            <w:r w:rsidRPr="0016620E">
              <w:rPr>
                <w:rFonts w:cs="Arial"/>
              </w:rPr>
              <w:t>0.</w:t>
            </w:r>
            <w:r w:rsidR="005F0922" w:rsidRPr="0016620E">
              <w:rPr>
                <w:rFonts w:cs="Arial"/>
              </w:rPr>
              <w:t>05</w:t>
            </w:r>
            <w:r w:rsidR="005F0922">
              <w:rPr>
                <w:rFonts w:cs="Arial"/>
              </w:rPr>
              <w:t>7</w:t>
            </w:r>
          </w:p>
          <w:p w14:paraId="693E1950" w14:textId="7E9A8C3C" w:rsidR="00081C8F" w:rsidRPr="0016620E" w:rsidRDefault="00081C8F" w:rsidP="002F5837">
            <w:pPr>
              <w:spacing w:line="240" w:lineRule="auto"/>
              <w:rPr>
                <w:rFonts w:cs="Arial"/>
              </w:rPr>
            </w:pPr>
            <w:r w:rsidRPr="0016620E">
              <w:rPr>
                <w:rFonts w:cs="Arial"/>
              </w:rPr>
              <w:t>(0.</w:t>
            </w:r>
            <w:r w:rsidR="005F0922" w:rsidRPr="0016620E">
              <w:rPr>
                <w:rFonts w:cs="Arial"/>
              </w:rPr>
              <w:t>05</w:t>
            </w:r>
            <w:r w:rsidR="005F0922">
              <w:rPr>
                <w:rFonts w:cs="Arial"/>
              </w:rPr>
              <w:t>3</w:t>
            </w:r>
            <w:r w:rsidRPr="0016620E">
              <w:rPr>
                <w:rFonts w:cs="Arial"/>
              </w:rPr>
              <w:t>)</w:t>
            </w:r>
          </w:p>
        </w:tc>
        <w:tc>
          <w:tcPr>
            <w:tcW w:w="1417" w:type="dxa"/>
          </w:tcPr>
          <w:p w14:paraId="2F87EEE9" w14:textId="0A02D26F" w:rsidR="00A815CC" w:rsidRPr="0016620E" w:rsidRDefault="00A815CC" w:rsidP="002F5837">
            <w:pPr>
              <w:spacing w:line="240" w:lineRule="auto"/>
              <w:rPr>
                <w:rFonts w:cs="Arial"/>
              </w:rPr>
            </w:pPr>
            <w:r w:rsidRPr="0016620E">
              <w:rPr>
                <w:rFonts w:cs="Arial"/>
              </w:rPr>
              <w:t>0.</w:t>
            </w:r>
            <w:r w:rsidR="002A08BE" w:rsidRPr="0016620E">
              <w:rPr>
                <w:rFonts w:cs="Arial"/>
              </w:rPr>
              <w:t>10</w:t>
            </w:r>
            <w:r w:rsidR="002A08BE">
              <w:rPr>
                <w:rFonts w:cs="Arial"/>
              </w:rPr>
              <w:t>3</w:t>
            </w:r>
            <w:r w:rsidRPr="0016620E">
              <w:rPr>
                <w:rFonts w:cs="Arial"/>
              </w:rPr>
              <w:t>*</w:t>
            </w:r>
          </w:p>
          <w:p w14:paraId="0CE538C3" w14:textId="294FB0E3" w:rsidR="00A815CC" w:rsidRPr="0016620E" w:rsidRDefault="00A815CC" w:rsidP="002F5837">
            <w:pPr>
              <w:spacing w:line="240" w:lineRule="auto"/>
              <w:rPr>
                <w:rFonts w:cs="Arial"/>
              </w:rPr>
            </w:pPr>
            <w:r w:rsidRPr="0016620E">
              <w:rPr>
                <w:rFonts w:cs="Arial"/>
              </w:rPr>
              <w:t>(0.</w:t>
            </w:r>
            <w:r w:rsidR="002A08BE" w:rsidRPr="0016620E">
              <w:rPr>
                <w:rFonts w:cs="Arial"/>
              </w:rPr>
              <w:t>05</w:t>
            </w:r>
            <w:r w:rsidR="002A08BE">
              <w:rPr>
                <w:rFonts w:cs="Arial"/>
              </w:rPr>
              <w:t>3</w:t>
            </w:r>
            <w:r w:rsidRPr="0016620E">
              <w:rPr>
                <w:rFonts w:cs="Arial"/>
              </w:rPr>
              <w:t>)</w:t>
            </w:r>
          </w:p>
        </w:tc>
        <w:tc>
          <w:tcPr>
            <w:tcW w:w="1271" w:type="dxa"/>
            <w:tcBorders>
              <w:right w:val="nil"/>
            </w:tcBorders>
          </w:tcPr>
          <w:p w14:paraId="50BF5BB1" w14:textId="7141AFA8" w:rsidR="00A815CC" w:rsidRPr="0016620E" w:rsidRDefault="00A815CC" w:rsidP="002F5837">
            <w:pPr>
              <w:spacing w:line="240" w:lineRule="auto"/>
              <w:rPr>
                <w:rFonts w:cs="Arial"/>
              </w:rPr>
            </w:pPr>
            <w:r w:rsidRPr="0016620E">
              <w:rPr>
                <w:rFonts w:cs="Arial"/>
              </w:rPr>
              <w:t>0.</w:t>
            </w:r>
            <w:r w:rsidR="00CF5791" w:rsidRPr="0016620E">
              <w:rPr>
                <w:rFonts w:cs="Arial"/>
              </w:rPr>
              <w:t>08</w:t>
            </w:r>
            <w:r w:rsidR="00CF5791">
              <w:rPr>
                <w:rFonts w:cs="Arial"/>
              </w:rPr>
              <w:t>5</w:t>
            </w:r>
          </w:p>
          <w:p w14:paraId="582D80BF" w14:textId="77777777" w:rsidR="00A815CC" w:rsidRPr="0016620E" w:rsidRDefault="00A815CC" w:rsidP="002F5837">
            <w:pPr>
              <w:spacing w:after="120" w:line="240" w:lineRule="auto"/>
              <w:rPr>
                <w:rFonts w:cs="Arial"/>
              </w:rPr>
            </w:pPr>
            <w:r w:rsidRPr="0016620E">
              <w:rPr>
                <w:rFonts w:cs="Arial"/>
              </w:rPr>
              <w:t>(0.052)</w:t>
            </w:r>
          </w:p>
        </w:tc>
      </w:tr>
      <w:tr w:rsidR="00A815CC" w:rsidRPr="0016620E" w14:paraId="5BA6747E" w14:textId="77777777" w:rsidTr="0095055E">
        <w:trPr>
          <w:jc w:val="center"/>
        </w:trPr>
        <w:tc>
          <w:tcPr>
            <w:tcW w:w="4679" w:type="dxa"/>
            <w:tcBorders>
              <w:left w:val="nil"/>
            </w:tcBorders>
          </w:tcPr>
          <w:p w14:paraId="770D9871" w14:textId="756EE22F" w:rsidR="00A815CC" w:rsidRPr="0016620E" w:rsidRDefault="00614B27" w:rsidP="002F5837">
            <w:pPr>
              <w:spacing w:line="240" w:lineRule="auto"/>
              <w:rPr>
                <w:rFonts w:cs="Arial"/>
              </w:rPr>
            </w:pPr>
            <w:r w:rsidRPr="0016620E">
              <w:rPr>
                <w:rFonts w:cs="Arial"/>
                <w:w w:val="105"/>
              </w:rPr>
              <w:t>Father unemployed for 6+ months</w:t>
            </w:r>
          </w:p>
        </w:tc>
        <w:tc>
          <w:tcPr>
            <w:tcW w:w="1417" w:type="dxa"/>
          </w:tcPr>
          <w:p w14:paraId="58E9D4E7" w14:textId="7FFCACE6" w:rsidR="00A815CC" w:rsidRPr="0016620E" w:rsidRDefault="00081C8F" w:rsidP="002F5837">
            <w:pPr>
              <w:spacing w:line="240" w:lineRule="auto"/>
              <w:rPr>
                <w:rFonts w:cs="Arial"/>
              </w:rPr>
            </w:pPr>
            <w:r w:rsidRPr="0016620E">
              <w:rPr>
                <w:rFonts w:cs="Arial"/>
              </w:rPr>
              <w:t>0.</w:t>
            </w:r>
            <w:r w:rsidR="005F0922" w:rsidRPr="0016620E">
              <w:rPr>
                <w:rFonts w:cs="Arial"/>
              </w:rPr>
              <w:t>00</w:t>
            </w:r>
            <w:r w:rsidR="005F0922">
              <w:rPr>
                <w:rFonts w:cs="Arial"/>
              </w:rPr>
              <w:t>4</w:t>
            </w:r>
          </w:p>
          <w:p w14:paraId="4806E25C" w14:textId="1B81F0EA" w:rsidR="00081C8F" w:rsidRPr="0016620E" w:rsidRDefault="00081C8F" w:rsidP="002F5837">
            <w:pPr>
              <w:spacing w:line="240" w:lineRule="auto"/>
              <w:rPr>
                <w:rFonts w:cs="Arial"/>
              </w:rPr>
            </w:pPr>
            <w:r w:rsidRPr="0016620E">
              <w:rPr>
                <w:rFonts w:cs="Arial"/>
              </w:rPr>
              <w:t>(0.</w:t>
            </w:r>
            <w:r w:rsidR="005F0922" w:rsidRPr="0016620E">
              <w:rPr>
                <w:rFonts w:cs="Arial"/>
              </w:rPr>
              <w:t>07</w:t>
            </w:r>
            <w:r w:rsidR="005F0922">
              <w:rPr>
                <w:rFonts w:cs="Arial"/>
              </w:rPr>
              <w:t>5</w:t>
            </w:r>
            <w:r w:rsidRPr="0016620E">
              <w:rPr>
                <w:rFonts w:cs="Arial"/>
              </w:rPr>
              <w:t>)</w:t>
            </w:r>
          </w:p>
        </w:tc>
        <w:tc>
          <w:tcPr>
            <w:tcW w:w="1417" w:type="dxa"/>
          </w:tcPr>
          <w:p w14:paraId="5F9E26F4" w14:textId="6303F023" w:rsidR="00A815CC" w:rsidRPr="0016620E" w:rsidRDefault="00A815CC" w:rsidP="002F5837">
            <w:pPr>
              <w:spacing w:line="240" w:lineRule="auto"/>
              <w:rPr>
                <w:rFonts w:cs="Arial"/>
              </w:rPr>
            </w:pPr>
            <w:r w:rsidRPr="0016620E">
              <w:rPr>
                <w:rFonts w:cs="Arial"/>
              </w:rPr>
              <w:t>–0.</w:t>
            </w:r>
            <w:r w:rsidR="002A08BE" w:rsidRPr="0016620E">
              <w:rPr>
                <w:rFonts w:cs="Arial"/>
              </w:rPr>
              <w:t>01</w:t>
            </w:r>
            <w:r w:rsidR="002A08BE">
              <w:rPr>
                <w:rFonts w:cs="Arial"/>
              </w:rPr>
              <w:t>3</w:t>
            </w:r>
          </w:p>
          <w:p w14:paraId="51493AE0" w14:textId="77777777" w:rsidR="00A815CC" w:rsidRPr="0016620E" w:rsidRDefault="00A815CC" w:rsidP="002F5837">
            <w:pPr>
              <w:spacing w:line="240" w:lineRule="auto"/>
              <w:rPr>
                <w:rFonts w:cs="Arial"/>
              </w:rPr>
            </w:pPr>
            <w:r w:rsidRPr="0016620E">
              <w:rPr>
                <w:rFonts w:cs="Arial"/>
              </w:rPr>
              <w:t>(0.074)</w:t>
            </w:r>
          </w:p>
        </w:tc>
        <w:tc>
          <w:tcPr>
            <w:tcW w:w="1271" w:type="dxa"/>
            <w:tcBorders>
              <w:right w:val="nil"/>
            </w:tcBorders>
          </w:tcPr>
          <w:p w14:paraId="01649439" w14:textId="29205239" w:rsidR="00A815CC" w:rsidRPr="0016620E" w:rsidRDefault="00A815CC" w:rsidP="002F5837">
            <w:pPr>
              <w:spacing w:line="240" w:lineRule="auto"/>
              <w:rPr>
                <w:rFonts w:cs="Arial"/>
              </w:rPr>
            </w:pPr>
            <w:r w:rsidRPr="0016620E">
              <w:rPr>
                <w:rFonts w:cs="Arial"/>
              </w:rPr>
              <w:t>–0.</w:t>
            </w:r>
            <w:r w:rsidR="00CF5791" w:rsidRPr="0016620E">
              <w:rPr>
                <w:rFonts w:cs="Arial"/>
              </w:rPr>
              <w:t>01</w:t>
            </w:r>
            <w:r w:rsidR="00CF5791">
              <w:rPr>
                <w:rFonts w:cs="Arial"/>
              </w:rPr>
              <w:t>5</w:t>
            </w:r>
          </w:p>
          <w:p w14:paraId="0A96F0F4" w14:textId="77777777" w:rsidR="00A815CC" w:rsidRPr="0016620E" w:rsidRDefault="00A815CC" w:rsidP="002F5837">
            <w:pPr>
              <w:spacing w:after="120" w:line="240" w:lineRule="auto"/>
              <w:rPr>
                <w:rFonts w:cs="Arial"/>
              </w:rPr>
            </w:pPr>
            <w:r w:rsidRPr="0016620E">
              <w:rPr>
                <w:rFonts w:cs="Arial"/>
              </w:rPr>
              <w:t>(0.073)</w:t>
            </w:r>
          </w:p>
        </w:tc>
      </w:tr>
      <w:tr w:rsidR="00A815CC" w:rsidRPr="0016620E" w14:paraId="6D0C09C5" w14:textId="77777777" w:rsidTr="0095055E">
        <w:trPr>
          <w:trHeight w:val="656"/>
          <w:jc w:val="center"/>
        </w:trPr>
        <w:tc>
          <w:tcPr>
            <w:tcW w:w="4679" w:type="dxa"/>
            <w:tcBorders>
              <w:left w:val="nil"/>
              <w:bottom w:val="nil"/>
            </w:tcBorders>
          </w:tcPr>
          <w:p w14:paraId="1BCFDF6D" w14:textId="77777777" w:rsidR="00A815CC" w:rsidRPr="0016620E" w:rsidRDefault="00A815CC" w:rsidP="002F5837">
            <w:pPr>
              <w:spacing w:line="240" w:lineRule="auto"/>
              <w:rPr>
                <w:rFonts w:cs="Arial"/>
              </w:rPr>
            </w:pPr>
            <w:r w:rsidRPr="0016620E">
              <w:rPr>
                <w:rFonts w:cs="Arial"/>
              </w:rPr>
              <w:t>Single-parent family</w:t>
            </w:r>
          </w:p>
        </w:tc>
        <w:tc>
          <w:tcPr>
            <w:tcW w:w="1417" w:type="dxa"/>
            <w:tcBorders>
              <w:bottom w:val="nil"/>
            </w:tcBorders>
          </w:tcPr>
          <w:p w14:paraId="6D00A70F" w14:textId="57FF1093" w:rsidR="00A815CC" w:rsidRPr="0016620E" w:rsidRDefault="00081C8F" w:rsidP="002F5837">
            <w:pPr>
              <w:spacing w:line="240" w:lineRule="auto"/>
              <w:rPr>
                <w:rFonts w:cs="Arial"/>
              </w:rPr>
            </w:pPr>
            <w:r w:rsidRPr="0016620E">
              <w:rPr>
                <w:rFonts w:cs="Arial"/>
              </w:rPr>
              <w:t>0.</w:t>
            </w:r>
            <w:r w:rsidR="005F0922" w:rsidRPr="0016620E">
              <w:rPr>
                <w:rFonts w:cs="Arial"/>
              </w:rPr>
              <w:t>2</w:t>
            </w:r>
            <w:r w:rsidR="005F0922">
              <w:rPr>
                <w:rFonts w:cs="Arial"/>
              </w:rPr>
              <w:t>24</w:t>
            </w:r>
            <w:r w:rsidRPr="0016620E">
              <w:rPr>
                <w:rFonts w:cs="Arial"/>
              </w:rPr>
              <w:t>**</w:t>
            </w:r>
          </w:p>
          <w:p w14:paraId="29A77476" w14:textId="50B9E92B" w:rsidR="00081C8F" w:rsidRPr="0016620E" w:rsidRDefault="00081C8F" w:rsidP="002F5837">
            <w:pPr>
              <w:spacing w:line="240" w:lineRule="auto"/>
              <w:rPr>
                <w:rFonts w:cs="Arial"/>
              </w:rPr>
            </w:pPr>
            <w:r w:rsidRPr="0016620E">
              <w:rPr>
                <w:rFonts w:cs="Arial"/>
              </w:rPr>
              <w:t>(0.101)</w:t>
            </w:r>
          </w:p>
        </w:tc>
        <w:tc>
          <w:tcPr>
            <w:tcW w:w="1417" w:type="dxa"/>
            <w:tcBorders>
              <w:bottom w:val="nil"/>
            </w:tcBorders>
          </w:tcPr>
          <w:p w14:paraId="10BB2C12" w14:textId="6F2BB642" w:rsidR="00A815CC" w:rsidRPr="0016620E" w:rsidRDefault="00A815CC" w:rsidP="002F5837">
            <w:pPr>
              <w:spacing w:line="240" w:lineRule="auto"/>
              <w:rPr>
                <w:rFonts w:cs="Arial"/>
              </w:rPr>
            </w:pPr>
            <w:r w:rsidRPr="0016620E">
              <w:rPr>
                <w:rFonts w:cs="Arial"/>
              </w:rPr>
              <w:t>0.</w:t>
            </w:r>
            <w:r w:rsidR="002A08BE" w:rsidRPr="0016620E">
              <w:rPr>
                <w:rFonts w:cs="Arial"/>
              </w:rPr>
              <w:t>23</w:t>
            </w:r>
            <w:r w:rsidR="002A08BE">
              <w:rPr>
                <w:rFonts w:cs="Arial"/>
              </w:rPr>
              <w:t>9</w:t>
            </w:r>
            <w:r w:rsidRPr="0016620E">
              <w:rPr>
                <w:rFonts w:cs="Arial"/>
              </w:rPr>
              <w:t>**</w:t>
            </w:r>
          </w:p>
          <w:p w14:paraId="77966F59" w14:textId="77777777" w:rsidR="00A815CC" w:rsidRPr="0016620E" w:rsidRDefault="00A815CC" w:rsidP="002F5837">
            <w:pPr>
              <w:spacing w:line="240" w:lineRule="auto"/>
              <w:rPr>
                <w:rFonts w:cs="Arial"/>
              </w:rPr>
            </w:pPr>
            <w:r w:rsidRPr="0016620E">
              <w:rPr>
                <w:rFonts w:cs="Arial"/>
              </w:rPr>
              <w:t>(0.101)</w:t>
            </w:r>
          </w:p>
        </w:tc>
        <w:tc>
          <w:tcPr>
            <w:tcW w:w="1271" w:type="dxa"/>
            <w:tcBorders>
              <w:bottom w:val="nil"/>
              <w:right w:val="nil"/>
            </w:tcBorders>
          </w:tcPr>
          <w:p w14:paraId="613AAE1A" w14:textId="7AFC0087" w:rsidR="00A815CC" w:rsidRPr="0016620E" w:rsidRDefault="00A815CC" w:rsidP="002F5837">
            <w:pPr>
              <w:spacing w:line="240" w:lineRule="auto"/>
              <w:rPr>
                <w:rFonts w:cs="Arial"/>
              </w:rPr>
            </w:pPr>
            <w:r w:rsidRPr="0016620E">
              <w:rPr>
                <w:rFonts w:cs="Arial"/>
              </w:rPr>
              <w:t>0.</w:t>
            </w:r>
            <w:r w:rsidR="00CF5791" w:rsidRPr="0016620E">
              <w:rPr>
                <w:rFonts w:cs="Arial"/>
              </w:rPr>
              <w:t>24</w:t>
            </w:r>
            <w:r w:rsidR="00CF5791">
              <w:rPr>
                <w:rFonts w:cs="Arial"/>
              </w:rPr>
              <w:t>8</w:t>
            </w:r>
            <w:r w:rsidRPr="0016620E">
              <w:rPr>
                <w:rFonts w:cs="Arial"/>
              </w:rPr>
              <w:t>**</w:t>
            </w:r>
          </w:p>
          <w:p w14:paraId="2336168E" w14:textId="77777777" w:rsidR="00A815CC" w:rsidRPr="0016620E" w:rsidRDefault="00A815CC" w:rsidP="002F5837">
            <w:pPr>
              <w:spacing w:after="120" w:line="240" w:lineRule="auto"/>
              <w:rPr>
                <w:rFonts w:cs="Arial"/>
              </w:rPr>
            </w:pPr>
            <w:r w:rsidRPr="0016620E">
              <w:rPr>
                <w:rFonts w:cs="Arial"/>
              </w:rPr>
              <w:t>(0.100)</w:t>
            </w:r>
          </w:p>
        </w:tc>
      </w:tr>
      <w:tr w:rsidR="00DC273D" w:rsidRPr="0016620E" w14:paraId="602204E4" w14:textId="77777777" w:rsidTr="0095055E">
        <w:trPr>
          <w:jc w:val="center"/>
        </w:trPr>
        <w:tc>
          <w:tcPr>
            <w:tcW w:w="4679" w:type="dxa"/>
            <w:tcBorders>
              <w:top w:val="nil"/>
              <w:left w:val="nil"/>
              <w:bottom w:val="nil"/>
            </w:tcBorders>
          </w:tcPr>
          <w:p w14:paraId="62771688" w14:textId="51E9C520" w:rsidR="00DC273D" w:rsidRPr="0016620E" w:rsidRDefault="00DC273D" w:rsidP="002F5837">
            <w:pPr>
              <w:spacing w:after="120" w:line="240" w:lineRule="auto"/>
              <w:rPr>
                <w:rFonts w:cs="Arial"/>
              </w:rPr>
            </w:pPr>
            <w:r w:rsidRPr="0016620E">
              <w:rPr>
                <w:rFonts w:cs="Arial"/>
              </w:rPr>
              <w:t>Control variables</w:t>
            </w:r>
          </w:p>
        </w:tc>
        <w:tc>
          <w:tcPr>
            <w:tcW w:w="1417" w:type="dxa"/>
            <w:tcBorders>
              <w:top w:val="nil"/>
              <w:bottom w:val="nil"/>
            </w:tcBorders>
          </w:tcPr>
          <w:p w14:paraId="0DA8404B" w14:textId="103C4142" w:rsidR="00DC273D" w:rsidRPr="0016620E" w:rsidRDefault="00DC273D" w:rsidP="002F5837">
            <w:pPr>
              <w:spacing w:after="120" w:line="240" w:lineRule="auto"/>
              <w:rPr>
                <w:rFonts w:cs="Arial"/>
              </w:rPr>
            </w:pPr>
            <w:r w:rsidRPr="0016620E">
              <w:rPr>
                <w:rFonts w:cs="Arial"/>
              </w:rPr>
              <w:t>No</w:t>
            </w:r>
          </w:p>
        </w:tc>
        <w:tc>
          <w:tcPr>
            <w:tcW w:w="1417" w:type="dxa"/>
            <w:tcBorders>
              <w:top w:val="nil"/>
              <w:bottom w:val="nil"/>
            </w:tcBorders>
          </w:tcPr>
          <w:p w14:paraId="0AB72B68" w14:textId="72A03247" w:rsidR="00DC273D" w:rsidRPr="0016620E" w:rsidRDefault="00DC273D" w:rsidP="002F5837">
            <w:pPr>
              <w:spacing w:after="120" w:line="240" w:lineRule="auto"/>
              <w:rPr>
                <w:rFonts w:cs="Arial"/>
              </w:rPr>
            </w:pPr>
            <w:r w:rsidRPr="0016620E">
              <w:rPr>
                <w:rFonts w:cs="Arial"/>
              </w:rPr>
              <w:t>Yes</w:t>
            </w:r>
          </w:p>
        </w:tc>
        <w:tc>
          <w:tcPr>
            <w:tcW w:w="1271" w:type="dxa"/>
            <w:tcBorders>
              <w:top w:val="nil"/>
              <w:bottom w:val="nil"/>
              <w:right w:val="nil"/>
            </w:tcBorders>
          </w:tcPr>
          <w:p w14:paraId="3008E410" w14:textId="06B5BB91" w:rsidR="00DC273D" w:rsidRPr="0016620E" w:rsidRDefault="00DC273D" w:rsidP="002F5837">
            <w:pPr>
              <w:spacing w:after="120" w:line="240" w:lineRule="auto"/>
              <w:rPr>
                <w:rFonts w:cs="Arial"/>
              </w:rPr>
            </w:pPr>
            <w:r w:rsidRPr="0016620E">
              <w:rPr>
                <w:rFonts w:cs="Arial"/>
              </w:rPr>
              <w:t>Yes</w:t>
            </w:r>
          </w:p>
        </w:tc>
      </w:tr>
      <w:tr w:rsidR="00DC273D" w:rsidRPr="0016620E" w14:paraId="56B23104" w14:textId="77777777" w:rsidTr="0095055E">
        <w:trPr>
          <w:jc w:val="center"/>
        </w:trPr>
        <w:tc>
          <w:tcPr>
            <w:tcW w:w="4679" w:type="dxa"/>
            <w:tcBorders>
              <w:top w:val="nil"/>
              <w:left w:val="nil"/>
              <w:bottom w:val="single" w:sz="4" w:space="0" w:color="auto"/>
            </w:tcBorders>
          </w:tcPr>
          <w:p w14:paraId="01DFAFA6" w14:textId="0842ABDC" w:rsidR="00DC273D" w:rsidRPr="0016620E" w:rsidRDefault="00DC273D" w:rsidP="002F5837">
            <w:pPr>
              <w:spacing w:after="120" w:line="240" w:lineRule="auto"/>
              <w:rPr>
                <w:rFonts w:cs="Arial"/>
              </w:rPr>
            </w:pPr>
            <w:r w:rsidRPr="0016620E">
              <w:rPr>
                <w:rFonts w:cs="Arial"/>
              </w:rPr>
              <w:t>Field of study</w:t>
            </w:r>
          </w:p>
        </w:tc>
        <w:tc>
          <w:tcPr>
            <w:tcW w:w="1417" w:type="dxa"/>
            <w:tcBorders>
              <w:top w:val="nil"/>
              <w:bottom w:val="single" w:sz="4" w:space="0" w:color="auto"/>
            </w:tcBorders>
          </w:tcPr>
          <w:p w14:paraId="5A2C5FDD" w14:textId="00C7D198" w:rsidR="00DC273D" w:rsidRPr="0016620E" w:rsidRDefault="00DC273D" w:rsidP="002F5837">
            <w:pPr>
              <w:spacing w:after="120" w:line="240" w:lineRule="auto"/>
              <w:rPr>
                <w:rFonts w:cs="Arial"/>
              </w:rPr>
            </w:pPr>
            <w:r w:rsidRPr="0016620E">
              <w:rPr>
                <w:rFonts w:cs="Arial"/>
              </w:rPr>
              <w:t>No</w:t>
            </w:r>
          </w:p>
        </w:tc>
        <w:tc>
          <w:tcPr>
            <w:tcW w:w="1417" w:type="dxa"/>
            <w:tcBorders>
              <w:top w:val="nil"/>
              <w:bottom w:val="single" w:sz="4" w:space="0" w:color="auto"/>
            </w:tcBorders>
          </w:tcPr>
          <w:p w14:paraId="7D622820" w14:textId="4DA17A77" w:rsidR="00DC273D" w:rsidRPr="0016620E" w:rsidRDefault="00DC273D" w:rsidP="002F5837">
            <w:pPr>
              <w:spacing w:after="120" w:line="240" w:lineRule="auto"/>
              <w:rPr>
                <w:rFonts w:cs="Arial"/>
              </w:rPr>
            </w:pPr>
            <w:r w:rsidRPr="0016620E">
              <w:rPr>
                <w:rFonts w:cs="Arial"/>
              </w:rPr>
              <w:t>No</w:t>
            </w:r>
          </w:p>
        </w:tc>
        <w:tc>
          <w:tcPr>
            <w:tcW w:w="1271" w:type="dxa"/>
            <w:tcBorders>
              <w:top w:val="nil"/>
              <w:bottom w:val="single" w:sz="4" w:space="0" w:color="auto"/>
              <w:right w:val="nil"/>
            </w:tcBorders>
          </w:tcPr>
          <w:p w14:paraId="39AA5601" w14:textId="33A99582" w:rsidR="00DC273D" w:rsidRPr="0016620E" w:rsidRDefault="00DC273D" w:rsidP="002F5837">
            <w:pPr>
              <w:spacing w:after="120" w:line="240" w:lineRule="auto"/>
              <w:rPr>
                <w:rFonts w:cs="Arial"/>
              </w:rPr>
            </w:pPr>
            <w:r w:rsidRPr="0016620E">
              <w:rPr>
                <w:rFonts w:cs="Arial"/>
              </w:rPr>
              <w:t>Yes</w:t>
            </w:r>
          </w:p>
        </w:tc>
      </w:tr>
      <w:tr w:rsidR="000B0633" w:rsidRPr="0016620E" w14:paraId="50CBF235" w14:textId="77777777" w:rsidTr="0095055E">
        <w:trPr>
          <w:trHeight w:val="60"/>
          <w:jc w:val="center"/>
        </w:trPr>
        <w:tc>
          <w:tcPr>
            <w:tcW w:w="4679" w:type="dxa"/>
            <w:tcBorders>
              <w:top w:val="single" w:sz="4" w:space="0" w:color="auto"/>
              <w:left w:val="nil"/>
              <w:bottom w:val="nil"/>
              <w:right w:val="nil"/>
            </w:tcBorders>
          </w:tcPr>
          <w:p w14:paraId="0D0F3954" w14:textId="77777777" w:rsidR="000B0633" w:rsidRPr="0016620E" w:rsidRDefault="000B0633" w:rsidP="002F5837">
            <w:pPr>
              <w:spacing w:after="120" w:line="240" w:lineRule="auto"/>
              <w:rPr>
                <w:rFonts w:cs="Arial"/>
              </w:rPr>
            </w:pPr>
            <w:r w:rsidRPr="0016620E">
              <w:rPr>
                <w:rFonts w:cs="Arial"/>
              </w:rPr>
              <w:t>Individuals</w:t>
            </w:r>
          </w:p>
        </w:tc>
        <w:tc>
          <w:tcPr>
            <w:tcW w:w="1417" w:type="dxa"/>
            <w:tcBorders>
              <w:top w:val="single" w:sz="4" w:space="0" w:color="auto"/>
              <w:left w:val="nil"/>
              <w:bottom w:val="nil"/>
              <w:right w:val="nil"/>
            </w:tcBorders>
          </w:tcPr>
          <w:p w14:paraId="3CE1D40F" w14:textId="44EA66D2" w:rsidR="000B0633" w:rsidRPr="006935A7" w:rsidRDefault="000B0633" w:rsidP="002F5837">
            <w:pPr>
              <w:spacing w:after="120" w:line="240" w:lineRule="auto"/>
              <w:rPr>
                <w:rFonts w:cs="Arial"/>
              </w:rPr>
            </w:pPr>
            <w:r w:rsidRPr="006935A7">
              <w:rPr>
                <w:rFonts w:cs="Arial"/>
              </w:rPr>
              <w:t>4910</w:t>
            </w:r>
          </w:p>
        </w:tc>
        <w:tc>
          <w:tcPr>
            <w:tcW w:w="1417" w:type="dxa"/>
            <w:tcBorders>
              <w:top w:val="single" w:sz="4" w:space="0" w:color="auto"/>
              <w:left w:val="nil"/>
              <w:bottom w:val="nil"/>
              <w:right w:val="nil"/>
            </w:tcBorders>
          </w:tcPr>
          <w:p w14:paraId="1C16FAF3" w14:textId="532B1297" w:rsidR="000B0633" w:rsidRPr="006935A7" w:rsidRDefault="000B0633" w:rsidP="002F5837">
            <w:pPr>
              <w:spacing w:after="120" w:line="240" w:lineRule="auto"/>
              <w:rPr>
                <w:rFonts w:cs="Arial"/>
              </w:rPr>
            </w:pPr>
            <w:r w:rsidRPr="006935A7">
              <w:rPr>
                <w:rFonts w:cs="Arial"/>
              </w:rPr>
              <w:t>4910</w:t>
            </w:r>
          </w:p>
        </w:tc>
        <w:tc>
          <w:tcPr>
            <w:tcW w:w="1271" w:type="dxa"/>
            <w:tcBorders>
              <w:top w:val="single" w:sz="4" w:space="0" w:color="auto"/>
              <w:left w:val="nil"/>
              <w:bottom w:val="nil"/>
              <w:right w:val="nil"/>
            </w:tcBorders>
          </w:tcPr>
          <w:p w14:paraId="38A5EEEE" w14:textId="412DFEC0" w:rsidR="000B0633" w:rsidRPr="006935A7" w:rsidRDefault="000B0633" w:rsidP="002F5837">
            <w:pPr>
              <w:spacing w:after="120" w:line="240" w:lineRule="auto"/>
              <w:rPr>
                <w:rFonts w:cs="Arial"/>
              </w:rPr>
            </w:pPr>
            <w:r w:rsidRPr="006935A7">
              <w:rPr>
                <w:rFonts w:cs="Arial"/>
              </w:rPr>
              <w:t>4910</w:t>
            </w:r>
          </w:p>
        </w:tc>
      </w:tr>
      <w:tr w:rsidR="000B0633" w:rsidRPr="0016620E" w14:paraId="04D5C6B7" w14:textId="77777777" w:rsidTr="0095055E">
        <w:trPr>
          <w:jc w:val="center"/>
        </w:trPr>
        <w:tc>
          <w:tcPr>
            <w:tcW w:w="4679" w:type="dxa"/>
            <w:tcBorders>
              <w:top w:val="nil"/>
              <w:left w:val="nil"/>
              <w:bottom w:val="single" w:sz="4" w:space="0" w:color="auto"/>
              <w:right w:val="nil"/>
            </w:tcBorders>
          </w:tcPr>
          <w:p w14:paraId="3B17BB9D" w14:textId="77777777" w:rsidR="000B0633" w:rsidRPr="0016620E" w:rsidRDefault="000B0633" w:rsidP="002F5837">
            <w:pPr>
              <w:spacing w:after="120" w:line="240" w:lineRule="auto"/>
              <w:rPr>
                <w:rFonts w:cs="Arial"/>
              </w:rPr>
            </w:pPr>
            <w:r w:rsidRPr="0016620E">
              <w:rPr>
                <w:rFonts w:cs="Arial"/>
              </w:rPr>
              <w:t>Observations</w:t>
            </w:r>
          </w:p>
        </w:tc>
        <w:tc>
          <w:tcPr>
            <w:tcW w:w="1417" w:type="dxa"/>
            <w:tcBorders>
              <w:top w:val="nil"/>
              <w:left w:val="nil"/>
              <w:bottom w:val="single" w:sz="4" w:space="0" w:color="auto"/>
              <w:right w:val="nil"/>
            </w:tcBorders>
          </w:tcPr>
          <w:p w14:paraId="5CE196CD" w14:textId="4C394F9C" w:rsidR="000B0633" w:rsidRPr="006935A7" w:rsidRDefault="000B0633" w:rsidP="002F5837">
            <w:pPr>
              <w:spacing w:after="120" w:line="240" w:lineRule="auto"/>
              <w:rPr>
                <w:rFonts w:cs="Arial"/>
              </w:rPr>
            </w:pPr>
            <w:r w:rsidRPr="006935A7">
              <w:rPr>
                <w:rFonts w:cs="Arial"/>
              </w:rPr>
              <w:t>9810</w:t>
            </w:r>
          </w:p>
        </w:tc>
        <w:tc>
          <w:tcPr>
            <w:tcW w:w="1417" w:type="dxa"/>
            <w:tcBorders>
              <w:top w:val="nil"/>
              <w:left w:val="nil"/>
              <w:bottom w:val="single" w:sz="4" w:space="0" w:color="auto"/>
              <w:right w:val="nil"/>
            </w:tcBorders>
          </w:tcPr>
          <w:p w14:paraId="18854024" w14:textId="73C6EEC6" w:rsidR="000B0633" w:rsidRPr="006935A7" w:rsidRDefault="000B0633" w:rsidP="002F5837">
            <w:pPr>
              <w:spacing w:after="120" w:line="240" w:lineRule="auto"/>
              <w:rPr>
                <w:rFonts w:cs="Arial"/>
              </w:rPr>
            </w:pPr>
            <w:r w:rsidRPr="006935A7">
              <w:rPr>
                <w:rFonts w:cs="Arial"/>
              </w:rPr>
              <w:t>9810</w:t>
            </w:r>
          </w:p>
        </w:tc>
        <w:tc>
          <w:tcPr>
            <w:tcW w:w="1271" w:type="dxa"/>
            <w:tcBorders>
              <w:top w:val="nil"/>
              <w:left w:val="nil"/>
              <w:bottom w:val="single" w:sz="4" w:space="0" w:color="auto"/>
              <w:right w:val="nil"/>
            </w:tcBorders>
          </w:tcPr>
          <w:p w14:paraId="4AFA7134" w14:textId="231BA577" w:rsidR="000B0633" w:rsidRPr="006935A7" w:rsidRDefault="000B0633" w:rsidP="002F5837">
            <w:pPr>
              <w:spacing w:after="120" w:line="240" w:lineRule="auto"/>
              <w:rPr>
                <w:rFonts w:cs="Arial"/>
              </w:rPr>
            </w:pPr>
            <w:r w:rsidRPr="006935A7">
              <w:rPr>
                <w:rFonts w:cs="Arial"/>
              </w:rPr>
              <w:t>9810</w:t>
            </w:r>
          </w:p>
        </w:tc>
      </w:tr>
    </w:tbl>
    <w:p w14:paraId="6D817F3C" w14:textId="77777777" w:rsidR="00014489" w:rsidRPr="0095055E" w:rsidRDefault="00014489" w:rsidP="000F54A6">
      <w:pPr>
        <w:spacing w:line="240" w:lineRule="auto"/>
        <w:ind w:left="340" w:right="284"/>
        <w:rPr>
          <w:rFonts w:eastAsia="Arial" w:cs="Arial"/>
          <w:i/>
          <w:iCs/>
          <w:w w:val="105"/>
          <w:kern w:val="0"/>
          <w:sz w:val="18"/>
          <w:szCs w:val="18"/>
          <w14:ligatures w14:val="none"/>
        </w:rPr>
      </w:pPr>
      <w:r w:rsidRPr="0095055E">
        <w:rPr>
          <w:rFonts w:eastAsia="Arial" w:cs="Arial"/>
          <w:i/>
          <w:iCs/>
          <w:w w:val="105"/>
          <w:kern w:val="0"/>
          <w:sz w:val="18"/>
          <w:szCs w:val="18"/>
          <w14:ligatures w14:val="none"/>
        </w:rPr>
        <w:t>Notes: The control variables include dummies for year of birth, gender, whether born in Australia, number of siblings, whether living in a major city, and dummies for state of residence and HILDA waves. Robust standard errors are in parentheses. *** p&lt;0.01; ** p&lt;0.05; * p&lt;0.10.</w:t>
      </w:r>
    </w:p>
    <w:p w14:paraId="415DEC84" w14:textId="55AB9BF9" w:rsidR="00AA3D40" w:rsidRDefault="00276F44" w:rsidP="00721EB3">
      <w:pPr>
        <w:rPr>
          <w:w w:val="105"/>
        </w:rPr>
      </w:pPr>
      <w:r w:rsidRPr="00276F44">
        <w:rPr>
          <w:w w:val="105"/>
        </w:rPr>
        <w:t xml:space="preserve">Table </w:t>
      </w:r>
      <w:r w:rsidR="00134586">
        <w:rPr>
          <w:w w:val="105"/>
        </w:rPr>
        <w:t>9</w:t>
      </w:r>
      <w:r w:rsidR="00134586" w:rsidRPr="00276F44">
        <w:rPr>
          <w:w w:val="105"/>
        </w:rPr>
        <w:t xml:space="preserve"> </w:t>
      </w:r>
      <w:r w:rsidR="005906E7">
        <w:rPr>
          <w:w w:val="105"/>
        </w:rPr>
        <w:t>displays</w:t>
      </w:r>
      <w:r w:rsidRPr="00276F44">
        <w:rPr>
          <w:w w:val="105"/>
        </w:rPr>
        <w:t xml:space="preserve"> the estimated effects of </w:t>
      </w:r>
      <w:r w:rsidR="0097512D">
        <w:rPr>
          <w:w w:val="105"/>
        </w:rPr>
        <w:t>socio-economic</w:t>
      </w:r>
      <w:r w:rsidR="000E56D9">
        <w:rPr>
          <w:w w:val="105"/>
        </w:rPr>
        <w:t xml:space="preserve"> </w:t>
      </w:r>
      <w:r w:rsidR="000E56D9" w:rsidRPr="00BD38F3">
        <w:rPr>
          <w:w w:val="105"/>
        </w:rPr>
        <w:t>backgrounds</w:t>
      </w:r>
      <w:r w:rsidR="000E56D9">
        <w:rPr>
          <w:w w:val="105"/>
        </w:rPr>
        <w:t xml:space="preserve"> </w:t>
      </w:r>
      <w:r w:rsidRPr="00276F44">
        <w:rPr>
          <w:w w:val="105"/>
        </w:rPr>
        <w:t xml:space="preserve">on the gross weekly earnings of Australian graduates, which is arguably one of the most important labour market outcomes. </w:t>
      </w:r>
      <w:r w:rsidR="003866ED">
        <w:rPr>
          <w:w w:val="105"/>
        </w:rPr>
        <w:t xml:space="preserve">There are a few interesting findings. </w:t>
      </w:r>
      <w:r w:rsidRPr="00276F44">
        <w:rPr>
          <w:w w:val="105"/>
        </w:rPr>
        <w:t xml:space="preserve">First, workers from single-parent families earn </w:t>
      </w:r>
      <w:r w:rsidR="00E24BBE">
        <w:rPr>
          <w:w w:val="105"/>
        </w:rPr>
        <w:t>around</w:t>
      </w:r>
      <w:r w:rsidRPr="00276F44">
        <w:rPr>
          <w:w w:val="105"/>
        </w:rPr>
        <w:t xml:space="preserve"> 22% more than those from two-parent families when no covariates are controlled for. This earnings premium </w:t>
      </w:r>
      <w:r w:rsidR="005906E7">
        <w:rPr>
          <w:w w:val="105"/>
        </w:rPr>
        <w:t>increases slightly</w:t>
      </w:r>
      <w:r w:rsidRPr="00276F44">
        <w:rPr>
          <w:w w:val="105"/>
        </w:rPr>
        <w:t xml:space="preserve"> </w:t>
      </w:r>
      <w:r w:rsidR="006B0F98">
        <w:rPr>
          <w:w w:val="105"/>
        </w:rPr>
        <w:t>when more control</w:t>
      </w:r>
      <w:r w:rsidR="00E71197">
        <w:rPr>
          <w:w w:val="105"/>
        </w:rPr>
        <w:t xml:space="preserve"> variables</w:t>
      </w:r>
      <w:r w:rsidRPr="00276F44">
        <w:rPr>
          <w:w w:val="105"/>
        </w:rPr>
        <w:t xml:space="preserve"> </w:t>
      </w:r>
      <w:r w:rsidR="00E33413">
        <w:rPr>
          <w:w w:val="105"/>
        </w:rPr>
        <w:t xml:space="preserve">are included </w:t>
      </w:r>
      <w:r w:rsidRPr="00276F44">
        <w:rPr>
          <w:w w:val="105"/>
        </w:rPr>
        <w:t xml:space="preserve">in columns (ii) and (iii). </w:t>
      </w:r>
      <w:r w:rsidR="001641F6" w:rsidRPr="001641F6">
        <w:rPr>
          <w:w w:val="105"/>
        </w:rPr>
        <w:t>The earnings advantage observed for graduates from single-parent families may reflect a selection effect. Students from disadvantaged backgrounds encounter greater barriers to accessing higher education, and those who successfully complete tertiary study are likely to possess unobservable positive attributes that translate into superior labour market outcomes</w:t>
      </w:r>
      <w:r w:rsidRPr="00276F44">
        <w:rPr>
          <w:w w:val="105"/>
        </w:rPr>
        <w:t>, as suggested by Li et al. (2017).</w:t>
      </w:r>
      <w:r w:rsidR="00B74995">
        <w:rPr>
          <w:w w:val="105"/>
        </w:rPr>
        <w:t xml:space="preserve"> </w:t>
      </w:r>
      <w:r w:rsidRPr="00276F44">
        <w:rPr>
          <w:w w:val="105"/>
        </w:rPr>
        <w:t>Second, the earnings differential between NESB and ESB workers is statistically insignificant in column (</w:t>
      </w:r>
      <w:proofErr w:type="spellStart"/>
      <w:r w:rsidRPr="00276F44">
        <w:rPr>
          <w:w w:val="105"/>
        </w:rPr>
        <w:t>i</w:t>
      </w:r>
      <w:proofErr w:type="spellEnd"/>
      <w:r w:rsidRPr="00276F44">
        <w:rPr>
          <w:w w:val="105"/>
        </w:rPr>
        <w:t xml:space="preserve">), but it becomes significantly larger after controlling for demographic covariates. Specifically, column (ii) shows that NESB workers earn 20% less than their ESB counterparts, which is lower than the short-term earnings </w:t>
      </w:r>
      <w:r w:rsidR="005906E7">
        <w:rPr>
          <w:w w:val="105"/>
        </w:rPr>
        <w:t>differential</w:t>
      </w:r>
      <w:r w:rsidRPr="00276F44">
        <w:rPr>
          <w:w w:val="105"/>
        </w:rPr>
        <w:t xml:space="preserve"> of 26% </w:t>
      </w:r>
      <w:r w:rsidR="008C4B5C">
        <w:rPr>
          <w:w w:val="105"/>
        </w:rPr>
        <w:t>reported in</w:t>
      </w:r>
      <w:r w:rsidRPr="00276F44">
        <w:rPr>
          <w:w w:val="105"/>
        </w:rPr>
        <w:t xml:space="preserve"> Li et al. (2017). </w:t>
      </w:r>
      <w:r w:rsidR="00776209">
        <w:rPr>
          <w:w w:val="105"/>
        </w:rPr>
        <w:t xml:space="preserve">Using population-wide linked administrative data from Australia, </w:t>
      </w:r>
      <w:r w:rsidR="0097141D">
        <w:rPr>
          <w:w w:val="105"/>
        </w:rPr>
        <w:t>Zajac</w:t>
      </w:r>
      <w:r w:rsidR="006C0505">
        <w:rPr>
          <w:w w:val="105"/>
        </w:rPr>
        <w:t xml:space="preserve"> et al. (2023) similarly found that </w:t>
      </w:r>
      <w:r w:rsidR="006C0505" w:rsidRPr="006C0505">
        <w:rPr>
          <w:w w:val="105"/>
        </w:rPr>
        <w:t>among students from disadvantaged social backgrounds</w:t>
      </w:r>
      <w:r w:rsidR="006C0505">
        <w:rPr>
          <w:w w:val="105"/>
        </w:rPr>
        <w:t xml:space="preserve">, </w:t>
      </w:r>
      <w:r w:rsidR="006C0505" w:rsidRPr="006C0505">
        <w:rPr>
          <w:w w:val="105"/>
        </w:rPr>
        <w:t xml:space="preserve">NESB graduates experience </w:t>
      </w:r>
      <w:r w:rsidR="00D90FA3" w:rsidRPr="00D90FA3">
        <w:rPr>
          <w:w w:val="105"/>
        </w:rPr>
        <w:t xml:space="preserve">comparatively greater </w:t>
      </w:r>
      <w:r w:rsidR="0062458B">
        <w:rPr>
          <w:w w:val="105"/>
        </w:rPr>
        <w:t xml:space="preserve">labour market </w:t>
      </w:r>
      <w:r w:rsidR="00D90FA3">
        <w:rPr>
          <w:w w:val="105"/>
        </w:rPr>
        <w:t>disadvantages</w:t>
      </w:r>
      <w:r w:rsidR="006C0505" w:rsidRPr="006C0505">
        <w:rPr>
          <w:w w:val="105"/>
        </w:rPr>
        <w:t xml:space="preserve"> relative to their comparison group</w:t>
      </w:r>
      <w:r w:rsidR="00AA3D40" w:rsidRPr="00AA3D40">
        <w:rPr>
          <w:w w:val="105"/>
        </w:rPr>
        <w:t>.</w:t>
      </w:r>
      <w:r w:rsidR="006C0505">
        <w:rPr>
          <w:rStyle w:val="FootnoteReference"/>
          <w:rFonts w:eastAsia="Arial" w:cs="Arial"/>
          <w:w w:val="105"/>
          <w:kern w:val="0"/>
          <w14:ligatures w14:val="none"/>
        </w:rPr>
        <w:footnoteReference w:id="15"/>
      </w:r>
    </w:p>
    <w:p w14:paraId="496CDE24" w14:textId="584ADF45" w:rsidR="00276F44" w:rsidRDefault="00A071B9" w:rsidP="00721EB3">
      <w:pPr>
        <w:rPr>
          <w:w w:val="105"/>
        </w:rPr>
      </w:pPr>
      <w:r>
        <w:rPr>
          <w:w w:val="105"/>
        </w:rPr>
        <w:t>In column (iii) of Table 9, a</w:t>
      </w:r>
      <w:r w:rsidR="00276F44" w:rsidRPr="00276F44">
        <w:rPr>
          <w:w w:val="105"/>
        </w:rPr>
        <w:t xml:space="preserve">fter controlling for academic disciplines, the earnings gap </w:t>
      </w:r>
      <w:r w:rsidR="009B0E7D">
        <w:rPr>
          <w:w w:val="105"/>
        </w:rPr>
        <w:t xml:space="preserve">between ESB and NESB </w:t>
      </w:r>
      <w:r w:rsidR="00E82E36">
        <w:rPr>
          <w:w w:val="105"/>
        </w:rPr>
        <w:t xml:space="preserve">graduates </w:t>
      </w:r>
      <w:r w:rsidR="00276F44" w:rsidRPr="00276F44">
        <w:rPr>
          <w:w w:val="105"/>
        </w:rPr>
        <w:t xml:space="preserve">widens to 26%. </w:t>
      </w:r>
      <w:r w:rsidR="00F12F5A">
        <w:rPr>
          <w:w w:val="105"/>
        </w:rPr>
        <w:t>These results suggest that NESB workers face persistent disadvantages in the labour market, even when they are more likely to be enrol</w:t>
      </w:r>
      <w:r w:rsidR="009B0E7D">
        <w:rPr>
          <w:w w:val="105"/>
        </w:rPr>
        <w:t>led</w:t>
      </w:r>
      <w:r w:rsidR="00F12F5A">
        <w:rPr>
          <w:w w:val="105"/>
        </w:rPr>
        <w:t xml:space="preserve"> in prestigious fields of study. T</w:t>
      </w:r>
      <w:r w:rsidR="00276F44" w:rsidRPr="00276F44">
        <w:rPr>
          <w:w w:val="105"/>
        </w:rPr>
        <w:t xml:space="preserve">he earnings disadvantage faced by </w:t>
      </w:r>
      <w:r w:rsidR="00276F44" w:rsidRPr="00276F44">
        <w:rPr>
          <w:w w:val="105"/>
        </w:rPr>
        <w:lastRenderedPageBreak/>
        <w:t xml:space="preserve">NESB workers </w:t>
      </w:r>
      <w:r w:rsidR="00F12F5A">
        <w:rPr>
          <w:w w:val="105"/>
        </w:rPr>
        <w:t xml:space="preserve">have been </w:t>
      </w:r>
      <w:r w:rsidR="00276F44" w:rsidRPr="00276F44">
        <w:rPr>
          <w:w w:val="105"/>
        </w:rPr>
        <w:t xml:space="preserve">partly </w:t>
      </w:r>
      <w:r w:rsidR="00F12F5A">
        <w:rPr>
          <w:w w:val="105"/>
        </w:rPr>
        <w:t>disguised</w:t>
      </w:r>
      <w:r w:rsidR="00276F44" w:rsidRPr="00276F44">
        <w:rPr>
          <w:w w:val="105"/>
        </w:rPr>
        <w:t xml:space="preserve"> by </w:t>
      </w:r>
      <w:r w:rsidR="00F12F5A">
        <w:rPr>
          <w:w w:val="105"/>
        </w:rPr>
        <w:t xml:space="preserve">the fact that they often graduate from high-paying </w:t>
      </w:r>
      <w:r w:rsidR="00276F44" w:rsidRPr="00276F44">
        <w:rPr>
          <w:w w:val="105"/>
        </w:rPr>
        <w:t>fields of study.</w:t>
      </w:r>
      <w:bookmarkStart w:id="69" w:name="_Ref184722891"/>
      <w:bookmarkStart w:id="70" w:name="_Ref185013048"/>
      <w:r w:rsidR="00B74995">
        <w:rPr>
          <w:w w:val="105"/>
        </w:rPr>
        <w:t xml:space="preserve"> </w:t>
      </w:r>
      <w:r w:rsidR="00E9097C">
        <w:rPr>
          <w:w w:val="105"/>
        </w:rPr>
        <w:t>Finally</w:t>
      </w:r>
      <w:r w:rsidR="00276F44" w:rsidRPr="00276F44">
        <w:rPr>
          <w:w w:val="105"/>
        </w:rPr>
        <w:t xml:space="preserve">, the other </w:t>
      </w:r>
      <w:r w:rsidR="00487CF5">
        <w:rPr>
          <w:w w:val="105"/>
        </w:rPr>
        <w:t xml:space="preserve">three </w:t>
      </w:r>
      <w:r w:rsidR="00276F44" w:rsidRPr="00276F44">
        <w:rPr>
          <w:w w:val="105"/>
        </w:rPr>
        <w:t xml:space="preserve">measures of </w:t>
      </w:r>
      <w:r w:rsidR="0097512D">
        <w:rPr>
          <w:w w:val="105"/>
        </w:rPr>
        <w:t>socio-economic</w:t>
      </w:r>
      <w:r w:rsidR="00CB11C1">
        <w:rPr>
          <w:w w:val="105"/>
        </w:rPr>
        <w:t xml:space="preserve"> </w:t>
      </w:r>
      <w:r w:rsidR="00CB11C1" w:rsidRPr="00BD38F3">
        <w:rPr>
          <w:w w:val="105"/>
        </w:rPr>
        <w:t>backgrounds</w:t>
      </w:r>
      <w:r w:rsidR="00CB11C1">
        <w:rPr>
          <w:w w:val="105"/>
        </w:rPr>
        <w:t xml:space="preserve"> </w:t>
      </w:r>
      <w:r w:rsidR="00276F44" w:rsidRPr="00276F44">
        <w:rPr>
          <w:w w:val="105"/>
        </w:rPr>
        <w:t xml:space="preserve">show </w:t>
      </w:r>
      <w:r w:rsidR="009B0E7D">
        <w:rPr>
          <w:w w:val="105"/>
        </w:rPr>
        <w:t>little</w:t>
      </w:r>
      <w:r w:rsidR="009B0E7D" w:rsidRPr="00276F44">
        <w:rPr>
          <w:w w:val="105"/>
        </w:rPr>
        <w:t xml:space="preserve"> </w:t>
      </w:r>
      <w:r w:rsidR="00276F44" w:rsidRPr="00276F44">
        <w:rPr>
          <w:w w:val="105"/>
        </w:rPr>
        <w:t xml:space="preserve">statistically significant relationship with weekly earnings. </w:t>
      </w:r>
    </w:p>
    <w:p w14:paraId="2735D51D" w14:textId="7CEA0644" w:rsidR="004B00E6" w:rsidRPr="00BF48E1" w:rsidRDefault="00320C49" w:rsidP="0095055E">
      <w:pPr>
        <w:pStyle w:val="Caption"/>
        <w:rPr>
          <w:rFonts w:cs="Arial"/>
          <w:color w:val="080808"/>
          <w:lang w:eastAsia="en-AU"/>
        </w:rPr>
      </w:pPr>
      <w:bookmarkStart w:id="71" w:name="_Toc222998793"/>
      <w:bookmarkEnd w:id="69"/>
      <w:bookmarkEnd w:id="70"/>
      <w:r w:rsidRPr="00BF48E1">
        <w:t xml:space="preserve">Table </w:t>
      </w:r>
      <w:r w:rsidRPr="00BF48E1">
        <w:fldChar w:fldCharType="begin"/>
      </w:r>
      <w:r w:rsidRPr="00BF48E1">
        <w:instrText xml:space="preserve"> SEQ Table \* ARABIC </w:instrText>
      </w:r>
      <w:r w:rsidRPr="00BF48E1">
        <w:fldChar w:fldCharType="separate"/>
      </w:r>
      <w:r w:rsidR="00392C8C" w:rsidRPr="00BF48E1">
        <w:rPr>
          <w:noProof/>
        </w:rPr>
        <w:t>10</w:t>
      </w:r>
      <w:r w:rsidRPr="00BF48E1">
        <w:fldChar w:fldCharType="end"/>
      </w:r>
      <w:r w:rsidRPr="00BF48E1">
        <w:t xml:space="preserve">: </w:t>
      </w:r>
      <w:r w:rsidR="004B00E6" w:rsidRPr="00BF48E1">
        <w:rPr>
          <w:rFonts w:cs="Arial"/>
          <w:color w:val="080808"/>
          <w:lang w:eastAsia="en-AU"/>
        </w:rPr>
        <w:t>Job satisfaction</w:t>
      </w:r>
      <w:bookmarkEnd w:id="71"/>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4679"/>
        <w:gridCol w:w="1417"/>
        <w:gridCol w:w="1417"/>
        <w:gridCol w:w="1271"/>
      </w:tblGrid>
      <w:tr w:rsidR="00A815CC" w:rsidRPr="0016620E" w14:paraId="04D87C13" w14:textId="77777777" w:rsidTr="0095055E">
        <w:trPr>
          <w:jc w:val="center"/>
        </w:trPr>
        <w:tc>
          <w:tcPr>
            <w:tcW w:w="4679" w:type="dxa"/>
            <w:tcBorders>
              <w:top w:val="single" w:sz="4" w:space="0" w:color="auto"/>
              <w:left w:val="nil"/>
              <w:bottom w:val="single" w:sz="4" w:space="0" w:color="auto"/>
            </w:tcBorders>
            <w:shd w:val="clear" w:color="auto" w:fill="78DED9" w:themeFill="accent1"/>
          </w:tcPr>
          <w:p w14:paraId="573D7B8C" w14:textId="77777777" w:rsidR="00A815CC" w:rsidRPr="00D75CF3" w:rsidRDefault="00A815CC" w:rsidP="002F5837">
            <w:pPr>
              <w:spacing w:after="120" w:line="240" w:lineRule="auto"/>
              <w:rPr>
                <w:rFonts w:cs="Arial"/>
                <w:b/>
                <w:bCs/>
              </w:rPr>
            </w:pPr>
          </w:p>
        </w:tc>
        <w:tc>
          <w:tcPr>
            <w:tcW w:w="1417" w:type="dxa"/>
            <w:tcBorders>
              <w:top w:val="single" w:sz="4" w:space="0" w:color="auto"/>
              <w:bottom w:val="single" w:sz="4" w:space="0" w:color="auto"/>
            </w:tcBorders>
            <w:shd w:val="clear" w:color="auto" w:fill="78DED9" w:themeFill="accent1"/>
          </w:tcPr>
          <w:p w14:paraId="743C1A30" w14:textId="67069E88" w:rsidR="00A815CC" w:rsidRPr="00D75CF3" w:rsidRDefault="00A815CC" w:rsidP="002F5837">
            <w:pPr>
              <w:spacing w:after="120" w:line="240" w:lineRule="auto"/>
              <w:rPr>
                <w:rFonts w:cs="Arial"/>
                <w:b/>
                <w:bCs/>
              </w:rPr>
            </w:pPr>
            <w:r w:rsidRPr="00D75CF3">
              <w:rPr>
                <w:rFonts w:cs="Arial"/>
                <w:b/>
                <w:bCs/>
              </w:rPr>
              <w:t>(</w:t>
            </w:r>
            <w:proofErr w:type="spellStart"/>
            <w:r w:rsidRPr="00D75CF3">
              <w:rPr>
                <w:rFonts w:cs="Arial"/>
                <w:b/>
                <w:bCs/>
              </w:rPr>
              <w:t>i</w:t>
            </w:r>
            <w:proofErr w:type="spellEnd"/>
            <w:r w:rsidRPr="00D75CF3">
              <w:rPr>
                <w:rFonts w:cs="Arial"/>
                <w:b/>
                <w:bCs/>
              </w:rPr>
              <w:t>)</w:t>
            </w:r>
          </w:p>
        </w:tc>
        <w:tc>
          <w:tcPr>
            <w:tcW w:w="1417" w:type="dxa"/>
            <w:tcBorders>
              <w:top w:val="single" w:sz="4" w:space="0" w:color="auto"/>
              <w:bottom w:val="single" w:sz="4" w:space="0" w:color="auto"/>
            </w:tcBorders>
            <w:shd w:val="clear" w:color="auto" w:fill="78DED9" w:themeFill="accent1"/>
            <w:vAlign w:val="center"/>
          </w:tcPr>
          <w:p w14:paraId="6CB984AC" w14:textId="11D070E0" w:rsidR="00A815CC" w:rsidRPr="00D75CF3" w:rsidRDefault="00A815CC" w:rsidP="002F5837">
            <w:pPr>
              <w:spacing w:after="120" w:line="240" w:lineRule="auto"/>
              <w:rPr>
                <w:rFonts w:cs="Arial"/>
                <w:b/>
                <w:bCs/>
              </w:rPr>
            </w:pPr>
            <w:r w:rsidRPr="00D75CF3">
              <w:rPr>
                <w:rFonts w:cs="Arial"/>
                <w:b/>
                <w:bCs/>
              </w:rPr>
              <w:t>(ii)</w:t>
            </w:r>
          </w:p>
        </w:tc>
        <w:tc>
          <w:tcPr>
            <w:tcW w:w="1271" w:type="dxa"/>
            <w:tcBorders>
              <w:top w:val="single" w:sz="4" w:space="0" w:color="auto"/>
              <w:bottom w:val="single" w:sz="4" w:space="0" w:color="auto"/>
              <w:right w:val="nil"/>
            </w:tcBorders>
            <w:shd w:val="clear" w:color="auto" w:fill="78DED9" w:themeFill="accent1"/>
            <w:vAlign w:val="center"/>
          </w:tcPr>
          <w:p w14:paraId="24239A05" w14:textId="499FB307" w:rsidR="00A815CC" w:rsidRPr="00D75CF3" w:rsidRDefault="00A815CC" w:rsidP="002F5837">
            <w:pPr>
              <w:spacing w:after="120" w:line="240" w:lineRule="auto"/>
              <w:rPr>
                <w:rFonts w:cs="Arial"/>
                <w:b/>
                <w:bCs/>
              </w:rPr>
            </w:pPr>
            <w:r w:rsidRPr="00D75CF3">
              <w:rPr>
                <w:rFonts w:cs="Arial"/>
                <w:b/>
                <w:bCs/>
              </w:rPr>
              <w:t>(iii)</w:t>
            </w:r>
          </w:p>
        </w:tc>
      </w:tr>
      <w:tr w:rsidR="00A815CC" w:rsidRPr="0016620E" w14:paraId="38AC7688" w14:textId="77777777" w:rsidTr="0095055E">
        <w:trPr>
          <w:jc w:val="center"/>
        </w:trPr>
        <w:tc>
          <w:tcPr>
            <w:tcW w:w="4679" w:type="dxa"/>
            <w:tcBorders>
              <w:top w:val="single" w:sz="4" w:space="0" w:color="auto"/>
              <w:left w:val="nil"/>
            </w:tcBorders>
          </w:tcPr>
          <w:p w14:paraId="001C989B" w14:textId="1D138CB6" w:rsidR="00A815CC" w:rsidRPr="0016620E" w:rsidRDefault="003023B0" w:rsidP="002F5837">
            <w:pPr>
              <w:spacing w:line="240" w:lineRule="auto"/>
              <w:rPr>
                <w:rFonts w:cs="Arial"/>
              </w:rPr>
            </w:pPr>
            <w:r w:rsidRPr="0016620E">
              <w:rPr>
                <w:rFonts w:cs="Arial"/>
              </w:rPr>
              <w:t>Indigenous</w:t>
            </w:r>
          </w:p>
        </w:tc>
        <w:tc>
          <w:tcPr>
            <w:tcW w:w="1417" w:type="dxa"/>
            <w:tcBorders>
              <w:top w:val="single" w:sz="4" w:space="0" w:color="auto"/>
            </w:tcBorders>
          </w:tcPr>
          <w:p w14:paraId="0666D4F5" w14:textId="6AA68468" w:rsidR="00A815CC" w:rsidRPr="0016620E" w:rsidRDefault="005571E7" w:rsidP="002F5837">
            <w:pPr>
              <w:spacing w:line="240" w:lineRule="auto"/>
              <w:rPr>
                <w:rFonts w:cs="Arial"/>
              </w:rPr>
            </w:pPr>
            <w:r w:rsidRPr="0016620E">
              <w:rPr>
                <w:rFonts w:cs="Arial"/>
              </w:rPr>
              <w:t>–0.084</w:t>
            </w:r>
          </w:p>
          <w:p w14:paraId="75216A91" w14:textId="3C5C0931" w:rsidR="005571E7" w:rsidRPr="0016620E" w:rsidRDefault="005571E7" w:rsidP="002F5837">
            <w:pPr>
              <w:spacing w:line="240" w:lineRule="auto"/>
              <w:rPr>
                <w:rFonts w:cs="Arial"/>
              </w:rPr>
            </w:pPr>
            <w:r w:rsidRPr="0016620E">
              <w:rPr>
                <w:rFonts w:cs="Arial"/>
              </w:rPr>
              <w:t>(0.144)</w:t>
            </w:r>
          </w:p>
        </w:tc>
        <w:tc>
          <w:tcPr>
            <w:tcW w:w="1417" w:type="dxa"/>
            <w:tcBorders>
              <w:top w:val="single" w:sz="4" w:space="0" w:color="auto"/>
            </w:tcBorders>
          </w:tcPr>
          <w:p w14:paraId="64173285" w14:textId="673F7383" w:rsidR="00A815CC" w:rsidRPr="0016620E" w:rsidRDefault="008F4588" w:rsidP="002F5837">
            <w:pPr>
              <w:spacing w:line="240" w:lineRule="auto"/>
              <w:rPr>
                <w:rFonts w:cs="Arial"/>
              </w:rPr>
            </w:pPr>
            <w:r w:rsidRPr="0016620E">
              <w:rPr>
                <w:rFonts w:cs="Arial"/>
              </w:rPr>
              <w:t>–0.069</w:t>
            </w:r>
          </w:p>
          <w:p w14:paraId="68FA0BB5" w14:textId="0A35C086" w:rsidR="00A815CC" w:rsidRPr="0016620E" w:rsidRDefault="008F4588" w:rsidP="002F5837">
            <w:pPr>
              <w:spacing w:line="240" w:lineRule="auto"/>
              <w:rPr>
                <w:rFonts w:cs="Arial"/>
              </w:rPr>
            </w:pPr>
            <w:r w:rsidRPr="0016620E">
              <w:rPr>
                <w:rFonts w:cs="Arial"/>
              </w:rPr>
              <w:t>(0.142)</w:t>
            </w:r>
          </w:p>
        </w:tc>
        <w:tc>
          <w:tcPr>
            <w:tcW w:w="1271" w:type="dxa"/>
            <w:tcBorders>
              <w:top w:val="single" w:sz="4" w:space="0" w:color="auto"/>
              <w:right w:val="nil"/>
            </w:tcBorders>
          </w:tcPr>
          <w:p w14:paraId="43D8A5DD" w14:textId="5F400E91" w:rsidR="00A815CC" w:rsidRPr="0016620E" w:rsidRDefault="002C49A2" w:rsidP="002F5837">
            <w:pPr>
              <w:spacing w:line="240" w:lineRule="auto"/>
              <w:rPr>
                <w:rFonts w:cs="Arial"/>
              </w:rPr>
            </w:pPr>
            <w:r w:rsidRPr="0016620E">
              <w:rPr>
                <w:rFonts w:cs="Arial"/>
              </w:rPr>
              <w:t>–0.062</w:t>
            </w:r>
          </w:p>
          <w:p w14:paraId="23A62A2B" w14:textId="7B09F457" w:rsidR="002C49A2" w:rsidRPr="0016620E" w:rsidRDefault="002C49A2" w:rsidP="002F5837">
            <w:pPr>
              <w:spacing w:after="120" w:line="240" w:lineRule="auto"/>
              <w:rPr>
                <w:rFonts w:cs="Arial"/>
              </w:rPr>
            </w:pPr>
            <w:r w:rsidRPr="0016620E">
              <w:rPr>
                <w:rFonts w:cs="Arial"/>
              </w:rPr>
              <w:t>(0.140)</w:t>
            </w:r>
          </w:p>
        </w:tc>
      </w:tr>
      <w:tr w:rsidR="00A815CC" w:rsidRPr="0016620E" w14:paraId="4F1FE960" w14:textId="77777777" w:rsidTr="0095055E">
        <w:trPr>
          <w:jc w:val="center"/>
        </w:trPr>
        <w:tc>
          <w:tcPr>
            <w:tcW w:w="4679" w:type="dxa"/>
            <w:tcBorders>
              <w:left w:val="nil"/>
            </w:tcBorders>
          </w:tcPr>
          <w:p w14:paraId="4B4C211D" w14:textId="77777777" w:rsidR="00A815CC" w:rsidRPr="0016620E" w:rsidRDefault="00A815CC" w:rsidP="002F5837">
            <w:pPr>
              <w:spacing w:line="240" w:lineRule="auto"/>
              <w:rPr>
                <w:rFonts w:cs="Arial"/>
              </w:rPr>
            </w:pPr>
            <w:r w:rsidRPr="0016620E">
              <w:rPr>
                <w:rFonts w:cs="Arial"/>
              </w:rPr>
              <w:t>NESB</w:t>
            </w:r>
          </w:p>
        </w:tc>
        <w:tc>
          <w:tcPr>
            <w:tcW w:w="1417" w:type="dxa"/>
          </w:tcPr>
          <w:p w14:paraId="2F8E1DF2" w14:textId="10BDBDD8" w:rsidR="00A815CC" w:rsidRPr="0016620E" w:rsidRDefault="005571E7" w:rsidP="002F5837">
            <w:pPr>
              <w:spacing w:line="240" w:lineRule="auto"/>
              <w:rPr>
                <w:rFonts w:cs="Arial"/>
              </w:rPr>
            </w:pPr>
            <w:r w:rsidRPr="0016620E">
              <w:rPr>
                <w:rFonts w:cs="Arial"/>
              </w:rPr>
              <w:t>–0.132***</w:t>
            </w:r>
          </w:p>
          <w:p w14:paraId="552E8959" w14:textId="10C03CF6" w:rsidR="005571E7" w:rsidRPr="0016620E" w:rsidRDefault="005571E7" w:rsidP="002F5837">
            <w:pPr>
              <w:spacing w:line="240" w:lineRule="auto"/>
              <w:rPr>
                <w:rFonts w:cs="Arial"/>
              </w:rPr>
            </w:pPr>
            <w:r w:rsidRPr="0016620E">
              <w:rPr>
                <w:rFonts w:cs="Arial"/>
              </w:rPr>
              <w:t>(0.036)</w:t>
            </w:r>
          </w:p>
        </w:tc>
        <w:tc>
          <w:tcPr>
            <w:tcW w:w="1417" w:type="dxa"/>
          </w:tcPr>
          <w:p w14:paraId="00AB2524" w14:textId="024DF4D0" w:rsidR="00A815CC" w:rsidRPr="0016620E" w:rsidRDefault="008F4588" w:rsidP="002F5837">
            <w:pPr>
              <w:spacing w:line="240" w:lineRule="auto"/>
              <w:rPr>
                <w:rFonts w:cs="Arial"/>
              </w:rPr>
            </w:pPr>
            <w:r w:rsidRPr="0016620E">
              <w:rPr>
                <w:rFonts w:cs="Arial"/>
              </w:rPr>
              <w:t>–0.071</w:t>
            </w:r>
          </w:p>
          <w:p w14:paraId="6F1A50DB" w14:textId="60BC99B0" w:rsidR="008F4588" w:rsidRPr="0016620E" w:rsidRDefault="008F4588" w:rsidP="002F5837">
            <w:pPr>
              <w:spacing w:line="240" w:lineRule="auto"/>
              <w:rPr>
                <w:rFonts w:cs="Arial"/>
              </w:rPr>
            </w:pPr>
            <w:r w:rsidRPr="0016620E">
              <w:rPr>
                <w:rFonts w:cs="Arial"/>
              </w:rPr>
              <w:t>(0.050)</w:t>
            </w:r>
          </w:p>
        </w:tc>
        <w:tc>
          <w:tcPr>
            <w:tcW w:w="1271" w:type="dxa"/>
            <w:tcBorders>
              <w:right w:val="nil"/>
            </w:tcBorders>
          </w:tcPr>
          <w:p w14:paraId="57FAB862" w14:textId="1F7A0DEB" w:rsidR="00A815CC" w:rsidRPr="0016620E" w:rsidRDefault="002C49A2" w:rsidP="002F5837">
            <w:pPr>
              <w:spacing w:line="240" w:lineRule="auto"/>
              <w:rPr>
                <w:rFonts w:cs="Arial"/>
              </w:rPr>
            </w:pPr>
            <w:r w:rsidRPr="0016620E">
              <w:rPr>
                <w:rFonts w:cs="Arial"/>
              </w:rPr>
              <w:t>–0.084*</w:t>
            </w:r>
          </w:p>
          <w:p w14:paraId="1EF599F4" w14:textId="797526B0" w:rsidR="002C49A2" w:rsidRPr="0016620E" w:rsidRDefault="002C49A2" w:rsidP="002F5837">
            <w:pPr>
              <w:spacing w:after="120" w:line="240" w:lineRule="auto"/>
              <w:rPr>
                <w:rFonts w:cs="Arial"/>
              </w:rPr>
            </w:pPr>
            <w:r w:rsidRPr="0016620E">
              <w:rPr>
                <w:rFonts w:cs="Arial"/>
              </w:rPr>
              <w:t>(0.050)</w:t>
            </w:r>
          </w:p>
        </w:tc>
      </w:tr>
      <w:tr w:rsidR="00A815CC" w:rsidRPr="0016620E" w14:paraId="4F847DB1" w14:textId="77777777" w:rsidTr="0095055E">
        <w:trPr>
          <w:jc w:val="center"/>
        </w:trPr>
        <w:tc>
          <w:tcPr>
            <w:tcW w:w="4679" w:type="dxa"/>
            <w:tcBorders>
              <w:left w:val="nil"/>
            </w:tcBorders>
          </w:tcPr>
          <w:p w14:paraId="1648E982" w14:textId="6D58A60E" w:rsidR="00A815CC" w:rsidRPr="0016620E" w:rsidRDefault="00BF057E" w:rsidP="002F5837">
            <w:pPr>
              <w:spacing w:line="240" w:lineRule="auto"/>
              <w:rPr>
                <w:rFonts w:cs="Arial"/>
              </w:rPr>
            </w:pPr>
            <w:r>
              <w:rPr>
                <w:rFonts w:eastAsia="Arial" w:cs="Arial"/>
                <w:w w:val="105"/>
                <w14:ligatures w14:val="none"/>
              </w:rPr>
              <w:t>L</w:t>
            </w:r>
            <w:r w:rsidRPr="00276F44">
              <w:rPr>
                <w:rFonts w:eastAsia="Arial" w:cs="Arial"/>
                <w:w w:val="105"/>
                <w14:ligatures w14:val="none"/>
              </w:rPr>
              <w:t>ow</w:t>
            </w:r>
            <w:r>
              <w:rPr>
                <w:rFonts w:eastAsia="Arial" w:cs="Arial"/>
                <w:w w:val="105"/>
                <w14:ligatures w14:val="none"/>
              </w:rPr>
              <w:t xml:space="preserve"> </w:t>
            </w:r>
            <w:r w:rsidRPr="00276F44">
              <w:rPr>
                <w:rFonts w:eastAsia="Arial" w:cs="Arial"/>
                <w:w w:val="105"/>
                <w14:ligatures w14:val="none"/>
              </w:rPr>
              <w:t>SES</w:t>
            </w:r>
            <w:r>
              <w:rPr>
                <w:rFonts w:eastAsia="Arial" w:cs="Arial"/>
                <w:w w:val="105"/>
                <w14:ligatures w14:val="none"/>
              </w:rPr>
              <w:t xml:space="preserve"> in childhood</w:t>
            </w:r>
          </w:p>
        </w:tc>
        <w:tc>
          <w:tcPr>
            <w:tcW w:w="1417" w:type="dxa"/>
          </w:tcPr>
          <w:p w14:paraId="22FBBDCB" w14:textId="77777777" w:rsidR="00A815CC" w:rsidRPr="0016620E" w:rsidRDefault="005571E7" w:rsidP="002F5837">
            <w:pPr>
              <w:spacing w:line="240" w:lineRule="auto"/>
              <w:rPr>
                <w:rFonts w:cs="Arial"/>
              </w:rPr>
            </w:pPr>
            <w:r w:rsidRPr="0016620E">
              <w:rPr>
                <w:rFonts w:cs="Arial"/>
              </w:rPr>
              <w:t>0.015</w:t>
            </w:r>
          </w:p>
          <w:p w14:paraId="492C18C1" w14:textId="378690C0" w:rsidR="005571E7" w:rsidRPr="0016620E" w:rsidRDefault="005571E7" w:rsidP="002F5837">
            <w:pPr>
              <w:spacing w:line="240" w:lineRule="auto"/>
              <w:rPr>
                <w:rFonts w:cs="Arial"/>
              </w:rPr>
            </w:pPr>
            <w:r w:rsidRPr="0016620E">
              <w:rPr>
                <w:rFonts w:cs="Arial"/>
              </w:rPr>
              <w:t>(0.026)</w:t>
            </w:r>
          </w:p>
        </w:tc>
        <w:tc>
          <w:tcPr>
            <w:tcW w:w="1417" w:type="dxa"/>
          </w:tcPr>
          <w:p w14:paraId="29189C09" w14:textId="77777777" w:rsidR="00A815CC" w:rsidRPr="0016620E" w:rsidRDefault="008F4588" w:rsidP="002F5837">
            <w:pPr>
              <w:spacing w:line="240" w:lineRule="auto"/>
              <w:rPr>
                <w:rFonts w:cs="Arial"/>
              </w:rPr>
            </w:pPr>
            <w:r w:rsidRPr="0016620E">
              <w:rPr>
                <w:rFonts w:cs="Arial"/>
              </w:rPr>
              <w:t>0.004</w:t>
            </w:r>
          </w:p>
          <w:p w14:paraId="6AD5E52F" w14:textId="36AB5595" w:rsidR="008F4588" w:rsidRPr="0016620E" w:rsidRDefault="008F4588" w:rsidP="002F5837">
            <w:pPr>
              <w:spacing w:line="240" w:lineRule="auto"/>
              <w:rPr>
                <w:rFonts w:cs="Arial"/>
              </w:rPr>
            </w:pPr>
            <w:r w:rsidRPr="0016620E">
              <w:rPr>
                <w:rFonts w:cs="Arial"/>
              </w:rPr>
              <w:t>(0.026)</w:t>
            </w:r>
          </w:p>
        </w:tc>
        <w:tc>
          <w:tcPr>
            <w:tcW w:w="1271" w:type="dxa"/>
            <w:tcBorders>
              <w:right w:val="nil"/>
            </w:tcBorders>
          </w:tcPr>
          <w:p w14:paraId="5F79B58B" w14:textId="2133E5AC" w:rsidR="00A815CC" w:rsidRPr="0016620E" w:rsidRDefault="002C49A2" w:rsidP="002F5837">
            <w:pPr>
              <w:spacing w:line="240" w:lineRule="auto"/>
              <w:rPr>
                <w:rFonts w:cs="Arial"/>
              </w:rPr>
            </w:pPr>
            <w:r w:rsidRPr="0016620E">
              <w:rPr>
                <w:rFonts w:cs="Arial"/>
              </w:rPr>
              <w:t>–0.009</w:t>
            </w:r>
          </w:p>
          <w:p w14:paraId="105CB47B" w14:textId="05C9B695" w:rsidR="002C49A2" w:rsidRPr="0016620E" w:rsidRDefault="002C49A2" w:rsidP="002F5837">
            <w:pPr>
              <w:spacing w:after="120" w:line="240" w:lineRule="auto"/>
              <w:rPr>
                <w:rFonts w:cs="Arial"/>
              </w:rPr>
            </w:pPr>
            <w:r w:rsidRPr="0016620E">
              <w:rPr>
                <w:rFonts w:cs="Arial"/>
              </w:rPr>
              <w:t>(0.026)</w:t>
            </w:r>
          </w:p>
        </w:tc>
      </w:tr>
      <w:tr w:rsidR="00A815CC" w:rsidRPr="0016620E" w14:paraId="27EF608A" w14:textId="77777777" w:rsidTr="0095055E">
        <w:trPr>
          <w:jc w:val="center"/>
        </w:trPr>
        <w:tc>
          <w:tcPr>
            <w:tcW w:w="4679" w:type="dxa"/>
            <w:tcBorders>
              <w:left w:val="nil"/>
            </w:tcBorders>
          </w:tcPr>
          <w:p w14:paraId="28D6D32F" w14:textId="3E429F24" w:rsidR="00A815CC" w:rsidRPr="0016620E" w:rsidRDefault="00614B27" w:rsidP="002F5837">
            <w:pPr>
              <w:spacing w:line="240" w:lineRule="auto"/>
              <w:rPr>
                <w:rFonts w:cs="Arial"/>
              </w:rPr>
            </w:pPr>
            <w:r w:rsidRPr="0016620E">
              <w:rPr>
                <w:rFonts w:cs="Arial"/>
                <w:w w:val="105"/>
              </w:rPr>
              <w:t>Father unemployed for 6+ months</w:t>
            </w:r>
          </w:p>
        </w:tc>
        <w:tc>
          <w:tcPr>
            <w:tcW w:w="1417" w:type="dxa"/>
          </w:tcPr>
          <w:p w14:paraId="4CB2DCBC" w14:textId="611B3F7F" w:rsidR="00A815CC" w:rsidRPr="0016620E" w:rsidRDefault="005571E7" w:rsidP="002F5837">
            <w:pPr>
              <w:spacing w:line="240" w:lineRule="auto"/>
              <w:rPr>
                <w:rFonts w:cs="Arial"/>
              </w:rPr>
            </w:pPr>
            <w:r w:rsidRPr="0016620E">
              <w:rPr>
                <w:rFonts w:cs="Arial"/>
              </w:rPr>
              <w:t>–0.019</w:t>
            </w:r>
          </w:p>
          <w:p w14:paraId="14381F3B" w14:textId="265976D0" w:rsidR="005571E7" w:rsidRPr="0016620E" w:rsidRDefault="005571E7" w:rsidP="002F5837">
            <w:pPr>
              <w:spacing w:line="240" w:lineRule="auto"/>
              <w:rPr>
                <w:rFonts w:cs="Arial"/>
              </w:rPr>
            </w:pPr>
            <w:r w:rsidRPr="0016620E">
              <w:rPr>
                <w:rFonts w:cs="Arial"/>
              </w:rPr>
              <w:t>(0.037)</w:t>
            </w:r>
          </w:p>
        </w:tc>
        <w:tc>
          <w:tcPr>
            <w:tcW w:w="1417" w:type="dxa"/>
          </w:tcPr>
          <w:p w14:paraId="1F1298FC" w14:textId="64209770" w:rsidR="00A815CC" w:rsidRPr="0016620E" w:rsidRDefault="008F4588" w:rsidP="002F5837">
            <w:pPr>
              <w:spacing w:line="240" w:lineRule="auto"/>
              <w:rPr>
                <w:rFonts w:cs="Arial"/>
              </w:rPr>
            </w:pPr>
            <w:r w:rsidRPr="0016620E">
              <w:rPr>
                <w:rFonts w:cs="Arial"/>
              </w:rPr>
              <w:t>–0.008</w:t>
            </w:r>
          </w:p>
          <w:p w14:paraId="77AF7B7C" w14:textId="7EFACF40" w:rsidR="008F4588" w:rsidRPr="0016620E" w:rsidRDefault="008F4588" w:rsidP="002F5837">
            <w:pPr>
              <w:spacing w:line="240" w:lineRule="auto"/>
              <w:rPr>
                <w:rFonts w:cs="Arial"/>
              </w:rPr>
            </w:pPr>
            <w:r w:rsidRPr="0016620E">
              <w:rPr>
                <w:rFonts w:cs="Arial"/>
              </w:rPr>
              <w:t>(0.037)</w:t>
            </w:r>
          </w:p>
        </w:tc>
        <w:tc>
          <w:tcPr>
            <w:tcW w:w="1271" w:type="dxa"/>
            <w:tcBorders>
              <w:right w:val="nil"/>
            </w:tcBorders>
          </w:tcPr>
          <w:p w14:paraId="58D7F89A" w14:textId="7021754A" w:rsidR="00A815CC" w:rsidRPr="0016620E" w:rsidRDefault="002C49A2" w:rsidP="002F5837">
            <w:pPr>
              <w:spacing w:line="240" w:lineRule="auto"/>
              <w:rPr>
                <w:rFonts w:cs="Arial"/>
              </w:rPr>
            </w:pPr>
            <w:r w:rsidRPr="0016620E">
              <w:rPr>
                <w:rFonts w:cs="Arial"/>
              </w:rPr>
              <w:t>–0.008</w:t>
            </w:r>
          </w:p>
          <w:p w14:paraId="714CBCAE" w14:textId="32B080A9" w:rsidR="002C49A2" w:rsidRPr="0016620E" w:rsidRDefault="002C49A2" w:rsidP="002F5837">
            <w:pPr>
              <w:spacing w:after="120" w:line="240" w:lineRule="auto"/>
              <w:rPr>
                <w:rFonts w:cs="Arial"/>
              </w:rPr>
            </w:pPr>
            <w:r w:rsidRPr="0016620E">
              <w:rPr>
                <w:rFonts w:cs="Arial"/>
              </w:rPr>
              <w:t>(0.037)</w:t>
            </w:r>
          </w:p>
        </w:tc>
      </w:tr>
      <w:tr w:rsidR="00A815CC" w:rsidRPr="0016620E" w14:paraId="60CF41BA" w14:textId="77777777" w:rsidTr="0095055E">
        <w:trPr>
          <w:jc w:val="center"/>
        </w:trPr>
        <w:tc>
          <w:tcPr>
            <w:tcW w:w="4679" w:type="dxa"/>
            <w:tcBorders>
              <w:left w:val="nil"/>
              <w:bottom w:val="nil"/>
            </w:tcBorders>
          </w:tcPr>
          <w:p w14:paraId="25575564" w14:textId="77777777" w:rsidR="00A815CC" w:rsidRPr="0016620E" w:rsidRDefault="00A815CC" w:rsidP="002F5837">
            <w:pPr>
              <w:spacing w:line="240" w:lineRule="auto"/>
              <w:rPr>
                <w:rFonts w:cs="Arial"/>
              </w:rPr>
            </w:pPr>
            <w:r w:rsidRPr="0016620E">
              <w:rPr>
                <w:rFonts w:cs="Arial"/>
              </w:rPr>
              <w:t>Single-parent family</w:t>
            </w:r>
          </w:p>
        </w:tc>
        <w:tc>
          <w:tcPr>
            <w:tcW w:w="1417" w:type="dxa"/>
            <w:tcBorders>
              <w:bottom w:val="nil"/>
            </w:tcBorders>
          </w:tcPr>
          <w:p w14:paraId="65073B62" w14:textId="7381AD44" w:rsidR="00A815CC" w:rsidRPr="0016620E" w:rsidRDefault="005571E7" w:rsidP="002F5837">
            <w:pPr>
              <w:spacing w:line="240" w:lineRule="auto"/>
              <w:rPr>
                <w:rFonts w:cs="Arial"/>
              </w:rPr>
            </w:pPr>
            <w:r w:rsidRPr="0016620E">
              <w:rPr>
                <w:rFonts w:cs="Arial"/>
              </w:rPr>
              <w:t>–0.048</w:t>
            </w:r>
          </w:p>
          <w:p w14:paraId="17801224" w14:textId="47872667" w:rsidR="005571E7" w:rsidRPr="0016620E" w:rsidRDefault="005571E7" w:rsidP="002F5837">
            <w:pPr>
              <w:spacing w:line="240" w:lineRule="auto"/>
              <w:rPr>
                <w:rFonts w:cs="Arial"/>
              </w:rPr>
            </w:pPr>
            <w:r w:rsidRPr="0016620E">
              <w:rPr>
                <w:rFonts w:cs="Arial"/>
              </w:rPr>
              <w:t>(0.066)</w:t>
            </w:r>
          </w:p>
        </w:tc>
        <w:tc>
          <w:tcPr>
            <w:tcW w:w="1417" w:type="dxa"/>
            <w:tcBorders>
              <w:bottom w:val="nil"/>
            </w:tcBorders>
          </w:tcPr>
          <w:p w14:paraId="3B301D6B" w14:textId="31E80F5C" w:rsidR="00A815CC" w:rsidRPr="0016620E" w:rsidRDefault="008F4588" w:rsidP="002F5837">
            <w:pPr>
              <w:spacing w:line="240" w:lineRule="auto"/>
              <w:rPr>
                <w:rFonts w:cs="Arial"/>
              </w:rPr>
            </w:pPr>
            <w:r w:rsidRPr="0016620E">
              <w:rPr>
                <w:rFonts w:cs="Arial"/>
              </w:rPr>
              <w:t>–0.052</w:t>
            </w:r>
          </w:p>
          <w:p w14:paraId="4AC86F7E" w14:textId="344E7996" w:rsidR="008F4588" w:rsidRPr="0016620E" w:rsidRDefault="008F4588" w:rsidP="002F5837">
            <w:pPr>
              <w:spacing w:line="240" w:lineRule="auto"/>
              <w:rPr>
                <w:rFonts w:cs="Arial"/>
              </w:rPr>
            </w:pPr>
            <w:r w:rsidRPr="0016620E">
              <w:rPr>
                <w:rFonts w:cs="Arial"/>
              </w:rPr>
              <w:t>(0.065)</w:t>
            </w:r>
          </w:p>
        </w:tc>
        <w:tc>
          <w:tcPr>
            <w:tcW w:w="1271" w:type="dxa"/>
            <w:tcBorders>
              <w:bottom w:val="nil"/>
              <w:right w:val="nil"/>
            </w:tcBorders>
          </w:tcPr>
          <w:p w14:paraId="119D3F34" w14:textId="0B318029" w:rsidR="00A815CC" w:rsidRPr="0016620E" w:rsidRDefault="002C49A2" w:rsidP="002F5837">
            <w:pPr>
              <w:spacing w:line="240" w:lineRule="auto"/>
              <w:rPr>
                <w:rFonts w:cs="Arial"/>
              </w:rPr>
            </w:pPr>
            <w:r w:rsidRPr="0016620E">
              <w:rPr>
                <w:rFonts w:cs="Arial"/>
              </w:rPr>
              <w:t>–0.038</w:t>
            </w:r>
          </w:p>
          <w:p w14:paraId="2F54BC79" w14:textId="16825A24" w:rsidR="002C49A2" w:rsidRPr="0016620E" w:rsidRDefault="002C49A2" w:rsidP="002F5837">
            <w:pPr>
              <w:spacing w:after="120" w:line="240" w:lineRule="auto"/>
              <w:rPr>
                <w:rFonts w:cs="Arial"/>
              </w:rPr>
            </w:pPr>
            <w:r w:rsidRPr="0016620E">
              <w:rPr>
                <w:rFonts w:cs="Arial"/>
              </w:rPr>
              <w:t>(0.065)</w:t>
            </w:r>
          </w:p>
        </w:tc>
      </w:tr>
      <w:tr w:rsidR="00DC273D" w:rsidRPr="0016620E" w14:paraId="548447CB" w14:textId="77777777" w:rsidTr="0095055E">
        <w:trPr>
          <w:jc w:val="center"/>
        </w:trPr>
        <w:tc>
          <w:tcPr>
            <w:tcW w:w="4679" w:type="dxa"/>
            <w:tcBorders>
              <w:top w:val="nil"/>
              <w:left w:val="nil"/>
              <w:bottom w:val="nil"/>
            </w:tcBorders>
          </w:tcPr>
          <w:p w14:paraId="7FE57C86" w14:textId="2B6B5BBD" w:rsidR="00DC273D" w:rsidRPr="0016620E" w:rsidRDefault="00DC273D" w:rsidP="002F5837">
            <w:pPr>
              <w:spacing w:after="120" w:line="240" w:lineRule="auto"/>
              <w:rPr>
                <w:rFonts w:cs="Arial"/>
              </w:rPr>
            </w:pPr>
            <w:r w:rsidRPr="0016620E">
              <w:rPr>
                <w:rFonts w:cs="Arial"/>
              </w:rPr>
              <w:t>Control variables</w:t>
            </w:r>
          </w:p>
        </w:tc>
        <w:tc>
          <w:tcPr>
            <w:tcW w:w="1417" w:type="dxa"/>
            <w:tcBorders>
              <w:top w:val="nil"/>
              <w:bottom w:val="nil"/>
            </w:tcBorders>
          </w:tcPr>
          <w:p w14:paraId="21E710A0" w14:textId="50AB2B77" w:rsidR="00DC273D" w:rsidRPr="0016620E" w:rsidRDefault="00DC273D" w:rsidP="002F5837">
            <w:pPr>
              <w:spacing w:after="120" w:line="240" w:lineRule="auto"/>
              <w:rPr>
                <w:rFonts w:cs="Arial"/>
              </w:rPr>
            </w:pPr>
            <w:r w:rsidRPr="0016620E">
              <w:rPr>
                <w:rFonts w:cs="Arial"/>
              </w:rPr>
              <w:t>No</w:t>
            </w:r>
          </w:p>
        </w:tc>
        <w:tc>
          <w:tcPr>
            <w:tcW w:w="1417" w:type="dxa"/>
            <w:tcBorders>
              <w:top w:val="nil"/>
              <w:bottom w:val="nil"/>
            </w:tcBorders>
          </w:tcPr>
          <w:p w14:paraId="38758BFD" w14:textId="51AF4AD9" w:rsidR="00DC273D" w:rsidRPr="0016620E" w:rsidRDefault="00DC273D" w:rsidP="002F5837">
            <w:pPr>
              <w:spacing w:after="120" w:line="240" w:lineRule="auto"/>
              <w:rPr>
                <w:rFonts w:cs="Arial"/>
              </w:rPr>
            </w:pPr>
            <w:r w:rsidRPr="0016620E">
              <w:rPr>
                <w:rFonts w:cs="Arial"/>
              </w:rPr>
              <w:t>Yes</w:t>
            </w:r>
          </w:p>
        </w:tc>
        <w:tc>
          <w:tcPr>
            <w:tcW w:w="1271" w:type="dxa"/>
            <w:tcBorders>
              <w:top w:val="nil"/>
              <w:bottom w:val="nil"/>
              <w:right w:val="nil"/>
            </w:tcBorders>
          </w:tcPr>
          <w:p w14:paraId="108835CA" w14:textId="4CD73FC5" w:rsidR="00DC273D" w:rsidRPr="0016620E" w:rsidRDefault="00DC273D" w:rsidP="002F5837">
            <w:pPr>
              <w:spacing w:after="120" w:line="240" w:lineRule="auto"/>
              <w:rPr>
                <w:rFonts w:cs="Arial"/>
              </w:rPr>
            </w:pPr>
            <w:r w:rsidRPr="0016620E">
              <w:rPr>
                <w:rFonts w:cs="Arial"/>
              </w:rPr>
              <w:t>Yes</w:t>
            </w:r>
          </w:p>
        </w:tc>
      </w:tr>
      <w:tr w:rsidR="00DC273D" w:rsidRPr="0016620E" w14:paraId="760CDB5A" w14:textId="77777777" w:rsidTr="0095055E">
        <w:trPr>
          <w:jc w:val="center"/>
        </w:trPr>
        <w:tc>
          <w:tcPr>
            <w:tcW w:w="4679" w:type="dxa"/>
            <w:tcBorders>
              <w:top w:val="nil"/>
              <w:left w:val="nil"/>
              <w:bottom w:val="single" w:sz="4" w:space="0" w:color="auto"/>
            </w:tcBorders>
          </w:tcPr>
          <w:p w14:paraId="0A195943" w14:textId="069C593D" w:rsidR="00DC273D" w:rsidRPr="0016620E" w:rsidRDefault="00DC273D" w:rsidP="002F5837">
            <w:pPr>
              <w:spacing w:after="120" w:line="240" w:lineRule="auto"/>
              <w:rPr>
                <w:rFonts w:cs="Arial"/>
              </w:rPr>
            </w:pPr>
            <w:r w:rsidRPr="0016620E">
              <w:rPr>
                <w:rFonts w:cs="Arial"/>
              </w:rPr>
              <w:t>Field of study</w:t>
            </w:r>
          </w:p>
        </w:tc>
        <w:tc>
          <w:tcPr>
            <w:tcW w:w="1417" w:type="dxa"/>
            <w:tcBorders>
              <w:top w:val="nil"/>
              <w:bottom w:val="single" w:sz="4" w:space="0" w:color="auto"/>
            </w:tcBorders>
          </w:tcPr>
          <w:p w14:paraId="1389804E" w14:textId="37181C9A" w:rsidR="00DC273D" w:rsidRPr="0016620E" w:rsidRDefault="00DC273D" w:rsidP="002F5837">
            <w:pPr>
              <w:spacing w:after="120" w:line="240" w:lineRule="auto"/>
              <w:rPr>
                <w:rFonts w:cs="Arial"/>
              </w:rPr>
            </w:pPr>
            <w:r w:rsidRPr="0016620E">
              <w:rPr>
                <w:rFonts w:cs="Arial"/>
              </w:rPr>
              <w:t>No</w:t>
            </w:r>
          </w:p>
        </w:tc>
        <w:tc>
          <w:tcPr>
            <w:tcW w:w="1417" w:type="dxa"/>
            <w:tcBorders>
              <w:top w:val="nil"/>
              <w:bottom w:val="single" w:sz="4" w:space="0" w:color="auto"/>
            </w:tcBorders>
          </w:tcPr>
          <w:p w14:paraId="098206E8" w14:textId="3E846B41" w:rsidR="00DC273D" w:rsidRPr="0016620E" w:rsidRDefault="00DC273D" w:rsidP="002F5837">
            <w:pPr>
              <w:spacing w:after="120" w:line="240" w:lineRule="auto"/>
              <w:rPr>
                <w:rFonts w:cs="Arial"/>
              </w:rPr>
            </w:pPr>
            <w:r w:rsidRPr="0016620E">
              <w:rPr>
                <w:rFonts w:cs="Arial"/>
              </w:rPr>
              <w:t>No</w:t>
            </w:r>
          </w:p>
        </w:tc>
        <w:tc>
          <w:tcPr>
            <w:tcW w:w="1271" w:type="dxa"/>
            <w:tcBorders>
              <w:top w:val="nil"/>
              <w:bottom w:val="single" w:sz="4" w:space="0" w:color="auto"/>
              <w:right w:val="nil"/>
            </w:tcBorders>
          </w:tcPr>
          <w:p w14:paraId="5C4FA229" w14:textId="78724BCE" w:rsidR="00DC273D" w:rsidRPr="0016620E" w:rsidRDefault="00DC273D" w:rsidP="002F5837">
            <w:pPr>
              <w:spacing w:after="120" w:line="240" w:lineRule="auto"/>
              <w:rPr>
                <w:rFonts w:cs="Arial"/>
              </w:rPr>
            </w:pPr>
            <w:r w:rsidRPr="0016620E">
              <w:rPr>
                <w:rFonts w:cs="Arial"/>
              </w:rPr>
              <w:t>Yes</w:t>
            </w:r>
          </w:p>
        </w:tc>
      </w:tr>
      <w:tr w:rsidR="00FE3FA1" w:rsidRPr="0016620E" w14:paraId="17C8BFFE" w14:textId="77777777" w:rsidTr="0095055E">
        <w:trPr>
          <w:trHeight w:val="60"/>
          <w:jc w:val="center"/>
        </w:trPr>
        <w:tc>
          <w:tcPr>
            <w:tcW w:w="4679" w:type="dxa"/>
            <w:tcBorders>
              <w:top w:val="single" w:sz="4" w:space="0" w:color="auto"/>
              <w:left w:val="nil"/>
              <w:bottom w:val="nil"/>
              <w:right w:val="nil"/>
            </w:tcBorders>
          </w:tcPr>
          <w:p w14:paraId="66481171" w14:textId="77777777" w:rsidR="00FE3FA1" w:rsidRPr="0016620E" w:rsidRDefault="00FE3FA1" w:rsidP="002F5837">
            <w:pPr>
              <w:spacing w:after="120" w:line="240" w:lineRule="auto"/>
              <w:rPr>
                <w:rFonts w:cs="Arial"/>
              </w:rPr>
            </w:pPr>
            <w:r w:rsidRPr="0016620E">
              <w:rPr>
                <w:rFonts w:cs="Arial"/>
              </w:rPr>
              <w:t>Individuals</w:t>
            </w:r>
          </w:p>
        </w:tc>
        <w:tc>
          <w:tcPr>
            <w:tcW w:w="1417" w:type="dxa"/>
            <w:tcBorders>
              <w:top w:val="single" w:sz="4" w:space="0" w:color="auto"/>
              <w:left w:val="nil"/>
              <w:bottom w:val="nil"/>
              <w:right w:val="nil"/>
            </w:tcBorders>
          </w:tcPr>
          <w:p w14:paraId="7000C843" w14:textId="6AD7C22B" w:rsidR="00FE3FA1" w:rsidRPr="006935A7" w:rsidRDefault="00FE3FA1" w:rsidP="002F5837">
            <w:pPr>
              <w:spacing w:after="120" w:line="240" w:lineRule="auto"/>
              <w:rPr>
                <w:rFonts w:cs="Arial"/>
              </w:rPr>
            </w:pPr>
            <w:r w:rsidRPr="006935A7">
              <w:rPr>
                <w:rFonts w:cs="Arial"/>
              </w:rPr>
              <w:t>4910</w:t>
            </w:r>
          </w:p>
        </w:tc>
        <w:tc>
          <w:tcPr>
            <w:tcW w:w="1417" w:type="dxa"/>
            <w:tcBorders>
              <w:top w:val="single" w:sz="4" w:space="0" w:color="auto"/>
              <w:left w:val="nil"/>
              <w:bottom w:val="nil"/>
              <w:right w:val="nil"/>
            </w:tcBorders>
          </w:tcPr>
          <w:p w14:paraId="75D1FEBA" w14:textId="7240E2AE" w:rsidR="00FE3FA1" w:rsidRPr="006935A7" w:rsidRDefault="00FE3FA1" w:rsidP="002F5837">
            <w:pPr>
              <w:spacing w:after="120" w:line="240" w:lineRule="auto"/>
              <w:rPr>
                <w:rFonts w:cs="Arial"/>
              </w:rPr>
            </w:pPr>
            <w:r w:rsidRPr="006935A7">
              <w:rPr>
                <w:rFonts w:cs="Arial"/>
              </w:rPr>
              <w:t>4910</w:t>
            </w:r>
          </w:p>
        </w:tc>
        <w:tc>
          <w:tcPr>
            <w:tcW w:w="1271" w:type="dxa"/>
            <w:tcBorders>
              <w:top w:val="single" w:sz="4" w:space="0" w:color="auto"/>
              <w:left w:val="nil"/>
              <w:bottom w:val="nil"/>
              <w:right w:val="nil"/>
            </w:tcBorders>
          </w:tcPr>
          <w:p w14:paraId="14262E3E" w14:textId="7EF1CCFE" w:rsidR="00FE3FA1" w:rsidRPr="006935A7" w:rsidRDefault="00FE3FA1" w:rsidP="002F5837">
            <w:pPr>
              <w:spacing w:after="120" w:line="240" w:lineRule="auto"/>
              <w:rPr>
                <w:rFonts w:cs="Arial"/>
              </w:rPr>
            </w:pPr>
            <w:r w:rsidRPr="006935A7">
              <w:rPr>
                <w:rFonts w:cs="Arial"/>
              </w:rPr>
              <w:t>4910</w:t>
            </w:r>
          </w:p>
        </w:tc>
      </w:tr>
      <w:tr w:rsidR="00FE3FA1" w:rsidRPr="0016620E" w14:paraId="7021DDBC" w14:textId="77777777" w:rsidTr="0095055E">
        <w:trPr>
          <w:jc w:val="center"/>
        </w:trPr>
        <w:tc>
          <w:tcPr>
            <w:tcW w:w="4679" w:type="dxa"/>
            <w:tcBorders>
              <w:top w:val="nil"/>
              <w:left w:val="nil"/>
              <w:bottom w:val="single" w:sz="4" w:space="0" w:color="auto"/>
              <w:right w:val="nil"/>
            </w:tcBorders>
          </w:tcPr>
          <w:p w14:paraId="0B7A20FC" w14:textId="77777777" w:rsidR="00FE3FA1" w:rsidRPr="0016620E" w:rsidRDefault="00FE3FA1" w:rsidP="002F5837">
            <w:pPr>
              <w:spacing w:after="120" w:line="240" w:lineRule="auto"/>
              <w:rPr>
                <w:rFonts w:cs="Arial"/>
              </w:rPr>
            </w:pPr>
            <w:r w:rsidRPr="0016620E">
              <w:rPr>
                <w:rFonts w:cs="Arial"/>
              </w:rPr>
              <w:t>Observations</w:t>
            </w:r>
          </w:p>
        </w:tc>
        <w:tc>
          <w:tcPr>
            <w:tcW w:w="1417" w:type="dxa"/>
            <w:tcBorders>
              <w:top w:val="nil"/>
              <w:left w:val="nil"/>
              <w:bottom w:val="single" w:sz="4" w:space="0" w:color="auto"/>
              <w:right w:val="nil"/>
            </w:tcBorders>
          </w:tcPr>
          <w:p w14:paraId="172DB3AE" w14:textId="00557E37" w:rsidR="00FE3FA1" w:rsidRPr="006935A7" w:rsidRDefault="00FE3FA1" w:rsidP="002F5837">
            <w:pPr>
              <w:spacing w:after="120" w:line="240" w:lineRule="auto"/>
              <w:rPr>
                <w:rFonts w:cs="Arial"/>
              </w:rPr>
            </w:pPr>
            <w:r w:rsidRPr="006935A7">
              <w:rPr>
                <w:rFonts w:cs="Arial"/>
              </w:rPr>
              <w:t>9810</w:t>
            </w:r>
          </w:p>
        </w:tc>
        <w:tc>
          <w:tcPr>
            <w:tcW w:w="1417" w:type="dxa"/>
            <w:tcBorders>
              <w:top w:val="nil"/>
              <w:left w:val="nil"/>
              <w:bottom w:val="single" w:sz="4" w:space="0" w:color="auto"/>
              <w:right w:val="nil"/>
            </w:tcBorders>
          </w:tcPr>
          <w:p w14:paraId="67500F61" w14:textId="3E452D90" w:rsidR="00FE3FA1" w:rsidRPr="006935A7" w:rsidRDefault="00FE3FA1" w:rsidP="002F5837">
            <w:pPr>
              <w:spacing w:after="120" w:line="240" w:lineRule="auto"/>
              <w:rPr>
                <w:rFonts w:cs="Arial"/>
              </w:rPr>
            </w:pPr>
            <w:r w:rsidRPr="006935A7">
              <w:rPr>
                <w:rFonts w:cs="Arial"/>
              </w:rPr>
              <w:t>9810</w:t>
            </w:r>
          </w:p>
        </w:tc>
        <w:tc>
          <w:tcPr>
            <w:tcW w:w="1271" w:type="dxa"/>
            <w:tcBorders>
              <w:top w:val="nil"/>
              <w:left w:val="nil"/>
              <w:bottom w:val="single" w:sz="4" w:space="0" w:color="auto"/>
              <w:right w:val="nil"/>
            </w:tcBorders>
          </w:tcPr>
          <w:p w14:paraId="056AE00C" w14:textId="1D522AC1" w:rsidR="00FE3FA1" w:rsidRPr="006935A7" w:rsidRDefault="00FE3FA1" w:rsidP="002F5837">
            <w:pPr>
              <w:spacing w:after="120" w:line="240" w:lineRule="auto"/>
              <w:rPr>
                <w:rFonts w:cs="Arial"/>
              </w:rPr>
            </w:pPr>
            <w:r w:rsidRPr="006935A7">
              <w:rPr>
                <w:rFonts w:cs="Arial"/>
              </w:rPr>
              <w:t>9810</w:t>
            </w:r>
          </w:p>
        </w:tc>
      </w:tr>
    </w:tbl>
    <w:p w14:paraId="1BFB0AAC" w14:textId="77777777" w:rsidR="00014489" w:rsidRPr="0095055E" w:rsidRDefault="00014489" w:rsidP="000F54A6">
      <w:pPr>
        <w:spacing w:line="240" w:lineRule="auto"/>
        <w:ind w:left="340" w:right="284"/>
        <w:rPr>
          <w:rFonts w:eastAsia="Arial" w:cs="Arial"/>
          <w:i/>
          <w:iCs/>
          <w:w w:val="105"/>
          <w:kern w:val="0"/>
          <w:sz w:val="18"/>
          <w:szCs w:val="18"/>
          <w14:ligatures w14:val="none"/>
        </w:rPr>
      </w:pPr>
      <w:r w:rsidRPr="0095055E">
        <w:rPr>
          <w:rFonts w:eastAsia="Arial" w:cs="Arial"/>
          <w:i/>
          <w:iCs/>
          <w:w w:val="105"/>
          <w:kern w:val="0"/>
          <w:sz w:val="18"/>
          <w:szCs w:val="18"/>
          <w14:ligatures w14:val="none"/>
        </w:rPr>
        <w:t>Notes: The control variables include dummies for year of birth, gender, whether born in Australia, number of siblings, whether living in a major city, and dummies for state of residence and HILDA waves. Robust standard errors are in parentheses. *** p&lt;0.01; ** p&lt;0.05; * p&lt;0.10.</w:t>
      </w:r>
    </w:p>
    <w:p w14:paraId="50189FF7" w14:textId="334A50DF" w:rsidR="001B271B" w:rsidRPr="00E32AAB" w:rsidRDefault="00766075" w:rsidP="00721EB3">
      <w:pPr>
        <w:rPr>
          <w:w w:val="105"/>
        </w:rPr>
      </w:pPr>
      <w:r w:rsidRPr="00766075">
        <w:rPr>
          <w:w w:val="105"/>
        </w:rPr>
        <w:t xml:space="preserve">The last labour market outcome we </w:t>
      </w:r>
      <w:r w:rsidR="00117577">
        <w:rPr>
          <w:w w:val="105"/>
        </w:rPr>
        <w:t>analyse</w:t>
      </w:r>
      <w:r w:rsidRPr="00766075">
        <w:rPr>
          <w:w w:val="105"/>
        </w:rPr>
        <w:t xml:space="preserve"> is job satisfaction</w:t>
      </w:r>
      <w:r w:rsidR="007C2978">
        <w:rPr>
          <w:w w:val="105"/>
        </w:rPr>
        <w:t>. T</w:t>
      </w:r>
      <w:r w:rsidRPr="00766075">
        <w:rPr>
          <w:w w:val="105"/>
        </w:rPr>
        <w:t xml:space="preserve">he results </w:t>
      </w:r>
      <w:r w:rsidR="007C2978">
        <w:rPr>
          <w:w w:val="105"/>
        </w:rPr>
        <w:t xml:space="preserve">are </w:t>
      </w:r>
      <w:r w:rsidRPr="00766075">
        <w:rPr>
          <w:w w:val="105"/>
        </w:rPr>
        <w:t xml:space="preserve">presented in Table </w:t>
      </w:r>
      <w:r w:rsidR="00134586">
        <w:rPr>
          <w:w w:val="105"/>
        </w:rPr>
        <w:t>10</w:t>
      </w:r>
      <w:r w:rsidRPr="00766075">
        <w:rPr>
          <w:w w:val="105"/>
        </w:rPr>
        <w:t>.</w:t>
      </w:r>
      <w:r>
        <w:rPr>
          <w:w w:val="105"/>
        </w:rPr>
        <w:t xml:space="preserve"> </w:t>
      </w:r>
      <w:r w:rsidR="0015088C">
        <w:rPr>
          <w:w w:val="105"/>
        </w:rPr>
        <w:t>Of</w:t>
      </w:r>
      <w:r w:rsidR="00B74995" w:rsidRPr="00B74995">
        <w:rPr>
          <w:w w:val="105"/>
        </w:rPr>
        <w:t xml:space="preserve"> the </w:t>
      </w:r>
      <w:r w:rsidR="007C2978">
        <w:rPr>
          <w:w w:val="105"/>
        </w:rPr>
        <w:t>five</w:t>
      </w:r>
      <w:r w:rsidR="00B74995" w:rsidRPr="00B74995">
        <w:rPr>
          <w:w w:val="105"/>
        </w:rPr>
        <w:t xml:space="preserve"> measures of </w:t>
      </w:r>
      <w:r w:rsidR="0097512D">
        <w:rPr>
          <w:w w:val="105"/>
        </w:rPr>
        <w:t>socio-economic</w:t>
      </w:r>
      <w:r w:rsidR="00E7370F" w:rsidRPr="00BC1650">
        <w:rPr>
          <w:w w:val="105"/>
        </w:rPr>
        <w:t xml:space="preserve"> background</w:t>
      </w:r>
      <w:r w:rsidR="00E7370F">
        <w:rPr>
          <w:w w:val="105"/>
        </w:rPr>
        <w:t>s</w:t>
      </w:r>
      <w:r w:rsidR="00B74995" w:rsidRPr="00B74995">
        <w:rPr>
          <w:w w:val="105"/>
        </w:rPr>
        <w:t xml:space="preserve">, NESB status is the only factor that </w:t>
      </w:r>
      <w:r w:rsidR="007C2978">
        <w:rPr>
          <w:w w:val="105"/>
        </w:rPr>
        <w:t>is</w:t>
      </w:r>
      <w:r w:rsidR="00B74995" w:rsidRPr="00B74995">
        <w:rPr>
          <w:w w:val="105"/>
        </w:rPr>
        <w:t xml:space="preserve"> statistically significant. </w:t>
      </w:r>
      <w:r w:rsidR="007C2978">
        <w:rPr>
          <w:w w:val="105"/>
        </w:rPr>
        <w:t>C</w:t>
      </w:r>
      <w:r w:rsidR="00B74995" w:rsidRPr="00B74995">
        <w:rPr>
          <w:w w:val="105"/>
        </w:rPr>
        <w:t>olumn (</w:t>
      </w:r>
      <w:proofErr w:type="spellStart"/>
      <w:r w:rsidR="00B74995" w:rsidRPr="00B74995">
        <w:rPr>
          <w:w w:val="105"/>
        </w:rPr>
        <w:t>i</w:t>
      </w:r>
      <w:proofErr w:type="spellEnd"/>
      <w:r w:rsidR="00B74995" w:rsidRPr="00B74995">
        <w:rPr>
          <w:w w:val="105"/>
        </w:rPr>
        <w:t>)</w:t>
      </w:r>
      <w:r w:rsidR="007C2978">
        <w:rPr>
          <w:w w:val="105"/>
        </w:rPr>
        <w:t xml:space="preserve"> </w:t>
      </w:r>
      <w:r w:rsidR="00B74995" w:rsidRPr="00B74995">
        <w:rPr>
          <w:w w:val="105"/>
        </w:rPr>
        <w:t>show</w:t>
      </w:r>
      <w:r w:rsidR="007C2978">
        <w:rPr>
          <w:w w:val="105"/>
        </w:rPr>
        <w:t>s</w:t>
      </w:r>
      <w:r w:rsidR="00B74995" w:rsidRPr="00B74995">
        <w:rPr>
          <w:w w:val="105"/>
        </w:rPr>
        <w:t xml:space="preserve"> that NESB workers report lower levels of job satisfaction </w:t>
      </w:r>
      <w:r w:rsidR="007C2978">
        <w:rPr>
          <w:w w:val="105"/>
        </w:rPr>
        <w:t>than</w:t>
      </w:r>
      <w:r w:rsidR="00B74995" w:rsidRPr="00B74995">
        <w:rPr>
          <w:w w:val="105"/>
        </w:rPr>
        <w:t xml:space="preserve"> their ESB counterparts. Specifically, their job satisfaction index is 0.13 standard deviations lower. However, </w:t>
      </w:r>
      <w:r w:rsidR="000911CF">
        <w:rPr>
          <w:w w:val="105"/>
        </w:rPr>
        <w:t>after</w:t>
      </w:r>
      <w:r w:rsidR="00B74995" w:rsidRPr="00B74995">
        <w:rPr>
          <w:w w:val="105"/>
        </w:rPr>
        <w:t xml:space="preserve"> controlling for field of study and other covariates, this difference </w:t>
      </w:r>
      <w:r w:rsidR="007C2978">
        <w:rPr>
          <w:w w:val="105"/>
        </w:rPr>
        <w:t>decreases</w:t>
      </w:r>
      <w:r w:rsidR="00B74995" w:rsidRPr="00B74995">
        <w:rPr>
          <w:w w:val="105"/>
        </w:rPr>
        <w:t xml:space="preserve"> in column (iii) and </w:t>
      </w:r>
      <w:r w:rsidR="00E237EE">
        <w:rPr>
          <w:w w:val="105"/>
        </w:rPr>
        <w:t>remains</w:t>
      </w:r>
      <w:r w:rsidR="00B74995" w:rsidRPr="00B74995">
        <w:rPr>
          <w:w w:val="105"/>
        </w:rPr>
        <w:t xml:space="preserve"> marginally significant at the 10% level. </w:t>
      </w:r>
      <w:r w:rsidR="00E237EE">
        <w:rPr>
          <w:w w:val="105"/>
        </w:rPr>
        <w:t>As such</w:t>
      </w:r>
      <w:r w:rsidR="00B74995" w:rsidRPr="00B74995">
        <w:rPr>
          <w:w w:val="105"/>
        </w:rPr>
        <w:t xml:space="preserve">, </w:t>
      </w:r>
      <w:r w:rsidR="003E0770" w:rsidRPr="003E0770">
        <w:rPr>
          <w:w w:val="105"/>
        </w:rPr>
        <w:t xml:space="preserve">NESB graduates experience lower job satisfaction overall, even </w:t>
      </w:r>
      <w:r w:rsidR="003E0770">
        <w:rPr>
          <w:w w:val="105"/>
        </w:rPr>
        <w:t xml:space="preserve">when </w:t>
      </w:r>
      <w:r w:rsidR="003E0770" w:rsidRPr="003E0770">
        <w:rPr>
          <w:w w:val="105"/>
        </w:rPr>
        <w:t xml:space="preserve">compared with their counterparts in the same fields of </w:t>
      </w:r>
      <w:r w:rsidR="003642B8">
        <w:rPr>
          <w:w w:val="105"/>
        </w:rPr>
        <w:t xml:space="preserve">tertiary </w:t>
      </w:r>
      <w:r w:rsidR="003E0770" w:rsidRPr="003E0770">
        <w:rPr>
          <w:w w:val="105"/>
        </w:rPr>
        <w:t>study.</w:t>
      </w:r>
      <w:r w:rsidR="00BC35DC" w:rsidRPr="00E32AAB">
        <w:rPr>
          <w:w w:val="105"/>
        </w:rPr>
        <w:t xml:space="preserve"> </w:t>
      </w:r>
    </w:p>
    <w:p w14:paraId="192570C3" w14:textId="2DA043C0" w:rsidR="00FC1BE6" w:rsidRDefault="009B45E2" w:rsidP="00721EB3">
      <w:pPr>
        <w:rPr>
          <w:w w:val="105"/>
        </w:rPr>
      </w:pPr>
      <w:r w:rsidRPr="009B45E2">
        <w:rPr>
          <w:w w:val="105"/>
        </w:rPr>
        <w:t>In summary, columns (</w:t>
      </w:r>
      <w:proofErr w:type="spellStart"/>
      <w:r w:rsidRPr="009B45E2">
        <w:rPr>
          <w:w w:val="105"/>
        </w:rPr>
        <w:t>i</w:t>
      </w:r>
      <w:proofErr w:type="spellEnd"/>
      <w:r w:rsidRPr="009B45E2">
        <w:rPr>
          <w:w w:val="105"/>
        </w:rPr>
        <w:t xml:space="preserve">) and (ii) of Tables </w:t>
      </w:r>
      <w:r w:rsidR="00134586">
        <w:rPr>
          <w:w w:val="105"/>
        </w:rPr>
        <w:t>6</w:t>
      </w:r>
      <w:r w:rsidRPr="009B45E2">
        <w:rPr>
          <w:w w:val="105"/>
        </w:rPr>
        <w:t>–</w:t>
      </w:r>
      <w:r w:rsidR="00134586">
        <w:rPr>
          <w:w w:val="105"/>
        </w:rPr>
        <w:t>10</w:t>
      </w:r>
      <w:r w:rsidR="00134586" w:rsidRPr="009B45E2">
        <w:rPr>
          <w:w w:val="105"/>
        </w:rPr>
        <w:t xml:space="preserve"> </w:t>
      </w:r>
      <w:r w:rsidR="000911CF">
        <w:rPr>
          <w:w w:val="105"/>
        </w:rPr>
        <w:t>show</w:t>
      </w:r>
      <w:r w:rsidRPr="009B45E2">
        <w:rPr>
          <w:w w:val="105"/>
        </w:rPr>
        <w:t xml:space="preserve"> mixed long-term employment outcomes for the five groups who experienced </w:t>
      </w:r>
      <w:r w:rsidR="00CB11C1">
        <w:rPr>
          <w:w w:val="105"/>
        </w:rPr>
        <w:t xml:space="preserve">different </w:t>
      </w:r>
      <w:r w:rsidR="0097512D">
        <w:rPr>
          <w:w w:val="105"/>
        </w:rPr>
        <w:t>socio-economic</w:t>
      </w:r>
      <w:r w:rsidR="00CB11C1">
        <w:rPr>
          <w:w w:val="105"/>
        </w:rPr>
        <w:t xml:space="preserve"> </w:t>
      </w:r>
      <w:r w:rsidR="00CB11C1" w:rsidRPr="00BD38F3">
        <w:rPr>
          <w:w w:val="105"/>
        </w:rPr>
        <w:t>backgrounds</w:t>
      </w:r>
      <w:r w:rsidR="00EF1223">
        <w:rPr>
          <w:w w:val="105"/>
        </w:rPr>
        <w:t xml:space="preserve">. </w:t>
      </w:r>
      <w:r w:rsidR="00EF1223" w:rsidRPr="00EF1223">
        <w:rPr>
          <w:w w:val="105"/>
        </w:rPr>
        <w:t>Employment and earnings outcomes for Indigenous Australians are broadly comparable to those of non-Indigenous workers, aligning with the short-term findings reported by Li (2014) and Tomaszewski et al. (2019).</w:t>
      </w:r>
      <w:r w:rsidR="00EF1223">
        <w:rPr>
          <w:w w:val="105"/>
        </w:rPr>
        <w:t xml:space="preserve"> </w:t>
      </w:r>
      <w:r w:rsidRPr="009B45E2">
        <w:rPr>
          <w:w w:val="105"/>
        </w:rPr>
        <w:t xml:space="preserve">Similarly, paternal unemployment during childhood has little impact on the five labour market outcomes considered. </w:t>
      </w:r>
      <w:r w:rsidR="001D63FA">
        <w:rPr>
          <w:w w:val="105"/>
        </w:rPr>
        <w:t>Furthermore, t</w:t>
      </w:r>
      <w:r w:rsidRPr="009B45E2">
        <w:rPr>
          <w:w w:val="105"/>
        </w:rPr>
        <w:t xml:space="preserve">he results are similar for Australians </w:t>
      </w:r>
      <w:r w:rsidR="000911CF">
        <w:rPr>
          <w:w w:val="105"/>
        </w:rPr>
        <w:t>who grew up</w:t>
      </w:r>
      <w:r w:rsidRPr="009B45E2">
        <w:rPr>
          <w:w w:val="105"/>
        </w:rPr>
        <w:t xml:space="preserve"> in single-parent families, with </w:t>
      </w:r>
      <w:r w:rsidR="00B928BD">
        <w:rPr>
          <w:w w:val="105"/>
        </w:rPr>
        <w:t>the exception</w:t>
      </w:r>
      <w:r w:rsidRPr="009B45E2">
        <w:rPr>
          <w:w w:val="105"/>
        </w:rPr>
        <w:t xml:space="preserve"> that their weekly earnings are higher than those of individuals from two-parent families. </w:t>
      </w:r>
      <w:r w:rsidR="000911CF">
        <w:rPr>
          <w:w w:val="105"/>
        </w:rPr>
        <w:t>In a</w:t>
      </w:r>
      <w:r w:rsidRPr="009B45E2">
        <w:rPr>
          <w:w w:val="105"/>
        </w:rPr>
        <w:t xml:space="preserve">ddition, low SES in childhood </w:t>
      </w:r>
      <w:r w:rsidR="00B03361">
        <w:rPr>
          <w:w w:val="105"/>
        </w:rPr>
        <w:t>has no</w:t>
      </w:r>
      <w:r w:rsidRPr="009B45E2">
        <w:rPr>
          <w:w w:val="105"/>
        </w:rPr>
        <w:t xml:space="preserve"> statistically significant association with full-time employment, weekly earnings, or job satisfaction. However, it is positively associated with permanent or ongoing </w:t>
      </w:r>
      <w:r w:rsidR="00FC1BE6" w:rsidRPr="009B45E2">
        <w:rPr>
          <w:w w:val="105"/>
        </w:rPr>
        <w:t>employment but</w:t>
      </w:r>
      <w:r w:rsidRPr="009B45E2">
        <w:rPr>
          <w:w w:val="105"/>
        </w:rPr>
        <w:t xml:space="preserve"> negatively associated with managerial or professional employment. </w:t>
      </w:r>
      <w:r w:rsidR="00EF1223" w:rsidRPr="00EF1223">
        <w:rPr>
          <w:w w:val="105"/>
        </w:rPr>
        <w:t xml:space="preserve">Tomaszewski et al. (2021), using data from the Australian Census Longitudinal Dataset (ACLD), examine the short-term labour market </w:t>
      </w:r>
      <w:r w:rsidR="00EF1223" w:rsidRPr="00EF1223">
        <w:rPr>
          <w:w w:val="105"/>
        </w:rPr>
        <w:lastRenderedPageBreak/>
        <w:t>outcomes of recent university graduates. They find that graduates from high SES backgrounds are more likely to secure employment in managerial or professional occupations than those from low</w:t>
      </w:r>
      <w:r w:rsidR="005D3C9B">
        <w:rPr>
          <w:w w:val="105"/>
        </w:rPr>
        <w:t xml:space="preserve"> </w:t>
      </w:r>
      <w:r w:rsidR="00EF1223" w:rsidRPr="00EF1223">
        <w:rPr>
          <w:w w:val="105"/>
        </w:rPr>
        <w:t>SES backgrounds. However, they report no significant income differences between the two groups. These short-term findings align closely with our long-term results based on data from the HILDA Survey.</w:t>
      </w:r>
    </w:p>
    <w:p w14:paraId="2DE3C494" w14:textId="75F4A4A2" w:rsidR="00F35D01" w:rsidRPr="00F35D01" w:rsidRDefault="00F35D01" w:rsidP="00721EB3">
      <w:pPr>
        <w:rPr>
          <w:w w:val="105"/>
        </w:rPr>
      </w:pPr>
      <w:r w:rsidRPr="00F35D01">
        <w:rPr>
          <w:w w:val="105"/>
        </w:rPr>
        <w:t>Furthermore, our results consistently show that</w:t>
      </w:r>
      <w:r w:rsidR="005D3C9B">
        <w:rPr>
          <w:w w:val="105"/>
        </w:rPr>
        <w:t xml:space="preserve"> NESB</w:t>
      </w:r>
      <w:r w:rsidRPr="00F35D01">
        <w:rPr>
          <w:w w:val="105"/>
        </w:rPr>
        <w:t xml:space="preserve"> individuals</w:t>
      </w:r>
      <w:r w:rsidR="005D3C9B">
        <w:rPr>
          <w:w w:val="105"/>
        </w:rPr>
        <w:t xml:space="preserve"> </w:t>
      </w:r>
      <w:r w:rsidRPr="00F35D01">
        <w:rPr>
          <w:w w:val="105"/>
        </w:rPr>
        <w:t>face greater challenges in the labour market across several outcome domains</w:t>
      </w:r>
      <w:r w:rsidR="009B0E7D">
        <w:rPr>
          <w:w w:val="105"/>
        </w:rPr>
        <w:t xml:space="preserve">, </w:t>
      </w:r>
      <w:r w:rsidRPr="00F35D01">
        <w:rPr>
          <w:w w:val="105"/>
        </w:rPr>
        <w:t xml:space="preserve">including </w:t>
      </w:r>
      <w:r w:rsidR="009B0E7D">
        <w:rPr>
          <w:w w:val="105"/>
        </w:rPr>
        <w:t>managerial or professional</w:t>
      </w:r>
      <w:r w:rsidRPr="00F35D01">
        <w:rPr>
          <w:w w:val="105"/>
        </w:rPr>
        <w:t xml:space="preserve"> employment, </w:t>
      </w:r>
      <w:r w:rsidR="009B0E7D">
        <w:rPr>
          <w:w w:val="105"/>
        </w:rPr>
        <w:t>weekly earnings</w:t>
      </w:r>
      <w:r w:rsidRPr="00F35D01">
        <w:rPr>
          <w:w w:val="105"/>
        </w:rPr>
        <w:t xml:space="preserve">, and job satisfaction. This disadvantage persists despite their higher likelihood of enrolling in prestigious, higher-paying fields of study. In other words, the labour market disadvantage for NESB individuals would likely be even greater were it not for this </w:t>
      </w:r>
      <w:r w:rsidR="005D3C9B">
        <w:rPr>
          <w:w w:val="105"/>
        </w:rPr>
        <w:t>“</w:t>
      </w:r>
      <w:r w:rsidRPr="00F35D01">
        <w:rPr>
          <w:w w:val="105"/>
        </w:rPr>
        <w:t>head start</w:t>
      </w:r>
      <w:r w:rsidR="005D3C9B">
        <w:rPr>
          <w:w w:val="105"/>
        </w:rPr>
        <w:t>”</w:t>
      </w:r>
      <w:r w:rsidRPr="00F35D01">
        <w:rPr>
          <w:w w:val="105"/>
        </w:rPr>
        <w:t xml:space="preserve"> associated with field of study. These findings suggest that, overall, Australians from NESB backgrounds encounter persistent and multifaceted barriers in the labour market, even after completing tertiary education and </w:t>
      </w:r>
      <w:r w:rsidR="008D0B67" w:rsidRPr="00F35D01">
        <w:rPr>
          <w:w w:val="105"/>
        </w:rPr>
        <w:t>training. This</w:t>
      </w:r>
      <w:r w:rsidRPr="00F35D01">
        <w:rPr>
          <w:w w:val="105"/>
        </w:rPr>
        <w:t xml:space="preserve"> raises the question: why does this disparity persist? As noted earlier, the lack of educational disadvantage among NESB individuals may partly reflect positive selection through Australia’s migration system, as well as cultural values that emphasise education and career achievement. However, their weaker labour market outcomes suggest the presence of substantial barriers post-graduation. For example, their underrepresentation in managerial roles may indicate a glass ceiling effect. Such outcomes may be driven by factors including structural racism, unconscious bias, and cultural mismatch in the workplace. While the current data do not allow us to identify the precise mechanisms at play, the evidence clearly highlights the need for further research to better understand and address the labour market disadvantages faced by NESB Australians.</w:t>
      </w:r>
    </w:p>
    <w:p w14:paraId="6C610FFF" w14:textId="15CB1FBB" w:rsidR="00DF6BDA" w:rsidRPr="00DF6BDA" w:rsidRDefault="00DF6BDA" w:rsidP="00721EB3">
      <w:pPr>
        <w:rPr>
          <w:w w:val="105"/>
        </w:rPr>
      </w:pPr>
      <w:r w:rsidRPr="00DF6BDA">
        <w:rPr>
          <w:w w:val="105"/>
        </w:rPr>
        <w:t xml:space="preserve">A comparison of columns (ii) and (iii) in Tables 6–10 suggests that university subject choice plays a significant role in improving the employment and earnings outcomes of NESB graduates relative to the general population. Specifically, </w:t>
      </w:r>
      <w:r w:rsidR="00EB69D7">
        <w:rPr>
          <w:w w:val="105"/>
        </w:rPr>
        <w:t xml:space="preserve">NESB graduates exhibit </w:t>
      </w:r>
      <w:r w:rsidR="00CB6D95">
        <w:rPr>
          <w:w w:val="105"/>
        </w:rPr>
        <w:t xml:space="preserve">a </w:t>
      </w:r>
      <w:r w:rsidR="00EB69D7">
        <w:rPr>
          <w:w w:val="105"/>
        </w:rPr>
        <w:t>reduced earnings gap relative to their ESB counterparts when field of education is controlled for</w:t>
      </w:r>
      <w:r w:rsidR="00953F35">
        <w:rPr>
          <w:w w:val="105"/>
        </w:rPr>
        <w:t xml:space="preserve"> in</w:t>
      </w:r>
      <w:r w:rsidR="00EB69D7">
        <w:rPr>
          <w:w w:val="105"/>
        </w:rPr>
        <w:t xml:space="preserve"> column (iii)</w:t>
      </w:r>
      <w:r w:rsidRPr="00DF6BDA">
        <w:rPr>
          <w:w w:val="105"/>
        </w:rPr>
        <w:t>. These results align with the findings in Section 6.</w:t>
      </w:r>
      <w:r w:rsidR="00EB69D7">
        <w:rPr>
          <w:w w:val="105"/>
        </w:rPr>
        <w:t>2</w:t>
      </w:r>
      <w:r w:rsidRPr="00DF6BDA">
        <w:rPr>
          <w:w w:val="105"/>
        </w:rPr>
        <w:t>, which show that NESB students are more likely to select high-paying fields of study and less likely to enrol in low-paying ones. Consequently, labour market disadvantages faced by NESB graduates may be obscured if academic specialisation is not accounted for.</w:t>
      </w:r>
      <w:r>
        <w:rPr>
          <w:w w:val="105"/>
        </w:rPr>
        <w:t xml:space="preserve"> </w:t>
      </w:r>
      <w:r w:rsidRPr="00DF6BDA">
        <w:rPr>
          <w:w w:val="105"/>
        </w:rPr>
        <w:t xml:space="preserve">In contrast, field of study appears to have a limited role in explaining labour market disparities among individuals from the other four disadvantaged </w:t>
      </w:r>
      <w:r w:rsidR="0097512D">
        <w:rPr>
          <w:w w:val="105"/>
        </w:rPr>
        <w:t>socio-economic</w:t>
      </w:r>
      <w:r w:rsidRPr="00DF6BDA">
        <w:rPr>
          <w:w w:val="105"/>
        </w:rPr>
        <w:t xml:space="preserve"> backgrounds</w:t>
      </w:r>
      <w:r w:rsidR="00EB69D7">
        <w:rPr>
          <w:w w:val="105"/>
        </w:rPr>
        <w:t xml:space="preserve"> (</w:t>
      </w:r>
      <w:r w:rsidRPr="00DF6BDA">
        <w:rPr>
          <w:w w:val="105"/>
        </w:rPr>
        <w:t>namely, those of Indigenous origin, low childhood SES, a father with unemployment experience during childhood, and those who lived in a single-parent household at age 14</w:t>
      </w:r>
      <w:r w:rsidR="00EB69D7">
        <w:rPr>
          <w:w w:val="105"/>
        </w:rPr>
        <w:t>)</w:t>
      </w:r>
      <w:r w:rsidRPr="00DF6BDA">
        <w:rPr>
          <w:w w:val="105"/>
        </w:rPr>
        <w:t>.</w:t>
      </w:r>
    </w:p>
    <w:p w14:paraId="4A3BCB8F" w14:textId="287CBDEC" w:rsidR="00DD1020" w:rsidRPr="0016620E" w:rsidRDefault="00DD1020" w:rsidP="00B76CDF">
      <w:pPr>
        <w:spacing w:line="240" w:lineRule="auto"/>
        <w:ind w:right="680"/>
        <w:rPr>
          <w:rFonts w:cs="Arial"/>
          <w:sz w:val="20"/>
          <w:szCs w:val="20"/>
        </w:rPr>
      </w:pPr>
      <w:r w:rsidRPr="0016620E">
        <w:rPr>
          <w:rFonts w:cs="Arial"/>
          <w:sz w:val="20"/>
          <w:szCs w:val="20"/>
        </w:rPr>
        <w:br w:type="page"/>
      </w:r>
    </w:p>
    <w:p w14:paraId="550E30C1" w14:textId="77777777" w:rsidR="009D6D47" w:rsidRPr="0016620E" w:rsidRDefault="009D6D47" w:rsidP="004D121F">
      <w:pPr>
        <w:pStyle w:val="Heading1"/>
      </w:pPr>
      <w:bookmarkStart w:id="72" w:name="_Toc222998775"/>
      <w:r w:rsidRPr="0016620E">
        <w:lastRenderedPageBreak/>
        <w:t>Discussion</w:t>
      </w:r>
      <w:bookmarkEnd w:id="72"/>
    </w:p>
    <w:p w14:paraId="1C764F75" w14:textId="68F26076" w:rsidR="00F813A6" w:rsidRPr="00102C07" w:rsidRDefault="00186F2F" w:rsidP="0095055E">
      <w:pPr>
        <w:pStyle w:val="Heading2"/>
        <w:rPr>
          <w:w w:val="105"/>
        </w:rPr>
      </w:pPr>
      <w:bookmarkStart w:id="73" w:name="_Toc222998776"/>
      <w:r w:rsidRPr="00186F2F">
        <w:rPr>
          <w:w w:val="105"/>
        </w:rPr>
        <w:t xml:space="preserve">Patterns </w:t>
      </w:r>
      <w:r w:rsidR="00250E21">
        <w:rPr>
          <w:w w:val="105"/>
        </w:rPr>
        <w:t>in</w:t>
      </w:r>
      <w:r w:rsidRPr="00186F2F">
        <w:rPr>
          <w:w w:val="105"/>
        </w:rPr>
        <w:t xml:space="preserve"> graduates</w:t>
      </w:r>
      <w:r w:rsidR="00AC1465">
        <w:rPr>
          <w:w w:val="105"/>
        </w:rPr>
        <w:t xml:space="preserve">’ </w:t>
      </w:r>
      <w:r w:rsidRPr="00186F2F">
        <w:rPr>
          <w:w w:val="105"/>
        </w:rPr>
        <w:t>field</w:t>
      </w:r>
      <w:r w:rsidR="001D2DDB">
        <w:rPr>
          <w:w w:val="105"/>
        </w:rPr>
        <w:t>s</w:t>
      </w:r>
      <w:r w:rsidRPr="00186F2F">
        <w:rPr>
          <w:w w:val="105"/>
        </w:rPr>
        <w:t xml:space="preserve"> of study and subsequent labour market performance</w:t>
      </w:r>
      <w:bookmarkEnd w:id="73"/>
      <w:r w:rsidRPr="00186F2F">
        <w:rPr>
          <w:w w:val="105"/>
        </w:rPr>
        <w:t xml:space="preserve"> </w:t>
      </w:r>
    </w:p>
    <w:p w14:paraId="73F15DD9" w14:textId="1D2CC532" w:rsidR="00735AB0" w:rsidRPr="00102C07" w:rsidRDefault="00F61D97" w:rsidP="00721EB3">
      <w:pPr>
        <w:rPr>
          <w:w w:val="105"/>
        </w:rPr>
      </w:pPr>
      <w:r w:rsidRPr="00F61D97">
        <w:rPr>
          <w:w w:val="105"/>
        </w:rPr>
        <w:t xml:space="preserve">We identified significant </w:t>
      </w:r>
      <w:r w:rsidR="002824D4">
        <w:rPr>
          <w:w w:val="105"/>
        </w:rPr>
        <w:t>patterns</w:t>
      </w:r>
      <w:r w:rsidRPr="00F61D97">
        <w:rPr>
          <w:w w:val="105"/>
        </w:rPr>
        <w:t xml:space="preserve"> in the academic preferences of Australian graduates, revealing a concentration in a few key disciplines and notable shifts in preferences between those born before and after 1980. Specifically, the majority of graduates earned degrees in the fields of Management and </w:t>
      </w:r>
      <w:r w:rsidR="00CB6D95">
        <w:rPr>
          <w:w w:val="105"/>
        </w:rPr>
        <w:t>C</w:t>
      </w:r>
      <w:r w:rsidRPr="00F61D97">
        <w:rPr>
          <w:w w:val="105"/>
        </w:rPr>
        <w:t xml:space="preserve">ommerce, Education, and Society and </w:t>
      </w:r>
      <w:r w:rsidR="00CB6D95">
        <w:rPr>
          <w:w w:val="105"/>
        </w:rPr>
        <w:t>C</w:t>
      </w:r>
      <w:r w:rsidRPr="00F61D97">
        <w:rPr>
          <w:w w:val="105"/>
        </w:rPr>
        <w:t xml:space="preserve">ulture, which together accounted for almost half of all degrees awarded. Conversely, the least popular fields </w:t>
      </w:r>
      <w:r w:rsidR="001276D0">
        <w:rPr>
          <w:w w:val="105"/>
        </w:rPr>
        <w:t>were</w:t>
      </w:r>
      <w:r w:rsidRPr="00F61D97">
        <w:rPr>
          <w:w w:val="105"/>
        </w:rPr>
        <w:t xml:space="preserve"> Food, </w:t>
      </w:r>
      <w:r w:rsidR="00CB6D95">
        <w:rPr>
          <w:w w:val="105"/>
        </w:rPr>
        <w:t>H</w:t>
      </w:r>
      <w:r w:rsidRPr="00F61D97">
        <w:rPr>
          <w:w w:val="105"/>
        </w:rPr>
        <w:t xml:space="preserve">ospitality, and </w:t>
      </w:r>
      <w:r w:rsidR="00CB6D95">
        <w:rPr>
          <w:w w:val="105"/>
        </w:rPr>
        <w:t>P</w:t>
      </w:r>
      <w:r w:rsidRPr="00F61D97">
        <w:rPr>
          <w:w w:val="105"/>
        </w:rPr>
        <w:t xml:space="preserve">ersonal </w:t>
      </w:r>
      <w:r w:rsidR="00CB6D95">
        <w:rPr>
          <w:w w:val="105"/>
        </w:rPr>
        <w:t>S</w:t>
      </w:r>
      <w:r w:rsidRPr="00F61D97">
        <w:rPr>
          <w:w w:val="105"/>
        </w:rPr>
        <w:t>ervices</w:t>
      </w:r>
      <w:r w:rsidR="00CB6D95">
        <w:rPr>
          <w:w w:val="105"/>
        </w:rPr>
        <w:t>;</w:t>
      </w:r>
      <w:r w:rsidRPr="00F61D97">
        <w:rPr>
          <w:w w:val="105"/>
        </w:rPr>
        <w:t xml:space="preserve"> Agriculture, </w:t>
      </w:r>
      <w:r w:rsidR="00CB6D95">
        <w:rPr>
          <w:w w:val="105"/>
        </w:rPr>
        <w:t>E</w:t>
      </w:r>
      <w:r w:rsidRPr="00F61D97">
        <w:rPr>
          <w:w w:val="105"/>
        </w:rPr>
        <w:t xml:space="preserve">nvironment, and </w:t>
      </w:r>
      <w:r w:rsidR="00CB6D95">
        <w:rPr>
          <w:w w:val="105"/>
        </w:rPr>
        <w:t>R</w:t>
      </w:r>
      <w:r w:rsidRPr="00F61D97">
        <w:rPr>
          <w:w w:val="105"/>
        </w:rPr>
        <w:t xml:space="preserve">elated </w:t>
      </w:r>
      <w:r w:rsidR="00CB6D95">
        <w:rPr>
          <w:w w:val="105"/>
        </w:rPr>
        <w:t>S</w:t>
      </w:r>
      <w:r w:rsidRPr="00F61D97">
        <w:rPr>
          <w:w w:val="105"/>
        </w:rPr>
        <w:t>tudies</w:t>
      </w:r>
      <w:r w:rsidR="00CB6D95">
        <w:rPr>
          <w:w w:val="105"/>
        </w:rPr>
        <w:t>;</w:t>
      </w:r>
      <w:r w:rsidRPr="00F61D97">
        <w:rPr>
          <w:w w:val="105"/>
        </w:rPr>
        <w:t xml:space="preserve"> and Others, reflecting their limited appeal </w:t>
      </w:r>
      <w:r w:rsidR="00F14931">
        <w:rPr>
          <w:w w:val="105"/>
        </w:rPr>
        <w:t>to</w:t>
      </w:r>
      <w:r w:rsidRPr="00F61D97">
        <w:rPr>
          <w:w w:val="105"/>
        </w:rPr>
        <w:t xml:space="preserve"> students. We also observed that the younger generation (</w:t>
      </w:r>
      <w:r w:rsidR="00F14931">
        <w:rPr>
          <w:w w:val="105"/>
        </w:rPr>
        <w:t xml:space="preserve">those </w:t>
      </w:r>
      <w:r w:rsidRPr="00F61D97">
        <w:rPr>
          <w:w w:val="105"/>
        </w:rPr>
        <w:t xml:space="preserve">born in 1980 or later) </w:t>
      </w:r>
      <w:r w:rsidR="002824D4">
        <w:rPr>
          <w:w w:val="105"/>
        </w:rPr>
        <w:t>ha</w:t>
      </w:r>
      <w:r w:rsidR="00F14931">
        <w:rPr>
          <w:w w:val="105"/>
        </w:rPr>
        <w:t>ve</w:t>
      </w:r>
      <w:r w:rsidR="002824D4">
        <w:rPr>
          <w:w w:val="105"/>
        </w:rPr>
        <w:t xml:space="preserve"> moved away</w:t>
      </w:r>
      <w:r w:rsidRPr="00F61D97">
        <w:rPr>
          <w:w w:val="105"/>
        </w:rPr>
        <w:t xml:space="preserve"> from traditional fields such as Education, Society and </w:t>
      </w:r>
      <w:r w:rsidR="00CB6D95">
        <w:rPr>
          <w:w w:val="105"/>
        </w:rPr>
        <w:t>C</w:t>
      </w:r>
      <w:r w:rsidRPr="00F61D97">
        <w:rPr>
          <w:w w:val="105"/>
        </w:rPr>
        <w:t xml:space="preserve">ulture, and Nursing, </w:t>
      </w:r>
      <w:r w:rsidR="00F14931">
        <w:rPr>
          <w:w w:val="105"/>
        </w:rPr>
        <w:t>in favour of</w:t>
      </w:r>
      <w:r w:rsidRPr="00F61D97">
        <w:rPr>
          <w:w w:val="105"/>
        </w:rPr>
        <w:t xml:space="preserve"> increasingly popular </w:t>
      </w:r>
      <w:r w:rsidR="001276D0">
        <w:rPr>
          <w:w w:val="105"/>
        </w:rPr>
        <w:t>fields</w:t>
      </w:r>
      <w:r w:rsidRPr="00F61D97">
        <w:rPr>
          <w:w w:val="105"/>
        </w:rPr>
        <w:t xml:space="preserve"> </w:t>
      </w:r>
      <w:r w:rsidR="001276D0">
        <w:rPr>
          <w:w w:val="105"/>
        </w:rPr>
        <w:t>such as</w:t>
      </w:r>
      <w:r w:rsidRPr="00F61D97">
        <w:rPr>
          <w:w w:val="105"/>
        </w:rPr>
        <w:t xml:space="preserve"> Creative </w:t>
      </w:r>
      <w:r w:rsidR="00461C38">
        <w:rPr>
          <w:w w:val="105"/>
        </w:rPr>
        <w:t>A</w:t>
      </w:r>
      <w:r w:rsidRPr="00F61D97">
        <w:rPr>
          <w:w w:val="105"/>
        </w:rPr>
        <w:t>rts, Law, and</w:t>
      </w:r>
      <w:r w:rsidR="00461C38">
        <w:rPr>
          <w:w w:val="105"/>
        </w:rPr>
        <w:t xml:space="preserve"> </w:t>
      </w:r>
      <w:r w:rsidRPr="00F61D97">
        <w:rPr>
          <w:w w:val="105"/>
        </w:rPr>
        <w:t xml:space="preserve">Other </w:t>
      </w:r>
      <w:r w:rsidR="00461C38">
        <w:rPr>
          <w:w w:val="105"/>
        </w:rPr>
        <w:t>H</w:t>
      </w:r>
      <w:r w:rsidRPr="00F61D97">
        <w:rPr>
          <w:w w:val="105"/>
        </w:rPr>
        <w:t>ealth-</w:t>
      </w:r>
      <w:r w:rsidR="00461C38">
        <w:rPr>
          <w:w w:val="105"/>
        </w:rPr>
        <w:t>R</w:t>
      </w:r>
      <w:r w:rsidRPr="00F61D97">
        <w:rPr>
          <w:w w:val="105"/>
        </w:rPr>
        <w:t xml:space="preserve">elated. </w:t>
      </w:r>
      <w:r w:rsidR="00AF27F9">
        <w:rPr>
          <w:w w:val="105"/>
        </w:rPr>
        <w:t>In addition</w:t>
      </w:r>
      <w:r w:rsidRPr="00F61D97">
        <w:rPr>
          <w:w w:val="105"/>
        </w:rPr>
        <w:t xml:space="preserve">, our </w:t>
      </w:r>
      <w:r w:rsidR="00DF09DD">
        <w:rPr>
          <w:w w:val="105"/>
        </w:rPr>
        <w:t>analysis</w:t>
      </w:r>
      <w:r w:rsidRPr="00F61D97">
        <w:rPr>
          <w:w w:val="105"/>
        </w:rPr>
        <w:t xml:space="preserve"> </w:t>
      </w:r>
      <w:r w:rsidR="001276D0">
        <w:rPr>
          <w:w w:val="105"/>
        </w:rPr>
        <w:t>showed a consistent</w:t>
      </w:r>
      <w:r w:rsidRPr="00F61D97">
        <w:rPr>
          <w:w w:val="105"/>
        </w:rPr>
        <w:t xml:space="preserve"> preference for</w:t>
      </w:r>
      <w:r w:rsidR="0049275F">
        <w:rPr>
          <w:w w:val="105"/>
        </w:rPr>
        <w:t xml:space="preserve"> fields</w:t>
      </w:r>
      <w:r w:rsidRPr="00F61D97">
        <w:rPr>
          <w:w w:val="105"/>
        </w:rPr>
        <w:t xml:space="preserve"> </w:t>
      </w:r>
      <w:r w:rsidR="00B77035">
        <w:rPr>
          <w:w w:val="105"/>
        </w:rPr>
        <w:t>such as</w:t>
      </w:r>
      <w:r w:rsidRPr="00F61D97">
        <w:rPr>
          <w:w w:val="105"/>
        </w:rPr>
        <w:t xml:space="preserve"> Medicine and Agriculture, </w:t>
      </w:r>
      <w:r w:rsidR="00461C38">
        <w:rPr>
          <w:w w:val="105"/>
        </w:rPr>
        <w:t>E</w:t>
      </w:r>
      <w:r w:rsidRPr="00F61D97">
        <w:rPr>
          <w:w w:val="105"/>
        </w:rPr>
        <w:t xml:space="preserve">nvironment, and </w:t>
      </w:r>
      <w:r w:rsidR="00461C38">
        <w:rPr>
          <w:w w:val="105"/>
        </w:rPr>
        <w:t>R</w:t>
      </w:r>
      <w:r w:rsidRPr="00F61D97">
        <w:rPr>
          <w:w w:val="105"/>
        </w:rPr>
        <w:t xml:space="preserve">elated </w:t>
      </w:r>
      <w:r w:rsidR="00461C38">
        <w:rPr>
          <w:w w:val="105"/>
        </w:rPr>
        <w:t>S</w:t>
      </w:r>
      <w:r w:rsidRPr="00F61D97">
        <w:rPr>
          <w:w w:val="105"/>
        </w:rPr>
        <w:t xml:space="preserve">tudies across both birth cohorts, </w:t>
      </w:r>
      <w:r w:rsidR="00F14931">
        <w:rPr>
          <w:w w:val="105"/>
        </w:rPr>
        <w:t>suggesting</w:t>
      </w:r>
      <w:r w:rsidRPr="00F61D97">
        <w:rPr>
          <w:w w:val="105"/>
        </w:rPr>
        <w:t xml:space="preserve"> their </w:t>
      </w:r>
      <w:r w:rsidR="001276D0">
        <w:rPr>
          <w:w w:val="105"/>
        </w:rPr>
        <w:t>continued</w:t>
      </w:r>
      <w:r w:rsidRPr="00F61D97">
        <w:rPr>
          <w:w w:val="105"/>
        </w:rPr>
        <w:t xml:space="preserve"> appeal over time.</w:t>
      </w:r>
    </w:p>
    <w:p w14:paraId="4151E1BA" w14:textId="50F45DAD" w:rsidR="004F738D" w:rsidRPr="00102C07" w:rsidRDefault="008021A8" w:rsidP="00721EB3">
      <w:pPr>
        <w:rPr>
          <w:w w:val="105"/>
        </w:rPr>
      </w:pPr>
      <w:r w:rsidRPr="008021A8">
        <w:rPr>
          <w:w w:val="105"/>
        </w:rPr>
        <w:t xml:space="preserve">We </w:t>
      </w:r>
      <w:r w:rsidR="00D2384A">
        <w:rPr>
          <w:w w:val="105"/>
        </w:rPr>
        <w:t>documented</w:t>
      </w:r>
      <w:r w:rsidRPr="008021A8">
        <w:rPr>
          <w:w w:val="105"/>
        </w:rPr>
        <w:t xml:space="preserve"> significant crude differences in post-university labour market outcomes across </w:t>
      </w:r>
      <w:r w:rsidR="00D2384A">
        <w:rPr>
          <w:w w:val="105"/>
        </w:rPr>
        <w:t>different fields of study</w:t>
      </w:r>
      <w:r w:rsidRPr="008021A8">
        <w:rPr>
          <w:w w:val="105"/>
        </w:rPr>
        <w:t xml:space="preserve">. For </w:t>
      </w:r>
      <w:r w:rsidR="00D2384A">
        <w:rPr>
          <w:w w:val="105"/>
        </w:rPr>
        <w:t>example</w:t>
      </w:r>
      <w:r w:rsidRPr="008021A8">
        <w:rPr>
          <w:w w:val="105"/>
        </w:rPr>
        <w:t xml:space="preserve">, graduates in Engineering and </w:t>
      </w:r>
      <w:r w:rsidR="00461C38">
        <w:rPr>
          <w:w w:val="105"/>
        </w:rPr>
        <w:t>R</w:t>
      </w:r>
      <w:r w:rsidRPr="008021A8">
        <w:rPr>
          <w:w w:val="105"/>
        </w:rPr>
        <w:t xml:space="preserve">elated </w:t>
      </w:r>
      <w:r w:rsidR="00461C38">
        <w:rPr>
          <w:w w:val="105"/>
        </w:rPr>
        <w:t>T</w:t>
      </w:r>
      <w:r w:rsidRPr="008021A8">
        <w:rPr>
          <w:w w:val="105"/>
        </w:rPr>
        <w:t xml:space="preserve">echnologies and Food, </w:t>
      </w:r>
      <w:r w:rsidR="00461C38">
        <w:rPr>
          <w:w w:val="105"/>
        </w:rPr>
        <w:t>H</w:t>
      </w:r>
      <w:r w:rsidRPr="008021A8">
        <w:rPr>
          <w:w w:val="105"/>
        </w:rPr>
        <w:t xml:space="preserve">ospitality, and </w:t>
      </w:r>
      <w:r w:rsidR="00461C38">
        <w:rPr>
          <w:w w:val="105"/>
        </w:rPr>
        <w:t>P</w:t>
      </w:r>
      <w:r w:rsidRPr="008021A8">
        <w:rPr>
          <w:w w:val="105"/>
        </w:rPr>
        <w:t xml:space="preserve">ersonal </w:t>
      </w:r>
      <w:r w:rsidR="00461C38">
        <w:rPr>
          <w:w w:val="105"/>
        </w:rPr>
        <w:t>S</w:t>
      </w:r>
      <w:r w:rsidRPr="008021A8">
        <w:rPr>
          <w:w w:val="105"/>
        </w:rPr>
        <w:t xml:space="preserve">ervices had the highest rates of full-time employment, whereas those in Nursing and Other </w:t>
      </w:r>
      <w:r w:rsidR="00461C38">
        <w:rPr>
          <w:w w:val="105"/>
        </w:rPr>
        <w:t>H</w:t>
      </w:r>
      <w:r w:rsidRPr="008021A8">
        <w:rPr>
          <w:w w:val="105"/>
        </w:rPr>
        <w:t>ealth-</w:t>
      </w:r>
      <w:r w:rsidR="00461C38">
        <w:rPr>
          <w:w w:val="105"/>
        </w:rPr>
        <w:t>R</w:t>
      </w:r>
      <w:r w:rsidRPr="008021A8">
        <w:rPr>
          <w:w w:val="105"/>
        </w:rPr>
        <w:t xml:space="preserve">elated fields had the lowest. Some disciplines appeared to offer more opportunities for full-time employment, while others may have </w:t>
      </w:r>
      <w:r w:rsidR="00B34149">
        <w:rPr>
          <w:w w:val="105"/>
        </w:rPr>
        <w:t>offered</w:t>
      </w:r>
      <w:r w:rsidRPr="008021A8">
        <w:rPr>
          <w:w w:val="105"/>
        </w:rPr>
        <w:t xml:space="preserve"> greater flexibility in working arrangements, </w:t>
      </w:r>
      <w:r w:rsidR="00D2384A">
        <w:rPr>
          <w:w w:val="105"/>
        </w:rPr>
        <w:t>probabl</w:t>
      </w:r>
      <w:r w:rsidRPr="008021A8">
        <w:rPr>
          <w:w w:val="105"/>
        </w:rPr>
        <w:t xml:space="preserve">y due to the nature of the profession or the current state of the labour market. </w:t>
      </w:r>
      <w:r w:rsidR="00D2384A">
        <w:rPr>
          <w:w w:val="105"/>
        </w:rPr>
        <w:t>Furthermore, f</w:t>
      </w:r>
      <w:r w:rsidRPr="008021A8">
        <w:rPr>
          <w:w w:val="105"/>
        </w:rPr>
        <w:t xml:space="preserve">ields such as Nursing and </w:t>
      </w:r>
      <w:r w:rsidR="00464DFB" w:rsidRPr="00B13106">
        <w:rPr>
          <w:w w:val="105"/>
        </w:rPr>
        <w:t xml:space="preserve">Engineering and </w:t>
      </w:r>
      <w:r w:rsidR="00461C38">
        <w:rPr>
          <w:w w:val="105"/>
        </w:rPr>
        <w:t>R</w:t>
      </w:r>
      <w:r w:rsidR="00464DFB" w:rsidRPr="00B13106">
        <w:rPr>
          <w:w w:val="105"/>
        </w:rPr>
        <w:t xml:space="preserve">elated </w:t>
      </w:r>
      <w:r w:rsidR="00461C38">
        <w:rPr>
          <w:w w:val="105"/>
        </w:rPr>
        <w:t>T</w:t>
      </w:r>
      <w:r w:rsidR="00464DFB" w:rsidRPr="00B13106">
        <w:rPr>
          <w:w w:val="105"/>
        </w:rPr>
        <w:t>echnologies</w:t>
      </w:r>
      <w:r w:rsidRPr="008021A8">
        <w:rPr>
          <w:w w:val="105"/>
        </w:rPr>
        <w:t xml:space="preserve"> </w:t>
      </w:r>
      <w:r w:rsidR="00E748F3" w:rsidRPr="00E748F3">
        <w:rPr>
          <w:w w:val="105"/>
        </w:rPr>
        <w:t>were consistently above average in terms of permanent employment,</w:t>
      </w:r>
      <w:r w:rsidRPr="008021A8">
        <w:rPr>
          <w:w w:val="105"/>
        </w:rPr>
        <w:t xml:space="preserve"> suggesting more secure employment prospects in these </w:t>
      </w:r>
      <w:r w:rsidR="00B34149">
        <w:rPr>
          <w:w w:val="105"/>
        </w:rPr>
        <w:t>fields</w:t>
      </w:r>
      <w:r w:rsidRPr="008021A8">
        <w:rPr>
          <w:w w:val="105"/>
        </w:rPr>
        <w:t>. In contrast, graduates in fields</w:t>
      </w:r>
      <w:r w:rsidR="00CF36E5">
        <w:rPr>
          <w:w w:val="105"/>
        </w:rPr>
        <w:t xml:space="preserve"> such as</w:t>
      </w:r>
      <w:r w:rsidRPr="008021A8">
        <w:rPr>
          <w:w w:val="105"/>
        </w:rPr>
        <w:t xml:space="preserve"> Creative </w:t>
      </w:r>
      <w:r w:rsidR="00461C38">
        <w:rPr>
          <w:w w:val="105"/>
        </w:rPr>
        <w:t>A</w:t>
      </w:r>
      <w:r w:rsidRPr="008021A8">
        <w:rPr>
          <w:w w:val="105"/>
        </w:rPr>
        <w:t xml:space="preserve">rts and </w:t>
      </w:r>
      <w:r w:rsidR="008532E8" w:rsidRPr="00F61D97">
        <w:rPr>
          <w:w w:val="105"/>
        </w:rPr>
        <w:t xml:space="preserve">Agriculture, </w:t>
      </w:r>
      <w:r w:rsidR="00461C38">
        <w:rPr>
          <w:w w:val="105"/>
        </w:rPr>
        <w:t>E</w:t>
      </w:r>
      <w:r w:rsidR="008532E8" w:rsidRPr="00F61D97">
        <w:rPr>
          <w:w w:val="105"/>
        </w:rPr>
        <w:t xml:space="preserve">nvironment, and </w:t>
      </w:r>
      <w:r w:rsidR="00461C38">
        <w:rPr>
          <w:w w:val="105"/>
        </w:rPr>
        <w:t>R</w:t>
      </w:r>
      <w:r w:rsidR="008532E8" w:rsidRPr="00F61D97">
        <w:rPr>
          <w:w w:val="105"/>
        </w:rPr>
        <w:t xml:space="preserve">elated </w:t>
      </w:r>
      <w:r w:rsidR="00461C38">
        <w:rPr>
          <w:w w:val="105"/>
        </w:rPr>
        <w:t>S</w:t>
      </w:r>
      <w:r w:rsidR="008532E8" w:rsidRPr="00F61D97">
        <w:rPr>
          <w:w w:val="105"/>
        </w:rPr>
        <w:t>tudies</w:t>
      </w:r>
      <w:r w:rsidRPr="008021A8">
        <w:rPr>
          <w:w w:val="105"/>
        </w:rPr>
        <w:t xml:space="preserve"> had below-average rates of permanent employment, indicating less job security for </w:t>
      </w:r>
      <w:r w:rsidR="000D48B3">
        <w:rPr>
          <w:w w:val="105"/>
        </w:rPr>
        <w:t>graduates</w:t>
      </w:r>
      <w:r w:rsidR="003C0A5C">
        <w:rPr>
          <w:w w:val="105"/>
        </w:rPr>
        <w:t xml:space="preserve"> in</w:t>
      </w:r>
      <w:r w:rsidRPr="008021A8">
        <w:rPr>
          <w:w w:val="105"/>
        </w:rPr>
        <w:t xml:space="preserve"> these </w:t>
      </w:r>
      <w:r w:rsidR="0016144C">
        <w:rPr>
          <w:w w:val="105"/>
        </w:rPr>
        <w:t>fields</w:t>
      </w:r>
      <w:r w:rsidRPr="008021A8">
        <w:rPr>
          <w:w w:val="105"/>
        </w:rPr>
        <w:t>.</w:t>
      </w:r>
    </w:p>
    <w:p w14:paraId="46B7A30F" w14:textId="1EFC0A42" w:rsidR="008021A8" w:rsidRDefault="008021A8" w:rsidP="00721EB3">
      <w:pPr>
        <w:rPr>
          <w:w w:val="105"/>
        </w:rPr>
      </w:pPr>
      <w:r w:rsidRPr="008021A8">
        <w:rPr>
          <w:w w:val="105"/>
        </w:rPr>
        <w:t xml:space="preserve">There was also clear evidence of significant </w:t>
      </w:r>
      <w:r w:rsidR="00792CDC">
        <w:rPr>
          <w:w w:val="105"/>
        </w:rPr>
        <w:t>differences</w:t>
      </w:r>
      <w:r w:rsidRPr="008021A8">
        <w:rPr>
          <w:w w:val="105"/>
        </w:rPr>
        <w:t xml:space="preserve"> in the likelihood of securing a managerial or professional position across different fields of study. </w:t>
      </w:r>
      <w:r w:rsidR="00922BDF">
        <w:rPr>
          <w:w w:val="105"/>
        </w:rPr>
        <w:t>Around</w:t>
      </w:r>
      <w:r w:rsidR="0016144C">
        <w:rPr>
          <w:w w:val="105"/>
        </w:rPr>
        <w:t xml:space="preserve"> </w:t>
      </w:r>
      <w:r w:rsidRPr="008021A8">
        <w:rPr>
          <w:w w:val="105"/>
        </w:rPr>
        <w:t>9</w:t>
      </w:r>
      <w:r w:rsidR="00E9719B">
        <w:rPr>
          <w:w w:val="105"/>
        </w:rPr>
        <w:t>2</w:t>
      </w:r>
      <w:r w:rsidRPr="008021A8">
        <w:rPr>
          <w:w w:val="105"/>
        </w:rPr>
        <w:t xml:space="preserve">% of graduates in Medicine secured such positions, well above the </w:t>
      </w:r>
      <w:r w:rsidR="003E5BC3">
        <w:rPr>
          <w:w w:val="105"/>
        </w:rPr>
        <w:t xml:space="preserve">average of </w:t>
      </w:r>
      <w:r w:rsidRPr="008021A8">
        <w:rPr>
          <w:w w:val="105"/>
        </w:rPr>
        <w:t xml:space="preserve">77% </w:t>
      </w:r>
      <w:r w:rsidR="003E5BC3">
        <w:rPr>
          <w:w w:val="105"/>
        </w:rPr>
        <w:t>in</w:t>
      </w:r>
      <w:r w:rsidRPr="008021A8">
        <w:rPr>
          <w:w w:val="105"/>
        </w:rPr>
        <w:t xml:space="preserve"> our sample. In contrast, only 34% of graduates in Food, </w:t>
      </w:r>
      <w:r w:rsidR="00461C38">
        <w:rPr>
          <w:w w:val="105"/>
        </w:rPr>
        <w:t>H</w:t>
      </w:r>
      <w:r w:rsidRPr="008021A8">
        <w:rPr>
          <w:w w:val="105"/>
        </w:rPr>
        <w:t xml:space="preserve">ospitality, and </w:t>
      </w:r>
      <w:r w:rsidR="00461C38">
        <w:rPr>
          <w:w w:val="105"/>
        </w:rPr>
        <w:t>P</w:t>
      </w:r>
      <w:r w:rsidRPr="008021A8">
        <w:rPr>
          <w:w w:val="105"/>
        </w:rPr>
        <w:t xml:space="preserve">ersonal </w:t>
      </w:r>
      <w:r w:rsidR="00461C38">
        <w:rPr>
          <w:w w:val="105"/>
        </w:rPr>
        <w:t>S</w:t>
      </w:r>
      <w:r w:rsidRPr="008021A8">
        <w:rPr>
          <w:w w:val="105"/>
        </w:rPr>
        <w:t xml:space="preserve">ervices </w:t>
      </w:r>
      <w:r w:rsidR="0016144C" w:rsidRPr="0016144C">
        <w:rPr>
          <w:w w:val="105"/>
        </w:rPr>
        <w:t>achieved comparable positions</w:t>
      </w:r>
      <w:r w:rsidRPr="008021A8">
        <w:rPr>
          <w:w w:val="105"/>
        </w:rPr>
        <w:t xml:space="preserve">, </w:t>
      </w:r>
      <w:r w:rsidR="00792CDC">
        <w:rPr>
          <w:w w:val="105"/>
        </w:rPr>
        <w:t>suggesting</w:t>
      </w:r>
      <w:r w:rsidRPr="008021A8">
        <w:rPr>
          <w:w w:val="105"/>
        </w:rPr>
        <w:t xml:space="preserve"> more limited opportunities for career progression in these fields. </w:t>
      </w:r>
      <w:r w:rsidR="0016144C" w:rsidRPr="0016144C">
        <w:rPr>
          <w:w w:val="105"/>
        </w:rPr>
        <w:t>These differences are likely to reflect both the specialised skills associated with certain disciplines and the segmentation of the labour market.</w:t>
      </w:r>
    </w:p>
    <w:p w14:paraId="0B8B6F11" w14:textId="5930B5AC" w:rsidR="004F738D" w:rsidRPr="00102C07" w:rsidRDefault="00922E58" w:rsidP="00721EB3">
      <w:pPr>
        <w:rPr>
          <w:w w:val="105"/>
        </w:rPr>
      </w:pPr>
      <w:r>
        <w:rPr>
          <w:w w:val="105"/>
        </w:rPr>
        <w:t>In a</w:t>
      </w:r>
      <w:r w:rsidR="008021A8" w:rsidRPr="008021A8">
        <w:rPr>
          <w:w w:val="105"/>
        </w:rPr>
        <w:t xml:space="preserve">ddition, we observed substantial crude differences in gross earnings across fields of study. Graduates in Medicine and Engineering and </w:t>
      </w:r>
      <w:r w:rsidR="00461C38">
        <w:rPr>
          <w:w w:val="105"/>
        </w:rPr>
        <w:t>R</w:t>
      </w:r>
      <w:r w:rsidR="008021A8" w:rsidRPr="008021A8">
        <w:rPr>
          <w:w w:val="105"/>
        </w:rPr>
        <w:t xml:space="preserve">elated </w:t>
      </w:r>
      <w:r w:rsidR="00461C38">
        <w:rPr>
          <w:w w:val="105"/>
        </w:rPr>
        <w:t>T</w:t>
      </w:r>
      <w:r w:rsidR="008021A8" w:rsidRPr="008021A8">
        <w:rPr>
          <w:w w:val="105"/>
        </w:rPr>
        <w:t xml:space="preserve">echnologies </w:t>
      </w:r>
      <w:r w:rsidR="009C4EE2">
        <w:rPr>
          <w:w w:val="105"/>
        </w:rPr>
        <w:t>had</w:t>
      </w:r>
      <w:r w:rsidR="008021A8" w:rsidRPr="008021A8">
        <w:rPr>
          <w:w w:val="105"/>
        </w:rPr>
        <w:t xml:space="preserve"> the highest weekly </w:t>
      </w:r>
      <w:r w:rsidR="009C4EE2">
        <w:rPr>
          <w:w w:val="105"/>
        </w:rPr>
        <w:t>earnings</w:t>
      </w:r>
      <w:r w:rsidR="008021A8" w:rsidRPr="008021A8">
        <w:rPr>
          <w:w w:val="105"/>
        </w:rPr>
        <w:t xml:space="preserve">, while those in Creative </w:t>
      </w:r>
      <w:r w:rsidR="00461C38">
        <w:rPr>
          <w:w w:val="105"/>
        </w:rPr>
        <w:t>A</w:t>
      </w:r>
      <w:r w:rsidR="008021A8" w:rsidRPr="008021A8">
        <w:rPr>
          <w:w w:val="105"/>
        </w:rPr>
        <w:t xml:space="preserve">rts and Food, </w:t>
      </w:r>
      <w:r w:rsidR="00461C38">
        <w:rPr>
          <w:w w:val="105"/>
        </w:rPr>
        <w:t>H</w:t>
      </w:r>
      <w:r w:rsidR="008021A8" w:rsidRPr="008021A8">
        <w:rPr>
          <w:w w:val="105"/>
        </w:rPr>
        <w:t xml:space="preserve">ospitality, and </w:t>
      </w:r>
      <w:r w:rsidR="00461C38">
        <w:rPr>
          <w:w w:val="105"/>
        </w:rPr>
        <w:t>P</w:t>
      </w:r>
      <w:r w:rsidR="008021A8" w:rsidRPr="008021A8">
        <w:rPr>
          <w:w w:val="105"/>
        </w:rPr>
        <w:t xml:space="preserve">ersonal </w:t>
      </w:r>
      <w:r w:rsidR="00461C38">
        <w:rPr>
          <w:w w:val="105"/>
        </w:rPr>
        <w:t>S</w:t>
      </w:r>
      <w:r w:rsidR="008021A8" w:rsidRPr="008021A8">
        <w:rPr>
          <w:w w:val="105"/>
        </w:rPr>
        <w:t xml:space="preserve">ervices had significantly lower earnings. The economic premiums associated with technical and health-related fields </w:t>
      </w:r>
      <w:r w:rsidR="00177BC2">
        <w:rPr>
          <w:w w:val="105"/>
        </w:rPr>
        <w:t>probably</w:t>
      </w:r>
      <w:r w:rsidR="008021A8" w:rsidRPr="008021A8">
        <w:rPr>
          <w:w w:val="105"/>
        </w:rPr>
        <w:t xml:space="preserve"> reflect the extensive training required and the high demand for professionals in these </w:t>
      </w:r>
      <w:r w:rsidR="00177BC2">
        <w:rPr>
          <w:w w:val="105"/>
        </w:rPr>
        <w:t>fields</w:t>
      </w:r>
      <w:r w:rsidR="008021A8" w:rsidRPr="008021A8">
        <w:rPr>
          <w:w w:val="105"/>
        </w:rPr>
        <w:t xml:space="preserve">. Interestingly, job satisfaction did </w:t>
      </w:r>
      <w:r w:rsidR="008021A8" w:rsidRPr="008021A8">
        <w:rPr>
          <w:w w:val="105"/>
        </w:rPr>
        <w:lastRenderedPageBreak/>
        <w:t xml:space="preserve">not </w:t>
      </w:r>
      <w:r>
        <w:rPr>
          <w:w w:val="105"/>
        </w:rPr>
        <w:t xml:space="preserve">seem </w:t>
      </w:r>
      <w:r w:rsidR="008021A8" w:rsidRPr="008021A8">
        <w:rPr>
          <w:w w:val="105"/>
        </w:rPr>
        <w:t xml:space="preserve">to be strongly correlated with earnings. While graduates in Medicine reported the highest </w:t>
      </w:r>
      <w:r w:rsidR="00177BC2">
        <w:rPr>
          <w:w w:val="105"/>
        </w:rPr>
        <w:t xml:space="preserve">levels of </w:t>
      </w:r>
      <w:r w:rsidR="008021A8" w:rsidRPr="008021A8">
        <w:rPr>
          <w:w w:val="105"/>
        </w:rPr>
        <w:t xml:space="preserve">job satisfaction, </w:t>
      </w:r>
      <w:r w:rsidR="00177BC2">
        <w:rPr>
          <w:w w:val="105"/>
        </w:rPr>
        <w:t>those</w:t>
      </w:r>
      <w:r w:rsidR="008021A8" w:rsidRPr="008021A8">
        <w:rPr>
          <w:w w:val="105"/>
        </w:rPr>
        <w:t xml:space="preserve"> in the relatively low-paying field</w:t>
      </w:r>
      <w:r w:rsidR="00820C11">
        <w:rPr>
          <w:w w:val="105"/>
        </w:rPr>
        <w:t>s</w:t>
      </w:r>
      <w:r w:rsidR="008021A8" w:rsidRPr="008021A8">
        <w:rPr>
          <w:w w:val="105"/>
        </w:rPr>
        <w:t xml:space="preserve"> </w:t>
      </w:r>
      <w:r w:rsidR="00FB1944">
        <w:rPr>
          <w:w w:val="105"/>
        </w:rPr>
        <w:t>such as</w:t>
      </w:r>
      <w:r w:rsidR="008021A8" w:rsidRPr="008021A8">
        <w:rPr>
          <w:w w:val="105"/>
        </w:rPr>
        <w:t xml:space="preserve"> </w:t>
      </w:r>
      <w:r w:rsidR="008532E8" w:rsidRPr="008021A8">
        <w:rPr>
          <w:w w:val="105"/>
        </w:rPr>
        <w:t xml:space="preserve">Food, </w:t>
      </w:r>
      <w:r w:rsidR="00461C38">
        <w:rPr>
          <w:w w:val="105"/>
        </w:rPr>
        <w:t>H</w:t>
      </w:r>
      <w:r w:rsidR="008532E8" w:rsidRPr="008021A8">
        <w:rPr>
          <w:w w:val="105"/>
        </w:rPr>
        <w:t xml:space="preserve">ospitality, and </w:t>
      </w:r>
      <w:r w:rsidR="00461C38">
        <w:rPr>
          <w:w w:val="105"/>
        </w:rPr>
        <w:t>P</w:t>
      </w:r>
      <w:r w:rsidR="008532E8" w:rsidRPr="008021A8">
        <w:rPr>
          <w:w w:val="105"/>
        </w:rPr>
        <w:t xml:space="preserve">ersonal </w:t>
      </w:r>
      <w:r w:rsidR="00461C38">
        <w:rPr>
          <w:w w:val="105"/>
        </w:rPr>
        <w:t>S</w:t>
      </w:r>
      <w:r w:rsidR="008532E8" w:rsidRPr="008021A8">
        <w:rPr>
          <w:w w:val="105"/>
        </w:rPr>
        <w:t>ervices</w:t>
      </w:r>
      <w:r w:rsidR="008021A8" w:rsidRPr="008021A8">
        <w:rPr>
          <w:w w:val="105"/>
        </w:rPr>
        <w:t xml:space="preserve"> </w:t>
      </w:r>
      <w:r w:rsidR="00FB1944">
        <w:rPr>
          <w:w w:val="105"/>
        </w:rPr>
        <w:t xml:space="preserve">and Society and </w:t>
      </w:r>
      <w:r w:rsidR="00461C38">
        <w:rPr>
          <w:w w:val="105"/>
        </w:rPr>
        <w:t>C</w:t>
      </w:r>
      <w:r w:rsidR="00FB1944">
        <w:rPr>
          <w:w w:val="105"/>
        </w:rPr>
        <w:t xml:space="preserve">ulture </w:t>
      </w:r>
      <w:r w:rsidR="008021A8" w:rsidRPr="008021A8">
        <w:rPr>
          <w:w w:val="105"/>
        </w:rPr>
        <w:t>were not significantly l</w:t>
      </w:r>
      <w:r w:rsidR="00177BC2">
        <w:rPr>
          <w:w w:val="105"/>
        </w:rPr>
        <w:t>ess satisfied</w:t>
      </w:r>
      <w:r w:rsidR="008021A8" w:rsidRPr="008021A8">
        <w:rPr>
          <w:w w:val="105"/>
        </w:rPr>
        <w:t>. This suggests that non-monetary factors, such as personal fulfilment or work-life balance, m</w:t>
      </w:r>
      <w:r w:rsidR="00177BC2">
        <w:rPr>
          <w:w w:val="105"/>
        </w:rPr>
        <w:t>ay</w:t>
      </w:r>
      <w:r w:rsidR="008021A8" w:rsidRPr="008021A8">
        <w:rPr>
          <w:w w:val="105"/>
        </w:rPr>
        <w:t xml:space="preserve"> </w:t>
      </w:r>
      <w:r w:rsidR="003732B6">
        <w:rPr>
          <w:w w:val="105"/>
        </w:rPr>
        <w:t>also play an important</w:t>
      </w:r>
      <w:r w:rsidR="008021A8" w:rsidRPr="008021A8">
        <w:rPr>
          <w:w w:val="105"/>
        </w:rPr>
        <w:t xml:space="preserve"> role in overall job satisfaction.</w:t>
      </w:r>
    </w:p>
    <w:p w14:paraId="79B85C6C" w14:textId="3CB671A9" w:rsidR="00F813A6" w:rsidRPr="00102C07" w:rsidRDefault="00670921" w:rsidP="0095055E">
      <w:pPr>
        <w:pStyle w:val="Heading2"/>
        <w:rPr>
          <w:w w:val="105"/>
        </w:rPr>
      </w:pPr>
      <w:bookmarkStart w:id="74" w:name="_Toc222998777"/>
      <w:r>
        <w:rPr>
          <w:w w:val="105"/>
        </w:rPr>
        <w:t>I</w:t>
      </w:r>
      <w:r w:rsidR="001D1B14">
        <w:rPr>
          <w:w w:val="105"/>
        </w:rPr>
        <w:t>nfluence of</w:t>
      </w:r>
      <w:r w:rsidR="00DC7E88" w:rsidRPr="00102C07">
        <w:rPr>
          <w:w w:val="105"/>
        </w:rPr>
        <w:t xml:space="preserve"> </w:t>
      </w:r>
      <w:r w:rsidR="0097512D">
        <w:rPr>
          <w:w w:val="105"/>
        </w:rPr>
        <w:t>socio-economic</w:t>
      </w:r>
      <w:r w:rsidR="00A43856" w:rsidRPr="00BE77EB">
        <w:rPr>
          <w:w w:val="105"/>
        </w:rPr>
        <w:t xml:space="preserve"> backgrounds</w:t>
      </w:r>
      <w:r w:rsidR="00A43856">
        <w:rPr>
          <w:w w:val="105"/>
        </w:rPr>
        <w:t xml:space="preserve"> </w:t>
      </w:r>
      <w:r w:rsidR="001D1B14">
        <w:rPr>
          <w:w w:val="105"/>
        </w:rPr>
        <w:t>on</w:t>
      </w:r>
      <w:r w:rsidR="00DC7E88" w:rsidRPr="00102C07">
        <w:rPr>
          <w:w w:val="105"/>
        </w:rPr>
        <w:t xml:space="preserve"> </w:t>
      </w:r>
      <w:r w:rsidR="0088256E" w:rsidRPr="0088256E">
        <w:rPr>
          <w:w w:val="105"/>
        </w:rPr>
        <w:t>the choice of field</w:t>
      </w:r>
      <w:r w:rsidR="00CB1A5D">
        <w:rPr>
          <w:w w:val="105"/>
        </w:rPr>
        <w:t>s</w:t>
      </w:r>
      <w:r w:rsidR="0088256E" w:rsidRPr="0088256E">
        <w:rPr>
          <w:w w:val="105"/>
        </w:rPr>
        <w:t xml:space="preserve"> of study</w:t>
      </w:r>
      <w:r w:rsidR="0088256E">
        <w:rPr>
          <w:w w:val="105"/>
        </w:rPr>
        <w:t xml:space="preserve"> </w:t>
      </w:r>
      <w:r w:rsidR="00DC7E88" w:rsidRPr="00102C07">
        <w:rPr>
          <w:w w:val="105"/>
        </w:rPr>
        <w:t>in tertiary education</w:t>
      </w:r>
      <w:bookmarkEnd w:id="74"/>
    </w:p>
    <w:p w14:paraId="417AB078" w14:textId="6C2B466C" w:rsidR="000A30AA" w:rsidRDefault="000A30AA" w:rsidP="00721EB3">
      <w:pPr>
        <w:rPr>
          <w:w w:val="105"/>
        </w:rPr>
      </w:pPr>
      <w:r w:rsidRPr="000A30AA">
        <w:rPr>
          <w:w w:val="105"/>
        </w:rPr>
        <w:t xml:space="preserve">We found that, of the five indicators of </w:t>
      </w:r>
      <w:r w:rsidR="0097512D">
        <w:rPr>
          <w:w w:val="105"/>
        </w:rPr>
        <w:t>socio-economic</w:t>
      </w:r>
      <w:r w:rsidR="00A065A8">
        <w:rPr>
          <w:w w:val="105"/>
        </w:rPr>
        <w:t xml:space="preserve"> </w:t>
      </w:r>
      <w:r w:rsidR="00A065A8" w:rsidRPr="00BD38F3">
        <w:rPr>
          <w:w w:val="105"/>
        </w:rPr>
        <w:t>backgrounds</w:t>
      </w:r>
      <w:r w:rsidRPr="000A30AA">
        <w:rPr>
          <w:w w:val="105"/>
        </w:rPr>
        <w:t xml:space="preserve">, </w:t>
      </w:r>
      <w:r w:rsidR="00263224">
        <w:rPr>
          <w:w w:val="105"/>
        </w:rPr>
        <w:t>coming</w:t>
      </w:r>
      <w:r w:rsidRPr="000A30AA">
        <w:rPr>
          <w:w w:val="105"/>
        </w:rPr>
        <w:t xml:space="preserve"> from a NESB was the most significant predictor of academic subject choice at university. NESB graduates were </w:t>
      </w:r>
      <w:r w:rsidR="00443C61" w:rsidRPr="000A30AA">
        <w:rPr>
          <w:w w:val="105"/>
        </w:rPr>
        <w:t>16 percentage points</w:t>
      </w:r>
      <w:r w:rsidRPr="000A30AA">
        <w:rPr>
          <w:w w:val="105"/>
        </w:rPr>
        <w:t xml:space="preserve"> more likely to </w:t>
      </w:r>
      <w:r w:rsidR="00443C61">
        <w:rPr>
          <w:w w:val="105"/>
        </w:rPr>
        <w:t>choose</w:t>
      </w:r>
      <w:r w:rsidRPr="000A30AA">
        <w:rPr>
          <w:w w:val="105"/>
        </w:rPr>
        <w:t xml:space="preserve"> high-paying fields of study</w:t>
      </w:r>
      <w:r w:rsidR="00443C61">
        <w:rPr>
          <w:w w:val="105"/>
        </w:rPr>
        <w:t xml:space="preserve"> </w:t>
      </w:r>
      <w:r w:rsidR="00443C61" w:rsidRPr="000A30AA">
        <w:rPr>
          <w:w w:val="105"/>
        </w:rPr>
        <w:t>than their ESB counterparts</w:t>
      </w:r>
      <w:r w:rsidRPr="000A30AA">
        <w:rPr>
          <w:w w:val="105"/>
        </w:rPr>
        <w:t xml:space="preserve">. </w:t>
      </w:r>
      <w:r w:rsidR="005C1EBE" w:rsidRPr="005C1EBE">
        <w:rPr>
          <w:w w:val="105"/>
        </w:rPr>
        <w:t>Thus, NESB seem not to be disadvantaged until they finished their education.</w:t>
      </w:r>
      <w:r w:rsidR="005C1EBE">
        <w:rPr>
          <w:w w:val="105"/>
        </w:rPr>
        <w:t xml:space="preserve"> </w:t>
      </w:r>
      <w:r w:rsidRPr="000A30AA">
        <w:rPr>
          <w:w w:val="105"/>
        </w:rPr>
        <w:t xml:space="preserve">This association was both economically and statistically significant. This pattern was consistent across birth cohorts, with younger NESB Australians </w:t>
      </w:r>
      <w:r w:rsidR="00745A58">
        <w:rPr>
          <w:w w:val="105"/>
        </w:rPr>
        <w:t xml:space="preserve">being </w:t>
      </w:r>
      <w:r w:rsidR="00922BDF">
        <w:rPr>
          <w:w w:val="105"/>
        </w:rPr>
        <w:t>relatively</w:t>
      </w:r>
      <w:r w:rsidRPr="000A30AA">
        <w:rPr>
          <w:w w:val="105"/>
        </w:rPr>
        <w:t xml:space="preserve"> more likely to enrol in high-paying academic disciplines. In contrast, the other four measures of </w:t>
      </w:r>
      <w:r w:rsidR="0097512D">
        <w:rPr>
          <w:w w:val="105"/>
        </w:rPr>
        <w:t>socio-economic</w:t>
      </w:r>
      <w:r w:rsidR="00A065A8">
        <w:rPr>
          <w:w w:val="105"/>
        </w:rPr>
        <w:t xml:space="preserve"> </w:t>
      </w:r>
      <w:r w:rsidR="00A065A8" w:rsidRPr="00BD38F3">
        <w:rPr>
          <w:w w:val="105"/>
        </w:rPr>
        <w:t>backgrounds</w:t>
      </w:r>
      <w:r w:rsidR="00A065A8">
        <w:rPr>
          <w:w w:val="105"/>
        </w:rPr>
        <w:t xml:space="preserve"> </w:t>
      </w:r>
      <w:r w:rsidRPr="000A30AA">
        <w:rPr>
          <w:w w:val="105"/>
        </w:rPr>
        <w:t>(</w:t>
      </w:r>
      <w:r w:rsidR="00443C61">
        <w:rPr>
          <w:w w:val="105"/>
        </w:rPr>
        <w:t xml:space="preserve">namely, </w:t>
      </w:r>
      <w:r w:rsidR="007C5876" w:rsidRPr="00276F44">
        <w:rPr>
          <w:w w:val="105"/>
        </w:rPr>
        <w:t xml:space="preserve">Indigenous </w:t>
      </w:r>
      <w:r w:rsidR="007C5876">
        <w:rPr>
          <w:w w:val="105"/>
        </w:rPr>
        <w:t>origin</w:t>
      </w:r>
      <w:r w:rsidR="007C5876" w:rsidRPr="00276F44">
        <w:rPr>
          <w:w w:val="105"/>
        </w:rPr>
        <w:t>, low</w:t>
      </w:r>
      <w:r w:rsidR="007C5876">
        <w:rPr>
          <w:w w:val="105"/>
        </w:rPr>
        <w:t xml:space="preserve"> </w:t>
      </w:r>
      <w:r w:rsidR="007C5876" w:rsidRPr="00276F44">
        <w:rPr>
          <w:w w:val="105"/>
        </w:rPr>
        <w:t>SES</w:t>
      </w:r>
      <w:r w:rsidR="00F42BBF">
        <w:rPr>
          <w:w w:val="105"/>
        </w:rPr>
        <w:t xml:space="preserve"> in childhood</w:t>
      </w:r>
      <w:r w:rsidR="007C5876" w:rsidRPr="00276F44">
        <w:rPr>
          <w:w w:val="105"/>
        </w:rPr>
        <w:t>, father</w:t>
      </w:r>
      <w:r w:rsidR="007C5876">
        <w:rPr>
          <w:w w:val="105"/>
        </w:rPr>
        <w:t>’s</w:t>
      </w:r>
      <w:r w:rsidR="007C5876" w:rsidRPr="00276F44">
        <w:rPr>
          <w:w w:val="105"/>
        </w:rPr>
        <w:t xml:space="preserve"> unemployment</w:t>
      </w:r>
      <w:r w:rsidR="007C5876">
        <w:rPr>
          <w:w w:val="105"/>
        </w:rPr>
        <w:t xml:space="preserve"> experience during childhood</w:t>
      </w:r>
      <w:r w:rsidR="007C5876" w:rsidRPr="00102C07">
        <w:rPr>
          <w:w w:val="105"/>
        </w:rPr>
        <w:t xml:space="preserve">, </w:t>
      </w:r>
      <w:r w:rsidR="007C5876">
        <w:rPr>
          <w:w w:val="105"/>
        </w:rPr>
        <w:t>and living</w:t>
      </w:r>
      <w:r w:rsidR="007C5876" w:rsidRPr="00102C07">
        <w:rPr>
          <w:w w:val="105"/>
        </w:rPr>
        <w:t xml:space="preserve"> in a single-parent family </w:t>
      </w:r>
      <w:r w:rsidR="007C5876">
        <w:rPr>
          <w:w w:val="105"/>
        </w:rPr>
        <w:t>at age</w:t>
      </w:r>
      <w:r w:rsidR="007C5876" w:rsidRPr="00102C07">
        <w:rPr>
          <w:w w:val="105"/>
        </w:rPr>
        <w:t xml:space="preserve"> 14</w:t>
      </w:r>
      <w:r w:rsidRPr="000A30AA">
        <w:rPr>
          <w:w w:val="105"/>
        </w:rPr>
        <w:t xml:space="preserve">) showed smaller and statistically insignificant correlations with the likelihood of choosing a high-paying </w:t>
      </w:r>
      <w:r w:rsidR="00B87F5F">
        <w:rPr>
          <w:w w:val="105"/>
        </w:rPr>
        <w:t>field of study</w:t>
      </w:r>
      <w:r w:rsidRPr="000A30AA">
        <w:rPr>
          <w:w w:val="105"/>
        </w:rPr>
        <w:t xml:space="preserve">. This lack of statistical significance </w:t>
      </w:r>
      <w:r w:rsidR="002A03A7">
        <w:rPr>
          <w:w w:val="105"/>
        </w:rPr>
        <w:t xml:space="preserve">suggests </w:t>
      </w:r>
      <w:r w:rsidRPr="000A30AA">
        <w:rPr>
          <w:w w:val="105"/>
        </w:rPr>
        <w:t xml:space="preserve">that these forms of </w:t>
      </w:r>
      <w:r w:rsidR="0097512D">
        <w:rPr>
          <w:w w:val="105"/>
        </w:rPr>
        <w:t>socio-economic</w:t>
      </w:r>
      <w:r w:rsidR="00A065A8">
        <w:rPr>
          <w:w w:val="105"/>
        </w:rPr>
        <w:t xml:space="preserve"> </w:t>
      </w:r>
      <w:r w:rsidR="00A065A8" w:rsidRPr="00BD38F3">
        <w:rPr>
          <w:w w:val="105"/>
        </w:rPr>
        <w:t>backgrounds</w:t>
      </w:r>
      <w:r w:rsidR="00A065A8">
        <w:rPr>
          <w:w w:val="105"/>
        </w:rPr>
        <w:t xml:space="preserve"> </w:t>
      </w:r>
      <w:r w:rsidRPr="000A30AA">
        <w:rPr>
          <w:w w:val="105"/>
        </w:rPr>
        <w:t>may not strongly influence the choice of university subject</w:t>
      </w:r>
      <w:r w:rsidR="00745A58">
        <w:rPr>
          <w:w w:val="105"/>
        </w:rPr>
        <w:t>s</w:t>
      </w:r>
      <w:r w:rsidRPr="000A30AA">
        <w:rPr>
          <w:w w:val="105"/>
        </w:rPr>
        <w:t>. These patterns are further supported by the</w:t>
      </w:r>
      <w:r w:rsidR="002A03A7">
        <w:rPr>
          <w:w w:val="105"/>
        </w:rPr>
        <w:t xml:space="preserve"> results</w:t>
      </w:r>
      <w:r w:rsidRPr="000A30AA">
        <w:rPr>
          <w:w w:val="105"/>
        </w:rPr>
        <w:t xml:space="preserve"> for the choice of low-paying</w:t>
      </w:r>
      <w:r w:rsidR="00437E82">
        <w:rPr>
          <w:w w:val="105"/>
        </w:rPr>
        <w:t xml:space="preserve"> </w:t>
      </w:r>
      <w:r w:rsidR="008A31FC" w:rsidRPr="008A31FC">
        <w:rPr>
          <w:w w:val="105"/>
        </w:rPr>
        <w:t>fields of study.</w:t>
      </w:r>
    </w:p>
    <w:p w14:paraId="36B51350" w14:textId="622BFC86" w:rsidR="000A30AA" w:rsidRDefault="000A30AA" w:rsidP="00721EB3">
      <w:pPr>
        <w:rPr>
          <w:w w:val="105"/>
        </w:rPr>
      </w:pPr>
      <w:r w:rsidRPr="000A30AA">
        <w:rPr>
          <w:w w:val="105"/>
        </w:rPr>
        <w:t xml:space="preserve">These mixed results highlight the complex relationship between </w:t>
      </w:r>
      <w:r w:rsidR="0097512D">
        <w:rPr>
          <w:w w:val="105"/>
        </w:rPr>
        <w:t>socio-economic</w:t>
      </w:r>
      <w:r w:rsidR="00A065A8">
        <w:rPr>
          <w:w w:val="105"/>
        </w:rPr>
        <w:t xml:space="preserve"> </w:t>
      </w:r>
      <w:r w:rsidR="00A065A8" w:rsidRPr="00BD38F3">
        <w:rPr>
          <w:w w:val="105"/>
        </w:rPr>
        <w:t>backgrounds</w:t>
      </w:r>
      <w:r w:rsidRPr="000A30AA">
        <w:rPr>
          <w:w w:val="105"/>
        </w:rPr>
        <w:t xml:space="preserve"> and </w:t>
      </w:r>
      <w:r w:rsidR="002512A6">
        <w:rPr>
          <w:w w:val="105"/>
        </w:rPr>
        <w:t xml:space="preserve">Australians’ </w:t>
      </w:r>
      <w:r w:rsidRPr="000A30AA">
        <w:rPr>
          <w:w w:val="105"/>
        </w:rPr>
        <w:t>choice</w:t>
      </w:r>
      <w:r w:rsidR="00F95DCB">
        <w:rPr>
          <w:w w:val="105"/>
        </w:rPr>
        <w:t xml:space="preserve"> of university subject</w:t>
      </w:r>
      <w:r w:rsidRPr="000A30AA">
        <w:rPr>
          <w:w w:val="105"/>
        </w:rPr>
        <w:t xml:space="preserve">s. The </w:t>
      </w:r>
      <w:r w:rsidR="00F95DCB">
        <w:rPr>
          <w:w w:val="105"/>
        </w:rPr>
        <w:t>strong</w:t>
      </w:r>
      <w:r w:rsidRPr="000A30AA">
        <w:rPr>
          <w:w w:val="105"/>
        </w:rPr>
        <w:t xml:space="preserve"> effect of being from a NESB </w:t>
      </w:r>
      <w:r w:rsidR="00F95DCB">
        <w:rPr>
          <w:w w:val="105"/>
        </w:rPr>
        <w:t>highlights</w:t>
      </w:r>
      <w:r w:rsidRPr="000A30AA">
        <w:rPr>
          <w:w w:val="105"/>
        </w:rPr>
        <w:t xml:space="preserve"> the potential role of </w:t>
      </w:r>
      <w:r w:rsidR="005C1EBE" w:rsidRPr="005C1EBE">
        <w:rPr>
          <w:w w:val="105"/>
        </w:rPr>
        <w:t>other important factors such as a highly selective nature of the Australian migration system</w:t>
      </w:r>
      <w:r w:rsidR="00461C38">
        <w:rPr>
          <w:w w:val="105"/>
        </w:rPr>
        <w:t xml:space="preserve"> and </w:t>
      </w:r>
      <w:r w:rsidR="005C1EBE" w:rsidRPr="005C1EBE">
        <w:rPr>
          <w:w w:val="105"/>
        </w:rPr>
        <w:t>cultural and linguistic factors in shaping educational preferences and decisions</w:t>
      </w:r>
      <w:r w:rsidRPr="000A30AA">
        <w:rPr>
          <w:w w:val="105"/>
        </w:rPr>
        <w:t xml:space="preserve">. This may reflect differences in parental expectations, community support systems, or access to resources that influence decision-making processes (Glick and White, 2004; Diaz, 2020). Such factors may provide NESB students with greater motivation or strategic insight to pursue fields with higher economic returns, </w:t>
      </w:r>
      <w:r w:rsidR="005C1EBE">
        <w:rPr>
          <w:w w:val="105"/>
        </w:rPr>
        <w:t xml:space="preserve">potentially </w:t>
      </w:r>
      <w:r w:rsidRPr="000A30AA">
        <w:rPr>
          <w:w w:val="105"/>
        </w:rPr>
        <w:t>contributing to upward mobility.</w:t>
      </w:r>
    </w:p>
    <w:p w14:paraId="54EDB55F" w14:textId="4C837AE5" w:rsidR="000A30AA" w:rsidRDefault="000A30AA" w:rsidP="00721EB3">
      <w:pPr>
        <w:rPr>
          <w:w w:val="105"/>
        </w:rPr>
      </w:pPr>
      <w:r w:rsidRPr="000A30AA">
        <w:rPr>
          <w:w w:val="105"/>
        </w:rPr>
        <w:t xml:space="preserve">This analysis </w:t>
      </w:r>
      <w:r w:rsidR="00CC6246">
        <w:rPr>
          <w:w w:val="105"/>
        </w:rPr>
        <w:t>improves</w:t>
      </w:r>
      <w:r w:rsidRPr="000A30AA">
        <w:rPr>
          <w:w w:val="105"/>
        </w:rPr>
        <w:t xml:space="preserve"> our understanding of the factors </w:t>
      </w:r>
      <w:r w:rsidR="00534145">
        <w:rPr>
          <w:w w:val="105"/>
        </w:rPr>
        <w:t xml:space="preserve">that </w:t>
      </w:r>
      <w:r w:rsidRPr="000A30AA">
        <w:rPr>
          <w:w w:val="105"/>
        </w:rPr>
        <w:t>influenc</w:t>
      </w:r>
      <w:r w:rsidR="00534145">
        <w:rPr>
          <w:w w:val="105"/>
        </w:rPr>
        <w:t>e</w:t>
      </w:r>
      <w:r w:rsidRPr="000A30AA">
        <w:rPr>
          <w:w w:val="105"/>
        </w:rPr>
        <w:t xml:space="preserve"> students' choice of field</w:t>
      </w:r>
      <w:r w:rsidR="00745A58">
        <w:rPr>
          <w:w w:val="105"/>
        </w:rPr>
        <w:t>s</w:t>
      </w:r>
      <w:r w:rsidRPr="000A30AA">
        <w:rPr>
          <w:w w:val="105"/>
        </w:rPr>
        <w:t xml:space="preserve"> of study by shedding light on the </w:t>
      </w:r>
      <w:r w:rsidR="00F23FC2" w:rsidRPr="00F23FC2">
        <w:rPr>
          <w:w w:val="105"/>
        </w:rPr>
        <w:t>heterogeneous</w:t>
      </w:r>
      <w:r w:rsidRPr="000A30AA">
        <w:rPr>
          <w:w w:val="105"/>
        </w:rPr>
        <w:t xml:space="preserve"> </w:t>
      </w:r>
      <w:r w:rsidR="0084676A">
        <w:rPr>
          <w:w w:val="105"/>
        </w:rPr>
        <w:t>effects</w:t>
      </w:r>
      <w:r w:rsidRPr="000A30AA">
        <w:rPr>
          <w:w w:val="105"/>
        </w:rPr>
        <w:t xml:space="preserve"> of childhood </w:t>
      </w:r>
      <w:r w:rsidR="0097512D">
        <w:rPr>
          <w:w w:val="105"/>
        </w:rPr>
        <w:t>socio-economic</w:t>
      </w:r>
      <w:r w:rsidR="00A065A8">
        <w:rPr>
          <w:w w:val="105"/>
        </w:rPr>
        <w:t xml:space="preserve"> </w:t>
      </w:r>
      <w:r w:rsidR="00A065A8" w:rsidRPr="00BD38F3">
        <w:rPr>
          <w:w w:val="105"/>
        </w:rPr>
        <w:t>backgrounds</w:t>
      </w:r>
      <w:r w:rsidRPr="000A30AA">
        <w:rPr>
          <w:w w:val="105"/>
        </w:rPr>
        <w:t xml:space="preserve">. The </w:t>
      </w:r>
      <w:r w:rsidR="00CC6246">
        <w:rPr>
          <w:w w:val="105"/>
        </w:rPr>
        <w:t>differences in</w:t>
      </w:r>
      <w:r w:rsidRPr="000A30AA">
        <w:rPr>
          <w:w w:val="105"/>
        </w:rPr>
        <w:t xml:space="preserve"> </w:t>
      </w:r>
      <w:r w:rsidR="00745A58">
        <w:rPr>
          <w:w w:val="105"/>
        </w:rPr>
        <w:t>subject choice</w:t>
      </w:r>
      <w:r w:rsidRPr="000A30AA">
        <w:rPr>
          <w:w w:val="105"/>
        </w:rPr>
        <w:t xml:space="preserve"> between NESB </w:t>
      </w:r>
      <w:r w:rsidR="00B033EE">
        <w:rPr>
          <w:w w:val="105"/>
        </w:rPr>
        <w:t>Australians</w:t>
      </w:r>
      <w:r w:rsidR="008532E8">
        <w:rPr>
          <w:w w:val="105"/>
        </w:rPr>
        <w:t xml:space="preserve"> </w:t>
      </w:r>
      <w:r w:rsidRPr="000A30AA">
        <w:rPr>
          <w:w w:val="105"/>
        </w:rPr>
        <w:t>and other disadvantaged groups suggest that tailored policy interventions may be ne</w:t>
      </w:r>
      <w:r w:rsidR="0076559A">
        <w:rPr>
          <w:w w:val="105"/>
        </w:rPr>
        <w:t>eded</w:t>
      </w:r>
      <w:r w:rsidRPr="000A30AA">
        <w:rPr>
          <w:w w:val="105"/>
        </w:rPr>
        <w:t xml:space="preserve">. For NESB and similar groups, </w:t>
      </w:r>
      <w:r w:rsidR="00F74195">
        <w:rPr>
          <w:w w:val="105"/>
        </w:rPr>
        <w:t>their educational outcomes are not disadvantaged</w:t>
      </w:r>
      <w:r w:rsidRPr="000A30AA">
        <w:rPr>
          <w:w w:val="105"/>
        </w:rPr>
        <w:t xml:space="preserve">. For other disadvantaged groups, further research is needed to identify the barriers that hinder their </w:t>
      </w:r>
      <w:r w:rsidR="00E237EE">
        <w:rPr>
          <w:w w:val="105"/>
        </w:rPr>
        <w:t xml:space="preserve">access to and </w:t>
      </w:r>
      <w:r w:rsidR="0076559A">
        <w:rPr>
          <w:w w:val="105"/>
        </w:rPr>
        <w:t>choice</w:t>
      </w:r>
      <w:r w:rsidRPr="000A30AA">
        <w:rPr>
          <w:w w:val="105"/>
        </w:rPr>
        <w:t xml:space="preserve"> of high-paying academic disciplines. This would enable the development of targeted strategies to help overcome these challenges and promote more equitable access to </w:t>
      </w:r>
      <w:r w:rsidR="0099198C">
        <w:rPr>
          <w:w w:val="105"/>
        </w:rPr>
        <w:t>rewarding</w:t>
      </w:r>
      <w:r w:rsidRPr="000A30AA">
        <w:rPr>
          <w:w w:val="105"/>
        </w:rPr>
        <w:t xml:space="preserve"> educational pathways.</w:t>
      </w:r>
    </w:p>
    <w:p w14:paraId="1A837344" w14:textId="241F01C1" w:rsidR="00F813A6" w:rsidRPr="00102C07" w:rsidRDefault="001A0550" w:rsidP="0095055E">
      <w:pPr>
        <w:pStyle w:val="Heading2"/>
        <w:rPr>
          <w:w w:val="105"/>
        </w:rPr>
      </w:pPr>
      <w:bookmarkStart w:id="75" w:name="_Toc222998778"/>
      <w:r>
        <w:rPr>
          <w:w w:val="105"/>
        </w:rPr>
        <w:lastRenderedPageBreak/>
        <w:t>Socio-economic</w:t>
      </w:r>
      <w:r w:rsidR="00A065A8" w:rsidRPr="00BE77EB">
        <w:rPr>
          <w:w w:val="105"/>
        </w:rPr>
        <w:t xml:space="preserve"> backgrounds</w:t>
      </w:r>
      <w:r w:rsidR="00066FA0">
        <w:rPr>
          <w:w w:val="105"/>
        </w:rPr>
        <w:t>, c</w:t>
      </w:r>
      <w:r w:rsidR="00DC7E88" w:rsidRPr="00102C07">
        <w:rPr>
          <w:w w:val="105"/>
        </w:rPr>
        <w:t>hoice of university field</w:t>
      </w:r>
      <w:r w:rsidR="00CB1A5D">
        <w:rPr>
          <w:w w:val="105"/>
        </w:rPr>
        <w:t>s</w:t>
      </w:r>
      <w:r w:rsidR="00DC7E88" w:rsidRPr="00102C07">
        <w:rPr>
          <w:w w:val="105"/>
        </w:rPr>
        <w:t xml:space="preserve"> of study</w:t>
      </w:r>
      <w:r w:rsidR="009222F0">
        <w:rPr>
          <w:w w:val="105"/>
        </w:rPr>
        <w:t>,</w:t>
      </w:r>
      <w:r w:rsidR="00DC7E88" w:rsidRPr="00102C07">
        <w:rPr>
          <w:w w:val="105"/>
        </w:rPr>
        <w:t xml:space="preserve"> </w:t>
      </w:r>
      <w:r w:rsidR="001B03F3">
        <w:rPr>
          <w:w w:val="105"/>
        </w:rPr>
        <w:t xml:space="preserve">and </w:t>
      </w:r>
      <w:r w:rsidR="00A07009">
        <w:rPr>
          <w:w w:val="105"/>
        </w:rPr>
        <w:t xml:space="preserve">post-university </w:t>
      </w:r>
      <w:r w:rsidR="001B03F3">
        <w:rPr>
          <w:w w:val="105"/>
        </w:rPr>
        <w:t>labour market</w:t>
      </w:r>
      <w:r w:rsidR="00DC7E88" w:rsidRPr="00102C07">
        <w:rPr>
          <w:w w:val="105"/>
        </w:rPr>
        <w:t xml:space="preserve"> outcomes</w:t>
      </w:r>
      <w:bookmarkEnd w:id="75"/>
    </w:p>
    <w:p w14:paraId="69F8F20A" w14:textId="744D08F6" w:rsidR="00141692" w:rsidRPr="00102C07" w:rsidRDefault="00916EBA" w:rsidP="00721EB3">
      <w:pPr>
        <w:rPr>
          <w:w w:val="105"/>
        </w:rPr>
      </w:pPr>
      <w:r w:rsidRPr="00916EBA">
        <w:rPr>
          <w:w w:val="105"/>
        </w:rPr>
        <w:t xml:space="preserve">We found that long-term labour market outcomes </w:t>
      </w:r>
      <w:r w:rsidR="001C047C">
        <w:rPr>
          <w:w w:val="105"/>
        </w:rPr>
        <w:t>varied</w:t>
      </w:r>
      <w:r w:rsidRPr="00916EBA">
        <w:rPr>
          <w:w w:val="105"/>
        </w:rPr>
        <w:t xml:space="preserve"> by </w:t>
      </w:r>
      <w:r w:rsidR="0097512D">
        <w:rPr>
          <w:w w:val="105"/>
        </w:rPr>
        <w:t>socio-economic</w:t>
      </w:r>
      <w:r w:rsidR="00EA483A">
        <w:rPr>
          <w:w w:val="105"/>
        </w:rPr>
        <w:t xml:space="preserve"> </w:t>
      </w:r>
      <w:r w:rsidR="00EA483A" w:rsidRPr="00BD38F3">
        <w:rPr>
          <w:w w:val="105"/>
        </w:rPr>
        <w:t>background</w:t>
      </w:r>
      <w:r w:rsidRPr="00916EBA">
        <w:rPr>
          <w:w w:val="105"/>
        </w:rPr>
        <w:t xml:space="preserve">. </w:t>
      </w:r>
      <w:r w:rsidR="0095073C" w:rsidRPr="0095073C">
        <w:rPr>
          <w:w w:val="105"/>
        </w:rPr>
        <w:t>Specifically, Indigenous Australians ha</w:t>
      </w:r>
      <w:r w:rsidR="002A3B49">
        <w:rPr>
          <w:w w:val="105"/>
        </w:rPr>
        <w:t>d</w:t>
      </w:r>
      <w:r w:rsidR="00C607CC">
        <w:rPr>
          <w:w w:val="105"/>
        </w:rPr>
        <w:t xml:space="preserve"> similar</w:t>
      </w:r>
      <w:r w:rsidR="0095073C" w:rsidRPr="0095073C">
        <w:rPr>
          <w:w w:val="105"/>
        </w:rPr>
        <w:t xml:space="preserve"> long-term labour market outcomes to their non-Indigenous counterparts, </w:t>
      </w:r>
      <w:r w:rsidR="006138E8">
        <w:rPr>
          <w:w w:val="105"/>
        </w:rPr>
        <w:t>which</w:t>
      </w:r>
      <w:r w:rsidR="0095073C" w:rsidRPr="0095073C">
        <w:rPr>
          <w:w w:val="105"/>
        </w:rPr>
        <w:t xml:space="preserve"> </w:t>
      </w:r>
      <w:r w:rsidR="00841CD3">
        <w:rPr>
          <w:w w:val="105"/>
        </w:rPr>
        <w:t>is consistent</w:t>
      </w:r>
      <w:r w:rsidR="0095073C" w:rsidRPr="0095073C">
        <w:rPr>
          <w:w w:val="105"/>
        </w:rPr>
        <w:t xml:space="preserve"> with </w:t>
      </w:r>
      <w:r w:rsidR="004845AF">
        <w:rPr>
          <w:w w:val="105"/>
        </w:rPr>
        <w:t xml:space="preserve">the </w:t>
      </w:r>
      <w:r w:rsidR="0095073C" w:rsidRPr="0095073C">
        <w:rPr>
          <w:w w:val="105"/>
        </w:rPr>
        <w:t xml:space="preserve">earlier </w:t>
      </w:r>
      <w:r w:rsidR="0064273F">
        <w:rPr>
          <w:w w:val="105"/>
        </w:rPr>
        <w:t>findings</w:t>
      </w:r>
      <w:r w:rsidR="0095073C" w:rsidRPr="0095073C">
        <w:rPr>
          <w:w w:val="105"/>
        </w:rPr>
        <w:t xml:space="preserve"> </w:t>
      </w:r>
      <w:r w:rsidR="004845AF">
        <w:rPr>
          <w:w w:val="105"/>
        </w:rPr>
        <w:t xml:space="preserve">of </w:t>
      </w:r>
      <w:r w:rsidR="004845AF" w:rsidRPr="0095073C">
        <w:rPr>
          <w:w w:val="105"/>
        </w:rPr>
        <w:t xml:space="preserve">Li (2014) </w:t>
      </w:r>
      <w:r w:rsidR="00463AAA">
        <w:rPr>
          <w:w w:val="105"/>
        </w:rPr>
        <w:t>and</w:t>
      </w:r>
      <w:r w:rsidR="00463AAA" w:rsidRPr="00EF1223">
        <w:rPr>
          <w:w w:val="105"/>
        </w:rPr>
        <w:t xml:space="preserve"> Tomaszewski et al. (2019)</w:t>
      </w:r>
      <w:r w:rsidR="00463AAA">
        <w:rPr>
          <w:w w:val="105"/>
        </w:rPr>
        <w:t xml:space="preserve"> </w:t>
      </w:r>
      <w:r w:rsidR="0095073C" w:rsidRPr="0095073C">
        <w:rPr>
          <w:w w:val="105"/>
        </w:rPr>
        <w:t xml:space="preserve">for the short term. Graduates from single-parent families had higher weekly earnings than their peers from two-parent </w:t>
      </w:r>
      <w:r w:rsidR="008532E8">
        <w:rPr>
          <w:w w:val="105"/>
        </w:rPr>
        <w:t>families</w:t>
      </w:r>
      <w:r w:rsidR="0095073C" w:rsidRPr="0095073C">
        <w:rPr>
          <w:w w:val="105"/>
        </w:rPr>
        <w:t xml:space="preserve">, suggesting that tertiary education </w:t>
      </w:r>
      <w:r w:rsidR="0064273F">
        <w:rPr>
          <w:w w:val="105"/>
        </w:rPr>
        <w:t>may</w:t>
      </w:r>
      <w:r w:rsidR="0095073C" w:rsidRPr="0095073C">
        <w:rPr>
          <w:w w:val="105"/>
        </w:rPr>
        <w:t xml:space="preserve"> have helped </w:t>
      </w:r>
      <w:r w:rsidR="00076525">
        <w:rPr>
          <w:w w:val="105"/>
        </w:rPr>
        <w:t xml:space="preserve">them </w:t>
      </w:r>
      <w:r w:rsidR="0095073C" w:rsidRPr="0095073C">
        <w:rPr>
          <w:w w:val="105"/>
        </w:rPr>
        <w:t xml:space="preserve">to </w:t>
      </w:r>
      <w:r w:rsidR="00076525">
        <w:rPr>
          <w:w w:val="105"/>
        </w:rPr>
        <w:t>overcom</w:t>
      </w:r>
      <w:r w:rsidR="0095073C" w:rsidRPr="0095073C">
        <w:rPr>
          <w:w w:val="105"/>
        </w:rPr>
        <w:t xml:space="preserve">e some of the </w:t>
      </w:r>
      <w:r w:rsidR="0097512D">
        <w:rPr>
          <w:w w:val="105"/>
        </w:rPr>
        <w:t>socio-economic</w:t>
      </w:r>
      <w:r w:rsidR="0095073C" w:rsidRPr="0095073C">
        <w:rPr>
          <w:w w:val="105"/>
        </w:rPr>
        <w:t xml:space="preserve"> disadvantages </w:t>
      </w:r>
      <w:r w:rsidR="000744C7">
        <w:rPr>
          <w:w w:val="105"/>
        </w:rPr>
        <w:t xml:space="preserve">they </w:t>
      </w:r>
      <w:r w:rsidR="0095073C" w:rsidRPr="0095073C">
        <w:rPr>
          <w:w w:val="105"/>
        </w:rPr>
        <w:t>experienced in childhood.</w:t>
      </w:r>
      <w:r w:rsidR="003E29CC">
        <w:rPr>
          <w:w w:val="105"/>
        </w:rPr>
        <w:t xml:space="preserve"> </w:t>
      </w:r>
      <w:r w:rsidR="00813E0E" w:rsidRPr="00813E0E">
        <w:rPr>
          <w:w w:val="105"/>
        </w:rPr>
        <w:t xml:space="preserve">However, this finding may be due to </w:t>
      </w:r>
      <w:r w:rsidR="00C54A32">
        <w:rPr>
          <w:w w:val="105"/>
        </w:rPr>
        <w:t>a selection effect</w:t>
      </w:r>
      <w:r w:rsidR="007551E1">
        <w:rPr>
          <w:w w:val="105"/>
        </w:rPr>
        <w:t>.</w:t>
      </w:r>
      <w:r w:rsidR="00C54A32">
        <w:rPr>
          <w:w w:val="105"/>
        </w:rPr>
        <w:t xml:space="preserve"> </w:t>
      </w:r>
      <w:r w:rsidR="007551E1">
        <w:rPr>
          <w:w w:val="105"/>
        </w:rPr>
        <w:t>S</w:t>
      </w:r>
      <w:r w:rsidR="00C54A32">
        <w:rPr>
          <w:w w:val="105"/>
        </w:rPr>
        <w:t>tudents from single-parent families</w:t>
      </w:r>
      <w:r w:rsidR="00C54A32" w:rsidRPr="00276F44">
        <w:rPr>
          <w:w w:val="105"/>
        </w:rPr>
        <w:t xml:space="preserve"> face</w:t>
      </w:r>
      <w:r w:rsidR="00C54A32">
        <w:rPr>
          <w:w w:val="105"/>
        </w:rPr>
        <w:t>d</w:t>
      </w:r>
      <w:r w:rsidR="00C54A32" w:rsidRPr="00276F44">
        <w:rPr>
          <w:w w:val="105"/>
        </w:rPr>
        <w:t xml:space="preserve"> greater barriers to higher education. </w:t>
      </w:r>
      <w:r w:rsidR="00BB52E4" w:rsidRPr="00BB52E4">
        <w:rPr>
          <w:w w:val="105"/>
        </w:rPr>
        <w:t xml:space="preserve">Those who gained access to and successfully completed tertiary education may have unobservable positive characteristics that translate into better employment outcomes, as </w:t>
      </w:r>
      <w:r w:rsidR="00D92673">
        <w:rPr>
          <w:w w:val="105"/>
        </w:rPr>
        <w:t xml:space="preserve">discussed </w:t>
      </w:r>
      <w:r w:rsidR="009222F0">
        <w:rPr>
          <w:w w:val="105"/>
        </w:rPr>
        <w:t xml:space="preserve">by </w:t>
      </w:r>
      <w:r w:rsidR="00BB52E4" w:rsidRPr="00BB52E4">
        <w:rPr>
          <w:w w:val="105"/>
        </w:rPr>
        <w:t>Li et al. (2017).</w:t>
      </w:r>
    </w:p>
    <w:p w14:paraId="579D28E0" w14:textId="4A5DBC21" w:rsidR="00AF75DB" w:rsidRDefault="00F15ACF" w:rsidP="00721EB3">
      <w:pPr>
        <w:rPr>
          <w:w w:val="105"/>
        </w:rPr>
      </w:pPr>
      <w:r>
        <w:rPr>
          <w:w w:val="105"/>
        </w:rPr>
        <w:t>Interesting</w:t>
      </w:r>
      <w:r w:rsidR="00AF75DB" w:rsidRPr="00AF75DB">
        <w:rPr>
          <w:w w:val="105"/>
        </w:rPr>
        <w:t xml:space="preserve"> patterns were observed for Australians with low SES</w:t>
      </w:r>
      <w:r w:rsidR="00587895">
        <w:rPr>
          <w:w w:val="105"/>
        </w:rPr>
        <w:t xml:space="preserve"> in childhood</w:t>
      </w:r>
      <w:r w:rsidR="00AF75DB" w:rsidRPr="00AF75DB">
        <w:rPr>
          <w:w w:val="105"/>
        </w:rPr>
        <w:t>. While low SES was not significantly associated with full-time employment, weekly earnings, or job satisfaction, it show</w:t>
      </w:r>
      <w:r w:rsidR="00B770FB">
        <w:rPr>
          <w:w w:val="105"/>
        </w:rPr>
        <w:t>ed</w:t>
      </w:r>
      <w:r w:rsidR="00AF75DB" w:rsidRPr="00AF75DB">
        <w:rPr>
          <w:w w:val="105"/>
        </w:rPr>
        <w:t xml:space="preserve"> a positive association with permanent or ongoing employment. However, its </w:t>
      </w:r>
      <w:r w:rsidR="006C1DAC">
        <w:rPr>
          <w:w w:val="105"/>
        </w:rPr>
        <w:t>association</w:t>
      </w:r>
      <w:r w:rsidR="00AF75DB" w:rsidRPr="00AF75DB">
        <w:rPr>
          <w:w w:val="105"/>
        </w:rPr>
        <w:t xml:space="preserve"> with holding managerial or professional occupations was negative, which </w:t>
      </w:r>
      <w:r w:rsidR="006131C6">
        <w:rPr>
          <w:w w:val="105"/>
        </w:rPr>
        <w:t>is consistent with</w:t>
      </w:r>
      <w:r w:rsidR="00AF75DB" w:rsidRPr="00AF75DB">
        <w:rPr>
          <w:w w:val="105"/>
        </w:rPr>
        <w:t xml:space="preserve"> </w:t>
      </w:r>
      <w:r w:rsidR="006131C6">
        <w:rPr>
          <w:w w:val="105"/>
        </w:rPr>
        <w:t xml:space="preserve">the findings </w:t>
      </w:r>
      <w:r w:rsidR="00B033EE">
        <w:rPr>
          <w:w w:val="105"/>
        </w:rPr>
        <w:t>of</w:t>
      </w:r>
      <w:r w:rsidR="00B6393F">
        <w:rPr>
          <w:w w:val="105"/>
        </w:rPr>
        <w:t xml:space="preserve"> </w:t>
      </w:r>
      <w:r w:rsidR="00AF75DB" w:rsidRPr="00AF75DB">
        <w:rPr>
          <w:w w:val="105"/>
        </w:rPr>
        <w:t>Tomaszewski et al. (2021) that low</w:t>
      </w:r>
      <w:r w:rsidR="006131C6">
        <w:rPr>
          <w:w w:val="105"/>
        </w:rPr>
        <w:t xml:space="preserve"> </w:t>
      </w:r>
      <w:r w:rsidR="00AF75DB" w:rsidRPr="00AF75DB">
        <w:rPr>
          <w:w w:val="105"/>
        </w:rPr>
        <w:t xml:space="preserve">SES graduates </w:t>
      </w:r>
      <w:r w:rsidR="00B033EE">
        <w:rPr>
          <w:w w:val="105"/>
        </w:rPr>
        <w:t>we</w:t>
      </w:r>
      <w:r w:rsidR="006131C6" w:rsidRPr="006131C6">
        <w:rPr>
          <w:w w:val="105"/>
        </w:rPr>
        <w:t>re disadvantaged in terms of occupational status after graduation.</w:t>
      </w:r>
      <w:r w:rsidR="005674D3">
        <w:rPr>
          <w:w w:val="105"/>
        </w:rPr>
        <w:t xml:space="preserve"> </w:t>
      </w:r>
      <w:r w:rsidR="00023F3D">
        <w:rPr>
          <w:w w:val="105"/>
        </w:rPr>
        <w:t>Moreover, c</w:t>
      </w:r>
      <w:r w:rsidR="00023F3D" w:rsidRPr="00023F3D">
        <w:rPr>
          <w:w w:val="105"/>
        </w:rPr>
        <w:t>onsistent with the findings of Zajac et al. (2023), our results indicate that NESB workers encountered significant challenges</w:t>
      </w:r>
      <w:r w:rsidR="00023F3D" w:rsidRPr="00023F3D" w:rsidDel="00B925C8">
        <w:rPr>
          <w:w w:val="105"/>
        </w:rPr>
        <w:t xml:space="preserve"> </w:t>
      </w:r>
      <w:r w:rsidR="00023F3D">
        <w:rPr>
          <w:w w:val="105"/>
        </w:rPr>
        <w:t>in the labour market</w:t>
      </w:r>
      <w:r w:rsidR="00AF75DB" w:rsidRPr="00AF75DB">
        <w:rPr>
          <w:w w:val="105"/>
        </w:rPr>
        <w:t xml:space="preserve">, including a lower likelihood of </w:t>
      </w:r>
      <w:r w:rsidR="006131C6">
        <w:rPr>
          <w:w w:val="105"/>
        </w:rPr>
        <w:t>obtaining a</w:t>
      </w:r>
      <w:r w:rsidR="00AF75DB" w:rsidRPr="00AF75DB">
        <w:rPr>
          <w:w w:val="105"/>
        </w:rPr>
        <w:t xml:space="preserve"> managerial or professional position</w:t>
      </w:r>
      <w:r w:rsidR="008532E8">
        <w:rPr>
          <w:w w:val="105"/>
        </w:rPr>
        <w:t xml:space="preserve"> and</w:t>
      </w:r>
      <w:r w:rsidR="00AF75DB" w:rsidRPr="00AF75DB">
        <w:rPr>
          <w:w w:val="105"/>
        </w:rPr>
        <w:t xml:space="preserve"> </w:t>
      </w:r>
      <w:r w:rsidR="00457B67">
        <w:rPr>
          <w:w w:val="105"/>
        </w:rPr>
        <w:t xml:space="preserve">significantly </w:t>
      </w:r>
      <w:r w:rsidR="00AF75DB" w:rsidRPr="00AF75DB">
        <w:rPr>
          <w:w w:val="105"/>
        </w:rPr>
        <w:t>lower weekly earnings</w:t>
      </w:r>
      <w:r w:rsidR="007461B1">
        <w:rPr>
          <w:w w:val="105"/>
        </w:rPr>
        <w:t xml:space="preserve"> when compared to their ESB counterparts</w:t>
      </w:r>
      <w:r w:rsidR="00AF75DB" w:rsidRPr="00AF75DB">
        <w:rPr>
          <w:w w:val="105"/>
        </w:rPr>
        <w:t>. As our empirical analysis focused on long-term employment and earnings outcomes for those with tertiary qualifications, these</w:t>
      </w:r>
      <w:r w:rsidR="000A5470">
        <w:rPr>
          <w:w w:val="105"/>
        </w:rPr>
        <w:t xml:space="preserve"> findings</w:t>
      </w:r>
      <w:r w:rsidR="00AF75DB" w:rsidRPr="00AF75DB">
        <w:rPr>
          <w:w w:val="105"/>
        </w:rPr>
        <w:t xml:space="preserve"> for NESB workers highlight the persistent and multifaceted barriers they </w:t>
      </w:r>
      <w:r w:rsidR="006A44C4">
        <w:rPr>
          <w:w w:val="105"/>
        </w:rPr>
        <w:t>face</w:t>
      </w:r>
      <w:r w:rsidR="00AF75DB" w:rsidRPr="00AF75DB">
        <w:rPr>
          <w:w w:val="105"/>
        </w:rPr>
        <w:t xml:space="preserve"> in the labour market, even </w:t>
      </w:r>
      <w:r w:rsidR="00986664">
        <w:rPr>
          <w:w w:val="105"/>
        </w:rPr>
        <w:t>when</w:t>
      </w:r>
      <w:r w:rsidR="006131C6">
        <w:rPr>
          <w:w w:val="105"/>
        </w:rPr>
        <w:t xml:space="preserve"> they have</w:t>
      </w:r>
      <w:r w:rsidR="00AF75DB" w:rsidRPr="00AF75DB">
        <w:rPr>
          <w:w w:val="105"/>
        </w:rPr>
        <w:t xml:space="preserve"> educational qualifications </w:t>
      </w:r>
      <w:r w:rsidR="00B770FB" w:rsidRPr="00AF75DB">
        <w:rPr>
          <w:w w:val="105"/>
        </w:rPr>
        <w:t xml:space="preserve">comparable </w:t>
      </w:r>
      <w:r w:rsidR="00AF75DB" w:rsidRPr="00AF75DB">
        <w:rPr>
          <w:w w:val="105"/>
        </w:rPr>
        <w:t>to</w:t>
      </w:r>
      <w:r w:rsidR="0064460D">
        <w:rPr>
          <w:w w:val="105"/>
        </w:rPr>
        <w:t xml:space="preserve"> or even better than</w:t>
      </w:r>
      <w:r w:rsidR="00AF75DB" w:rsidRPr="00AF75DB">
        <w:rPr>
          <w:w w:val="105"/>
        </w:rPr>
        <w:t xml:space="preserve"> </w:t>
      </w:r>
      <w:r w:rsidR="000A5470">
        <w:rPr>
          <w:w w:val="105"/>
        </w:rPr>
        <w:t xml:space="preserve">those of </w:t>
      </w:r>
      <w:r w:rsidR="00AF75DB" w:rsidRPr="00AF75DB">
        <w:rPr>
          <w:w w:val="105"/>
        </w:rPr>
        <w:t>their ESB counterparts.</w:t>
      </w:r>
    </w:p>
    <w:p w14:paraId="7B2D3D20" w14:textId="7CC2A8AD" w:rsidR="00D604E2" w:rsidRDefault="00DC7F67" w:rsidP="00721EB3">
      <w:pPr>
        <w:rPr>
          <w:w w:val="105"/>
        </w:rPr>
      </w:pPr>
      <w:r w:rsidRPr="00DC7F67">
        <w:rPr>
          <w:w w:val="105"/>
        </w:rPr>
        <w:t xml:space="preserve">Furthermore, the comparison between NESB and ESB Australians </w:t>
      </w:r>
      <w:r w:rsidR="00AE098A">
        <w:rPr>
          <w:w w:val="105"/>
        </w:rPr>
        <w:t>shed</w:t>
      </w:r>
      <w:r w:rsidR="007F5FAE">
        <w:rPr>
          <w:w w:val="105"/>
        </w:rPr>
        <w:t>s</w:t>
      </w:r>
      <w:r w:rsidR="00AE098A">
        <w:rPr>
          <w:w w:val="105"/>
        </w:rPr>
        <w:t xml:space="preserve"> some light on</w:t>
      </w:r>
      <w:r w:rsidRPr="00DC7F67">
        <w:rPr>
          <w:w w:val="105"/>
        </w:rPr>
        <w:t xml:space="preserve"> the role of field of study choice at university in influencing long-term labour market outcomes. Specifically, NESB graduates were found to have </w:t>
      </w:r>
      <w:r w:rsidR="00470221">
        <w:rPr>
          <w:w w:val="105"/>
        </w:rPr>
        <w:t>chosen</w:t>
      </w:r>
      <w:r w:rsidRPr="00DC7F67">
        <w:rPr>
          <w:w w:val="105"/>
        </w:rPr>
        <w:t xml:space="preserve"> high-paying fields while avoiding those with lower financial returns</w:t>
      </w:r>
      <w:r w:rsidR="00470221">
        <w:rPr>
          <w:w w:val="105"/>
        </w:rPr>
        <w:t>.</w:t>
      </w:r>
      <w:r w:rsidR="00470221" w:rsidRPr="00DC7F67">
        <w:rPr>
          <w:w w:val="105"/>
        </w:rPr>
        <w:t xml:space="preserve"> </w:t>
      </w:r>
      <w:r w:rsidRPr="00DC7F67">
        <w:rPr>
          <w:w w:val="105"/>
        </w:rPr>
        <w:t xml:space="preserve">In contrast, this </w:t>
      </w:r>
      <w:r w:rsidR="008532E8">
        <w:rPr>
          <w:w w:val="105"/>
        </w:rPr>
        <w:t>pattern</w:t>
      </w:r>
      <w:r w:rsidRPr="00DC7F67">
        <w:rPr>
          <w:w w:val="105"/>
        </w:rPr>
        <w:t xml:space="preserve"> was not observed </w:t>
      </w:r>
      <w:r w:rsidR="00C46F48">
        <w:rPr>
          <w:w w:val="105"/>
        </w:rPr>
        <w:t>for</w:t>
      </w:r>
      <w:r w:rsidRPr="00DC7F67">
        <w:rPr>
          <w:w w:val="105"/>
        </w:rPr>
        <w:t xml:space="preserve"> Australians from the other four </w:t>
      </w:r>
      <w:r w:rsidR="0097512D">
        <w:rPr>
          <w:w w:val="105"/>
        </w:rPr>
        <w:t>socio-economic</w:t>
      </w:r>
      <w:r w:rsidR="00ED3AFF" w:rsidRPr="00BC1650">
        <w:rPr>
          <w:w w:val="105"/>
        </w:rPr>
        <w:t xml:space="preserve"> background</w:t>
      </w:r>
      <w:r w:rsidR="00ED3AFF">
        <w:rPr>
          <w:w w:val="105"/>
        </w:rPr>
        <w:t>s</w:t>
      </w:r>
      <w:r w:rsidRPr="00DC7F67">
        <w:rPr>
          <w:w w:val="105"/>
        </w:rPr>
        <w:t>. It is possible</w:t>
      </w:r>
      <w:r w:rsidR="007F6C0B">
        <w:rPr>
          <w:w w:val="105"/>
        </w:rPr>
        <w:t xml:space="preserve"> </w:t>
      </w:r>
      <w:r w:rsidRPr="00DC7F67">
        <w:rPr>
          <w:w w:val="105"/>
        </w:rPr>
        <w:t>that NESB individuals are a more select group, many of whom may come from better</w:t>
      </w:r>
      <w:r w:rsidR="00C46F48">
        <w:rPr>
          <w:w w:val="105"/>
        </w:rPr>
        <w:t xml:space="preserve"> </w:t>
      </w:r>
      <w:r w:rsidRPr="00DC7F67">
        <w:rPr>
          <w:w w:val="105"/>
        </w:rPr>
        <w:t>educated or wealthier households</w:t>
      </w:r>
      <w:r w:rsidR="00171EC1">
        <w:rPr>
          <w:w w:val="105"/>
        </w:rPr>
        <w:t>,</w:t>
      </w:r>
      <w:r w:rsidR="00696F11">
        <w:rPr>
          <w:w w:val="105"/>
        </w:rPr>
        <w:t xml:space="preserve"> which may have </w:t>
      </w:r>
      <w:r w:rsidR="00696F11" w:rsidRPr="00C46921">
        <w:rPr>
          <w:w w:val="105"/>
        </w:rPr>
        <w:t>influence</w:t>
      </w:r>
      <w:r w:rsidR="00696F11">
        <w:rPr>
          <w:w w:val="105"/>
        </w:rPr>
        <w:t>d</w:t>
      </w:r>
      <w:r w:rsidR="00696F11" w:rsidRPr="00C46921">
        <w:rPr>
          <w:w w:val="105"/>
        </w:rPr>
        <w:t xml:space="preserve"> their academic and </w:t>
      </w:r>
      <w:r w:rsidR="00171EC1">
        <w:rPr>
          <w:w w:val="105"/>
        </w:rPr>
        <w:t>career</w:t>
      </w:r>
      <w:r w:rsidR="00696F11" w:rsidRPr="00C46921">
        <w:rPr>
          <w:w w:val="105"/>
        </w:rPr>
        <w:t xml:space="preserve"> choices</w:t>
      </w:r>
      <w:r w:rsidRPr="00DC7F67">
        <w:rPr>
          <w:w w:val="105"/>
        </w:rPr>
        <w:t>.</w:t>
      </w:r>
      <w:r w:rsidR="00470221">
        <w:rPr>
          <w:w w:val="105"/>
        </w:rPr>
        <w:t xml:space="preserve"> </w:t>
      </w:r>
      <w:r w:rsidR="00496755">
        <w:rPr>
          <w:w w:val="105"/>
        </w:rPr>
        <w:t>While the choice of fields of study made by NESB individuals have helped improv</w:t>
      </w:r>
      <w:r w:rsidR="00F5734D">
        <w:rPr>
          <w:w w:val="105"/>
        </w:rPr>
        <w:t>e</w:t>
      </w:r>
      <w:r w:rsidR="00496755">
        <w:rPr>
          <w:w w:val="105"/>
        </w:rPr>
        <w:t xml:space="preserve"> their employment prospects and reduc</w:t>
      </w:r>
      <w:r w:rsidR="00F5734D">
        <w:rPr>
          <w:w w:val="105"/>
        </w:rPr>
        <w:t>e</w:t>
      </w:r>
      <w:r w:rsidR="00496755">
        <w:rPr>
          <w:w w:val="105"/>
        </w:rPr>
        <w:t xml:space="preserve"> the earning gaps relative to ESB workers, their labour </w:t>
      </w:r>
      <w:r w:rsidR="00D604E2">
        <w:rPr>
          <w:w w:val="105"/>
        </w:rPr>
        <w:t xml:space="preserve">market </w:t>
      </w:r>
      <w:r w:rsidR="00496755">
        <w:rPr>
          <w:w w:val="105"/>
        </w:rPr>
        <w:t>disadvantage</w:t>
      </w:r>
      <w:r w:rsidR="00D604E2">
        <w:rPr>
          <w:w w:val="105"/>
        </w:rPr>
        <w:t>s</w:t>
      </w:r>
      <w:r w:rsidR="00496755">
        <w:rPr>
          <w:w w:val="105"/>
        </w:rPr>
        <w:t xml:space="preserve"> are not completely eliminated. </w:t>
      </w:r>
    </w:p>
    <w:p w14:paraId="1CE6CF06" w14:textId="77777777" w:rsidR="004143AF" w:rsidRDefault="00DC7F67" w:rsidP="00721EB3">
      <w:pPr>
        <w:rPr>
          <w:w w:val="105"/>
        </w:rPr>
      </w:pPr>
      <w:r w:rsidRPr="00DC7F67">
        <w:rPr>
          <w:w w:val="105"/>
        </w:rPr>
        <w:t xml:space="preserve">These findings </w:t>
      </w:r>
      <w:r w:rsidR="008B78E6">
        <w:rPr>
          <w:w w:val="105"/>
        </w:rPr>
        <w:t>highlight</w:t>
      </w:r>
      <w:r w:rsidRPr="00DC7F67">
        <w:rPr>
          <w:w w:val="105"/>
        </w:rPr>
        <w:t xml:space="preserve"> the need for </w:t>
      </w:r>
      <w:r w:rsidR="008B78E6">
        <w:rPr>
          <w:w w:val="105"/>
        </w:rPr>
        <w:t xml:space="preserve">tailored </w:t>
      </w:r>
      <w:r w:rsidRPr="00DC7F67">
        <w:rPr>
          <w:w w:val="105"/>
        </w:rPr>
        <w:t xml:space="preserve">policies </w:t>
      </w:r>
      <w:r w:rsidR="008B78E6">
        <w:rPr>
          <w:w w:val="105"/>
        </w:rPr>
        <w:t>for</w:t>
      </w:r>
      <w:r w:rsidRPr="00DC7F67">
        <w:rPr>
          <w:w w:val="105"/>
        </w:rPr>
        <w:t xml:space="preserve"> Australians who have experienced different </w:t>
      </w:r>
      <w:r w:rsidR="0097512D">
        <w:rPr>
          <w:w w:val="105"/>
        </w:rPr>
        <w:t>socio-economic</w:t>
      </w:r>
      <w:r w:rsidR="00ED3AFF" w:rsidRPr="00BC1650">
        <w:rPr>
          <w:w w:val="105"/>
        </w:rPr>
        <w:t xml:space="preserve"> background</w:t>
      </w:r>
      <w:r w:rsidR="00ED3AFF">
        <w:rPr>
          <w:w w:val="105"/>
        </w:rPr>
        <w:t>s in early life</w:t>
      </w:r>
      <w:r w:rsidRPr="00DC7F67">
        <w:rPr>
          <w:w w:val="105"/>
        </w:rPr>
        <w:t xml:space="preserve">. For NESB workers, </w:t>
      </w:r>
      <w:r w:rsidR="00F331CF">
        <w:rPr>
          <w:w w:val="105"/>
        </w:rPr>
        <w:t>their labour market disadvantage</w:t>
      </w:r>
      <w:r w:rsidR="00F5734D">
        <w:rPr>
          <w:w w:val="105"/>
        </w:rPr>
        <w:t>s</w:t>
      </w:r>
      <w:r w:rsidR="00F331CF">
        <w:rPr>
          <w:w w:val="105"/>
        </w:rPr>
        <w:t xml:space="preserve"> need to be addressed </w:t>
      </w:r>
      <w:r w:rsidR="004A5BF5">
        <w:rPr>
          <w:w w:val="105"/>
        </w:rPr>
        <w:t xml:space="preserve">even </w:t>
      </w:r>
      <w:r w:rsidR="00F331CF">
        <w:rPr>
          <w:w w:val="105"/>
        </w:rPr>
        <w:t xml:space="preserve">when they graduate from </w:t>
      </w:r>
      <w:r w:rsidR="004143AF">
        <w:rPr>
          <w:w w:val="105"/>
        </w:rPr>
        <w:br/>
      </w:r>
    </w:p>
    <w:p w14:paraId="152FDE2A" w14:textId="77088518" w:rsidR="001A5C2A" w:rsidRDefault="00F331CF" w:rsidP="00721EB3">
      <w:pPr>
        <w:rPr>
          <w:w w:val="105"/>
        </w:rPr>
      </w:pPr>
      <w:r>
        <w:rPr>
          <w:w w:val="105"/>
        </w:rPr>
        <w:lastRenderedPageBreak/>
        <w:t>high-paying fields of study</w:t>
      </w:r>
      <w:r w:rsidR="00DC7F67" w:rsidRPr="00DC7F67">
        <w:rPr>
          <w:w w:val="105"/>
        </w:rPr>
        <w:t xml:space="preserve">. On the other hand, for groups such as Australians from low childhood SES backgrounds, it may be more effective to address barriers beyond </w:t>
      </w:r>
      <w:r w:rsidR="00CA2B87">
        <w:rPr>
          <w:w w:val="105"/>
        </w:rPr>
        <w:t xml:space="preserve">the choice of </w:t>
      </w:r>
      <w:r w:rsidR="00DC7F67" w:rsidRPr="00DC7F67">
        <w:rPr>
          <w:w w:val="105"/>
        </w:rPr>
        <w:t>university subject</w:t>
      </w:r>
      <w:r w:rsidR="00CA2B87">
        <w:rPr>
          <w:w w:val="105"/>
        </w:rPr>
        <w:t>s</w:t>
      </w:r>
      <w:r w:rsidR="00DC7F67" w:rsidRPr="00DC7F67">
        <w:rPr>
          <w:w w:val="105"/>
        </w:rPr>
        <w:t xml:space="preserve"> in order to support their entry into managerial and professional occupations.</w:t>
      </w:r>
      <w:r w:rsidR="001A5C2A">
        <w:rPr>
          <w:w w:val="105"/>
        </w:rPr>
        <w:br w:type="page"/>
      </w:r>
    </w:p>
    <w:p w14:paraId="3D4C8D88" w14:textId="77777777" w:rsidR="009D6D47" w:rsidRPr="0016620E" w:rsidRDefault="009D6D47" w:rsidP="004D121F">
      <w:pPr>
        <w:pStyle w:val="Heading1"/>
      </w:pPr>
      <w:bookmarkStart w:id="76" w:name="_Toc222998779"/>
      <w:r w:rsidRPr="0016620E">
        <w:lastRenderedPageBreak/>
        <w:t>Conclusion</w:t>
      </w:r>
      <w:bookmarkEnd w:id="76"/>
    </w:p>
    <w:p w14:paraId="1DE27D52" w14:textId="1B49242C" w:rsidR="005C2C69" w:rsidRDefault="005C2C69" w:rsidP="00721EB3">
      <w:pPr>
        <w:rPr>
          <w:w w:val="105"/>
        </w:rPr>
      </w:pPr>
      <w:r w:rsidRPr="005C2C69">
        <w:rPr>
          <w:w w:val="105"/>
        </w:rPr>
        <w:t xml:space="preserve">Using data from multiple waves of the HILDA Survey, this study empirically examined the long-term labour market outcomes of university graduates from </w:t>
      </w:r>
      <w:r w:rsidR="00EA483A">
        <w:rPr>
          <w:w w:val="105"/>
        </w:rPr>
        <w:t xml:space="preserve">different </w:t>
      </w:r>
      <w:r w:rsidR="0097512D">
        <w:rPr>
          <w:w w:val="105"/>
        </w:rPr>
        <w:t>socio-economic</w:t>
      </w:r>
      <w:r w:rsidR="00EA483A">
        <w:rPr>
          <w:w w:val="105"/>
        </w:rPr>
        <w:t xml:space="preserve"> </w:t>
      </w:r>
      <w:r w:rsidR="00EA483A" w:rsidRPr="00BD38F3">
        <w:rPr>
          <w:w w:val="105"/>
        </w:rPr>
        <w:t>backgrounds</w:t>
      </w:r>
      <w:r w:rsidRPr="005C2C69">
        <w:rPr>
          <w:w w:val="105"/>
        </w:rPr>
        <w:t>, with a particular focus on the role of subject choice at university.</w:t>
      </w:r>
    </w:p>
    <w:p w14:paraId="301EFE7F" w14:textId="424BAC13" w:rsidR="00FD3103" w:rsidRDefault="005C2C69" w:rsidP="00721EB3">
      <w:pPr>
        <w:rPr>
          <w:w w:val="105"/>
        </w:rPr>
      </w:pPr>
      <w:r w:rsidRPr="005C2C69">
        <w:rPr>
          <w:w w:val="105"/>
        </w:rPr>
        <w:t xml:space="preserve">Our analysis revealed a concentration of graduates in a few key fields, such as Management and </w:t>
      </w:r>
      <w:r w:rsidR="00667309">
        <w:rPr>
          <w:w w:val="105"/>
        </w:rPr>
        <w:t>C</w:t>
      </w:r>
      <w:r w:rsidRPr="005C2C69">
        <w:rPr>
          <w:w w:val="105"/>
        </w:rPr>
        <w:t xml:space="preserve">ommerce, Education, and Society and </w:t>
      </w:r>
      <w:r w:rsidR="00667309">
        <w:rPr>
          <w:w w:val="105"/>
        </w:rPr>
        <w:t>C</w:t>
      </w:r>
      <w:r w:rsidRPr="005C2C69">
        <w:rPr>
          <w:w w:val="105"/>
        </w:rPr>
        <w:t xml:space="preserve">ulture. </w:t>
      </w:r>
      <w:r w:rsidR="009E6641">
        <w:rPr>
          <w:w w:val="105"/>
        </w:rPr>
        <w:t>We also</w:t>
      </w:r>
      <w:r w:rsidRPr="005C2C69">
        <w:rPr>
          <w:w w:val="105"/>
        </w:rPr>
        <w:t xml:space="preserve"> found that younger cohorts have shifted away from traditional fields </w:t>
      </w:r>
      <w:r w:rsidR="006C1B3E">
        <w:rPr>
          <w:w w:val="105"/>
        </w:rPr>
        <w:t>such as</w:t>
      </w:r>
      <w:r w:rsidRPr="005C2C69">
        <w:rPr>
          <w:w w:val="105"/>
        </w:rPr>
        <w:t xml:space="preserve"> Education, Society and </w:t>
      </w:r>
      <w:r w:rsidR="00667309">
        <w:rPr>
          <w:w w:val="105"/>
        </w:rPr>
        <w:t>C</w:t>
      </w:r>
      <w:r w:rsidRPr="005C2C69">
        <w:rPr>
          <w:w w:val="105"/>
        </w:rPr>
        <w:t xml:space="preserve">ulture, and Nursing, opting instead for degrees in Creative </w:t>
      </w:r>
      <w:r w:rsidR="00667309">
        <w:rPr>
          <w:w w:val="105"/>
        </w:rPr>
        <w:t>A</w:t>
      </w:r>
      <w:r w:rsidRPr="005C2C69">
        <w:rPr>
          <w:w w:val="105"/>
        </w:rPr>
        <w:t xml:space="preserve">rts, Law, and Other </w:t>
      </w:r>
      <w:r w:rsidR="00667309">
        <w:rPr>
          <w:w w:val="105"/>
        </w:rPr>
        <w:t>H</w:t>
      </w:r>
      <w:r w:rsidRPr="005C2C69">
        <w:rPr>
          <w:w w:val="105"/>
        </w:rPr>
        <w:t>ealth-</w:t>
      </w:r>
      <w:r w:rsidR="00667309">
        <w:rPr>
          <w:w w:val="105"/>
        </w:rPr>
        <w:t>R</w:t>
      </w:r>
      <w:r w:rsidRPr="005C2C69">
        <w:rPr>
          <w:w w:val="105"/>
        </w:rPr>
        <w:t>elated.</w:t>
      </w:r>
      <w:r>
        <w:rPr>
          <w:w w:val="105"/>
        </w:rPr>
        <w:t xml:space="preserve"> </w:t>
      </w:r>
      <w:r w:rsidR="00FD3103" w:rsidRPr="00FD3103">
        <w:rPr>
          <w:w w:val="105"/>
        </w:rPr>
        <w:t xml:space="preserve">We </w:t>
      </w:r>
      <w:r w:rsidR="00AC1465">
        <w:rPr>
          <w:w w:val="105"/>
        </w:rPr>
        <w:t>also</w:t>
      </w:r>
      <w:r w:rsidR="00FD3103" w:rsidRPr="00FD3103">
        <w:rPr>
          <w:w w:val="105"/>
        </w:rPr>
        <w:t xml:space="preserve"> </w:t>
      </w:r>
      <w:r w:rsidR="00615AA0">
        <w:rPr>
          <w:w w:val="105"/>
        </w:rPr>
        <w:t>showed</w:t>
      </w:r>
      <w:r w:rsidR="00FD3103" w:rsidRPr="00FD3103">
        <w:rPr>
          <w:w w:val="105"/>
        </w:rPr>
        <w:t xml:space="preserve"> that </w:t>
      </w:r>
      <w:r w:rsidR="00C51D2D">
        <w:rPr>
          <w:w w:val="105"/>
        </w:rPr>
        <w:t xml:space="preserve">the </w:t>
      </w:r>
      <w:r w:rsidR="00FD3103" w:rsidRPr="00FD3103">
        <w:rPr>
          <w:w w:val="105"/>
        </w:rPr>
        <w:t xml:space="preserve">labour market outcomes </w:t>
      </w:r>
      <w:r w:rsidR="009E6641">
        <w:rPr>
          <w:w w:val="105"/>
        </w:rPr>
        <w:t>of</w:t>
      </w:r>
      <w:r w:rsidR="00FD3103" w:rsidRPr="00FD3103">
        <w:rPr>
          <w:w w:val="105"/>
        </w:rPr>
        <w:t xml:space="preserve"> graduates varied </w:t>
      </w:r>
      <w:r w:rsidR="009E6641">
        <w:rPr>
          <w:w w:val="105"/>
        </w:rPr>
        <w:t>according to</w:t>
      </w:r>
      <w:r w:rsidR="00FD3103" w:rsidRPr="00FD3103">
        <w:rPr>
          <w:w w:val="105"/>
        </w:rPr>
        <w:t xml:space="preserve"> their field of study. This variation </w:t>
      </w:r>
      <w:r w:rsidR="008A1518">
        <w:rPr>
          <w:w w:val="105"/>
        </w:rPr>
        <w:t>underlin</w:t>
      </w:r>
      <w:r w:rsidR="008A1518" w:rsidRPr="00FD3103">
        <w:rPr>
          <w:w w:val="105"/>
        </w:rPr>
        <w:t>e</w:t>
      </w:r>
      <w:r w:rsidR="00203543">
        <w:rPr>
          <w:w w:val="105"/>
        </w:rPr>
        <w:t>s</w:t>
      </w:r>
      <w:r w:rsidR="00FD3103" w:rsidRPr="00FD3103">
        <w:rPr>
          <w:w w:val="105"/>
        </w:rPr>
        <w:t xml:space="preserve"> the </w:t>
      </w:r>
      <w:r w:rsidR="004B5036">
        <w:rPr>
          <w:w w:val="105"/>
        </w:rPr>
        <w:t>important</w:t>
      </w:r>
      <w:r w:rsidR="00FD3103" w:rsidRPr="00FD3103">
        <w:rPr>
          <w:w w:val="105"/>
        </w:rPr>
        <w:t xml:space="preserve"> role that academic disciplines play in shaping long-term career trajectories, with some fields offering more robust employment opportunities, higher earnings, and greater job satisfaction than others.</w:t>
      </w:r>
    </w:p>
    <w:p w14:paraId="64A9A01E" w14:textId="2B4C3887" w:rsidR="00911E6E" w:rsidRPr="00102C07" w:rsidRDefault="00216485" w:rsidP="00721EB3">
      <w:pPr>
        <w:rPr>
          <w:w w:val="105"/>
        </w:rPr>
      </w:pPr>
      <w:r w:rsidRPr="00216485">
        <w:rPr>
          <w:w w:val="105"/>
        </w:rPr>
        <w:t xml:space="preserve">We found that, of the five indicators of </w:t>
      </w:r>
      <w:r w:rsidR="0097512D">
        <w:rPr>
          <w:w w:val="105"/>
        </w:rPr>
        <w:t>socio-economic</w:t>
      </w:r>
      <w:r w:rsidR="00EA483A">
        <w:rPr>
          <w:w w:val="105"/>
        </w:rPr>
        <w:t xml:space="preserve"> </w:t>
      </w:r>
      <w:r w:rsidR="00EA483A" w:rsidRPr="00BD38F3">
        <w:rPr>
          <w:w w:val="105"/>
        </w:rPr>
        <w:t>backgrounds</w:t>
      </w:r>
      <w:r w:rsidR="00EA483A">
        <w:rPr>
          <w:w w:val="105"/>
        </w:rPr>
        <w:t xml:space="preserve"> </w:t>
      </w:r>
      <w:r w:rsidRPr="00216485">
        <w:rPr>
          <w:w w:val="105"/>
        </w:rPr>
        <w:t xml:space="preserve">analysed, </w:t>
      </w:r>
      <w:r w:rsidR="00E52527">
        <w:rPr>
          <w:w w:val="105"/>
        </w:rPr>
        <w:t>coming</w:t>
      </w:r>
      <w:r w:rsidRPr="00216485">
        <w:rPr>
          <w:w w:val="105"/>
        </w:rPr>
        <w:t xml:space="preserve"> from a NESB was the only significant predictor of </w:t>
      </w:r>
      <w:r w:rsidR="00023F3D" w:rsidRPr="00216485">
        <w:rPr>
          <w:w w:val="105"/>
        </w:rPr>
        <w:t>field</w:t>
      </w:r>
      <w:r w:rsidR="00023F3D">
        <w:rPr>
          <w:w w:val="105"/>
        </w:rPr>
        <w:t>-</w:t>
      </w:r>
      <w:r w:rsidR="00023F3D" w:rsidRPr="00216485">
        <w:rPr>
          <w:w w:val="105"/>
        </w:rPr>
        <w:t>of</w:t>
      </w:r>
      <w:r w:rsidR="00023F3D">
        <w:rPr>
          <w:w w:val="105"/>
        </w:rPr>
        <w:t>-</w:t>
      </w:r>
      <w:r w:rsidRPr="00216485">
        <w:rPr>
          <w:w w:val="105"/>
        </w:rPr>
        <w:t xml:space="preserve">study choice. NESB students were more likely to choose high-paying fields and less likely to choose low-paying </w:t>
      </w:r>
      <w:r w:rsidR="00290D92">
        <w:rPr>
          <w:w w:val="105"/>
        </w:rPr>
        <w:t>fields</w:t>
      </w:r>
      <w:r w:rsidRPr="00216485">
        <w:rPr>
          <w:w w:val="105"/>
        </w:rPr>
        <w:t xml:space="preserve">, suggesting that </w:t>
      </w:r>
      <w:r w:rsidR="00603C43">
        <w:rPr>
          <w:w w:val="105"/>
        </w:rPr>
        <w:t xml:space="preserve">they </w:t>
      </w:r>
      <w:r w:rsidR="008F30F2" w:rsidRPr="008F30F2">
        <w:rPr>
          <w:w w:val="105"/>
        </w:rPr>
        <w:t>are not disadvantaged in education</w:t>
      </w:r>
      <w:r w:rsidRPr="00216485">
        <w:rPr>
          <w:w w:val="105"/>
        </w:rPr>
        <w:t>. In contrast,</w:t>
      </w:r>
      <w:r>
        <w:rPr>
          <w:w w:val="105"/>
        </w:rPr>
        <w:t xml:space="preserve"> t</w:t>
      </w:r>
      <w:r w:rsidR="009F3AE7" w:rsidRPr="00102C07">
        <w:rPr>
          <w:w w:val="105"/>
        </w:rPr>
        <w:t xml:space="preserve">he other four measures of </w:t>
      </w:r>
      <w:r w:rsidR="0097512D">
        <w:rPr>
          <w:w w:val="105"/>
        </w:rPr>
        <w:t>socio-economic</w:t>
      </w:r>
      <w:r w:rsidR="00ED3AFF" w:rsidRPr="00BC1650">
        <w:rPr>
          <w:w w:val="105"/>
        </w:rPr>
        <w:t xml:space="preserve"> background</w:t>
      </w:r>
      <w:r w:rsidR="00ED3AFF">
        <w:rPr>
          <w:w w:val="105"/>
        </w:rPr>
        <w:t>s</w:t>
      </w:r>
      <w:r w:rsidR="00ED3AFF" w:rsidRPr="00D64F76">
        <w:rPr>
          <w:w w:val="105"/>
        </w:rPr>
        <w:t xml:space="preserve"> </w:t>
      </w:r>
      <w:r w:rsidR="000C5BC8" w:rsidRPr="00102C07">
        <w:rPr>
          <w:w w:val="105"/>
        </w:rPr>
        <w:t>(</w:t>
      </w:r>
      <w:r w:rsidR="00906F87">
        <w:rPr>
          <w:w w:val="105"/>
        </w:rPr>
        <w:t xml:space="preserve">namely, </w:t>
      </w:r>
      <w:r w:rsidR="000166A3" w:rsidRPr="00276F44">
        <w:rPr>
          <w:w w:val="105"/>
        </w:rPr>
        <w:t xml:space="preserve">Indigenous </w:t>
      </w:r>
      <w:r w:rsidR="000166A3">
        <w:rPr>
          <w:w w:val="105"/>
        </w:rPr>
        <w:t>origin</w:t>
      </w:r>
      <w:r w:rsidR="000166A3" w:rsidRPr="00276F44">
        <w:rPr>
          <w:w w:val="105"/>
        </w:rPr>
        <w:t>, low</w:t>
      </w:r>
      <w:r w:rsidR="000166A3">
        <w:rPr>
          <w:w w:val="105"/>
        </w:rPr>
        <w:t xml:space="preserve"> </w:t>
      </w:r>
      <w:r w:rsidR="000166A3" w:rsidRPr="00276F44">
        <w:rPr>
          <w:w w:val="105"/>
        </w:rPr>
        <w:t>SES</w:t>
      </w:r>
      <w:r w:rsidR="00587895">
        <w:rPr>
          <w:w w:val="105"/>
        </w:rPr>
        <w:t xml:space="preserve"> in childhood</w:t>
      </w:r>
      <w:r w:rsidR="000166A3" w:rsidRPr="00276F44">
        <w:rPr>
          <w:w w:val="105"/>
        </w:rPr>
        <w:t>, father</w:t>
      </w:r>
      <w:r w:rsidR="000166A3">
        <w:rPr>
          <w:w w:val="105"/>
        </w:rPr>
        <w:t>’s</w:t>
      </w:r>
      <w:r w:rsidR="000166A3" w:rsidRPr="00276F44">
        <w:rPr>
          <w:w w:val="105"/>
        </w:rPr>
        <w:t xml:space="preserve"> unemployment</w:t>
      </w:r>
      <w:r w:rsidR="000166A3">
        <w:rPr>
          <w:w w:val="105"/>
        </w:rPr>
        <w:t xml:space="preserve"> experience during childhood</w:t>
      </w:r>
      <w:r w:rsidR="009F3AE7" w:rsidRPr="00102C07">
        <w:rPr>
          <w:w w:val="105"/>
        </w:rPr>
        <w:t xml:space="preserve">, </w:t>
      </w:r>
      <w:r w:rsidR="00633E50">
        <w:rPr>
          <w:w w:val="105"/>
        </w:rPr>
        <w:t xml:space="preserve">and </w:t>
      </w:r>
      <w:r w:rsidR="000166A3">
        <w:rPr>
          <w:w w:val="105"/>
        </w:rPr>
        <w:t>living</w:t>
      </w:r>
      <w:r w:rsidR="009F3AE7" w:rsidRPr="00102C07">
        <w:rPr>
          <w:w w:val="105"/>
        </w:rPr>
        <w:t xml:space="preserve"> in </w:t>
      </w:r>
      <w:r w:rsidR="00EA4F27" w:rsidRPr="00102C07">
        <w:rPr>
          <w:w w:val="105"/>
        </w:rPr>
        <w:t xml:space="preserve">a </w:t>
      </w:r>
      <w:r w:rsidR="009F3AE7" w:rsidRPr="00102C07">
        <w:rPr>
          <w:w w:val="105"/>
        </w:rPr>
        <w:t>single-parent family</w:t>
      </w:r>
      <w:r w:rsidR="006E3738" w:rsidRPr="00102C07">
        <w:rPr>
          <w:w w:val="105"/>
        </w:rPr>
        <w:t xml:space="preserve"> </w:t>
      </w:r>
      <w:r w:rsidR="00EC7604">
        <w:rPr>
          <w:w w:val="105"/>
        </w:rPr>
        <w:t>at age</w:t>
      </w:r>
      <w:r w:rsidR="006E3738" w:rsidRPr="00102C07">
        <w:rPr>
          <w:w w:val="105"/>
        </w:rPr>
        <w:t xml:space="preserve"> 14</w:t>
      </w:r>
      <w:r w:rsidR="000C5BC8" w:rsidRPr="00102C07">
        <w:rPr>
          <w:w w:val="105"/>
        </w:rPr>
        <w:t xml:space="preserve">) </w:t>
      </w:r>
      <w:r w:rsidRPr="00216485">
        <w:rPr>
          <w:w w:val="105"/>
        </w:rPr>
        <w:t xml:space="preserve">had negligible effects on the likelihood of </w:t>
      </w:r>
      <w:r w:rsidR="003E7381" w:rsidRPr="003E7381">
        <w:rPr>
          <w:w w:val="105"/>
        </w:rPr>
        <w:t xml:space="preserve">choosing a high- </w:t>
      </w:r>
      <w:r w:rsidRPr="00216485">
        <w:rPr>
          <w:w w:val="105"/>
        </w:rPr>
        <w:t>or low-paying field of study.</w:t>
      </w:r>
      <w:r w:rsidR="00660A42" w:rsidRPr="00660A42">
        <w:rPr>
          <w:w w:val="105"/>
        </w:rPr>
        <w:t xml:space="preserve"> </w:t>
      </w:r>
      <w:r w:rsidR="009F3AE7" w:rsidRPr="00102C07">
        <w:rPr>
          <w:w w:val="105"/>
        </w:rPr>
        <w:t xml:space="preserve"> </w:t>
      </w:r>
    </w:p>
    <w:p w14:paraId="1E0D71BE" w14:textId="4B9EB18B" w:rsidR="000B5910" w:rsidRDefault="000B5910" w:rsidP="00721EB3">
      <w:pPr>
        <w:rPr>
          <w:w w:val="105"/>
        </w:rPr>
      </w:pPr>
      <w:r w:rsidRPr="000B5910">
        <w:rPr>
          <w:w w:val="105"/>
        </w:rPr>
        <w:t>Long-term labour market outcomes were found to be comparable across some equity groups. For</w:t>
      </w:r>
      <w:r>
        <w:rPr>
          <w:w w:val="105"/>
        </w:rPr>
        <w:t xml:space="preserve"> example</w:t>
      </w:r>
      <w:r w:rsidRPr="000B5910">
        <w:rPr>
          <w:w w:val="105"/>
        </w:rPr>
        <w:t xml:space="preserve">, Indigenous Australians had similar outcomes to their </w:t>
      </w:r>
      <w:r w:rsidR="0009552C">
        <w:rPr>
          <w:w w:val="105"/>
        </w:rPr>
        <w:t>non-Indigenous counterpart</w:t>
      </w:r>
      <w:r w:rsidRPr="000B5910">
        <w:rPr>
          <w:w w:val="105"/>
        </w:rPr>
        <w:t>s</w:t>
      </w:r>
      <w:r w:rsidR="0009552C">
        <w:rPr>
          <w:w w:val="105"/>
        </w:rPr>
        <w:t xml:space="preserve">. </w:t>
      </w:r>
      <w:r w:rsidR="00E52527">
        <w:rPr>
          <w:w w:val="105"/>
        </w:rPr>
        <w:t>Similar results were found</w:t>
      </w:r>
      <w:r w:rsidR="0009552C">
        <w:rPr>
          <w:w w:val="105"/>
        </w:rPr>
        <w:t xml:space="preserve"> for </w:t>
      </w:r>
      <w:r w:rsidR="0009552C" w:rsidRPr="000B5910">
        <w:rPr>
          <w:w w:val="105"/>
        </w:rPr>
        <w:t>those whose father was unemployed for six months or more during childhood</w:t>
      </w:r>
      <w:r w:rsidRPr="000B5910">
        <w:rPr>
          <w:w w:val="105"/>
        </w:rPr>
        <w:t xml:space="preserve">. </w:t>
      </w:r>
      <w:r w:rsidR="00055D26">
        <w:rPr>
          <w:w w:val="105"/>
        </w:rPr>
        <w:t>G</w:t>
      </w:r>
      <w:r w:rsidRPr="000B5910">
        <w:rPr>
          <w:w w:val="105"/>
        </w:rPr>
        <w:t xml:space="preserve">raduates </w:t>
      </w:r>
      <w:r w:rsidR="00AD6AE9">
        <w:rPr>
          <w:w w:val="105"/>
        </w:rPr>
        <w:t>from</w:t>
      </w:r>
      <w:r w:rsidRPr="000B5910">
        <w:rPr>
          <w:w w:val="105"/>
        </w:rPr>
        <w:t xml:space="preserve"> single-parent families earned higher weekly wages than those from two-parent families. However, the results were more mixed</w:t>
      </w:r>
      <w:r w:rsidR="00E52527">
        <w:rPr>
          <w:w w:val="105"/>
        </w:rPr>
        <w:t xml:space="preserve"> </w:t>
      </w:r>
      <w:r w:rsidR="00E52527" w:rsidRPr="000B5910">
        <w:rPr>
          <w:w w:val="105"/>
        </w:rPr>
        <w:t xml:space="preserve">for </w:t>
      </w:r>
      <w:r w:rsidR="00E52527">
        <w:rPr>
          <w:w w:val="105"/>
        </w:rPr>
        <w:t>those with a</w:t>
      </w:r>
      <w:r w:rsidR="00E52527" w:rsidRPr="000B5910">
        <w:rPr>
          <w:w w:val="105"/>
        </w:rPr>
        <w:t xml:space="preserve"> low SES in childhood</w:t>
      </w:r>
      <w:r w:rsidR="002C0024">
        <w:rPr>
          <w:w w:val="105"/>
        </w:rPr>
        <w:t xml:space="preserve">. </w:t>
      </w:r>
      <w:r w:rsidR="001B25EA" w:rsidRPr="00AF75DB">
        <w:rPr>
          <w:w w:val="105"/>
        </w:rPr>
        <w:t>While low SES was not significantly associated with full-time employment, weekly earnings, or job satisfaction, it show</w:t>
      </w:r>
      <w:r w:rsidR="001B25EA">
        <w:rPr>
          <w:w w:val="105"/>
        </w:rPr>
        <w:t>ed</w:t>
      </w:r>
      <w:r w:rsidR="001B25EA" w:rsidRPr="00AF75DB">
        <w:rPr>
          <w:w w:val="105"/>
        </w:rPr>
        <w:t xml:space="preserve"> a positive association with permanent or ongoing employment</w:t>
      </w:r>
      <w:r w:rsidR="001B25EA">
        <w:rPr>
          <w:w w:val="105"/>
        </w:rPr>
        <w:t xml:space="preserve"> but a negative</w:t>
      </w:r>
      <w:r w:rsidR="001B25EA" w:rsidRPr="00AF75DB">
        <w:rPr>
          <w:w w:val="105"/>
        </w:rPr>
        <w:t xml:space="preserve"> </w:t>
      </w:r>
      <w:r w:rsidR="00290D92">
        <w:rPr>
          <w:w w:val="105"/>
        </w:rPr>
        <w:t>association</w:t>
      </w:r>
      <w:r w:rsidR="00E52527">
        <w:rPr>
          <w:w w:val="105"/>
        </w:rPr>
        <w:t xml:space="preserve"> </w:t>
      </w:r>
      <w:r w:rsidR="001B25EA" w:rsidRPr="00AF75DB">
        <w:rPr>
          <w:w w:val="105"/>
        </w:rPr>
        <w:t xml:space="preserve">with </w:t>
      </w:r>
      <w:r w:rsidR="006D2478">
        <w:rPr>
          <w:w w:val="105"/>
        </w:rPr>
        <w:t>employment in</w:t>
      </w:r>
      <w:r w:rsidR="001B25EA" w:rsidRPr="00AF75DB">
        <w:rPr>
          <w:w w:val="105"/>
        </w:rPr>
        <w:t xml:space="preserve"> managerial or professional occupations</w:t>
      </w:r>
      <w:r w:rsidR="00B770FB">
        <w:rPr>
          <w:w w:val="105"/>
        </w:rPr>
        <w:t>.</w:t>
      </w:r>
    </w:p>
    <w:p w14:paraId="75AECA60" w14:textId="2621688A" w:rsidR="000B5910" w:rsidRDefault="000B5910" w:rsidP="00721EB3">
      <w:pPr>
        <w:rPr>
          <w:w w:val="105"/>
        </w:rPr>
      </w:pPr>
      <w:r w:rsidRPr="000B5910">
        <w:rPr>
          <w:w w:val="105"/>
        </w:rPr>
        <w:t xml:space="preserve">Of the five </w:t>
      </w:r>
      <w:r w:rsidR="0097512D">
        <w:rPr>
          <w:w w:val="105"/>
        </w:rPr>
        <w:t>socio-economic</w:t>
      </w:r>
      <w:r w:rsidR="00EA483A">
        <w:rPr>
          <w:w w:val="105"/>
        </w:rPr>
        <w:t xml:space="preserve"> </w:t>
      </w:r>
      <w:r w:rsidR="00EA483A" w:rsidRPr="00BD38F3">
        <w:rPr>
          <w:w w:val="105"/>
        </w:rPr>
        <w:t>backgrounds</w:t>
      </w:r>
      <w:r w:rsidR="00EA483A">
        <w:rPr>
          <w:w w:val="105"/>
        </w:rPr>
        <w:t xml:space="preserve"> </w:t>
      </w:r>
      <w:r w:rsidRPr="000B5910">
        <w:rPr>
          <w:w w:val="105"/>
        </w:rPr>
        <w:t xml:space="preserve">analysed, the challenges faced by NESB workers were the most pronounced. </w:t>
      </w:r>
      <w:r w:rsidR="00A50761">
        <w:rPr>
          <w:w w:val="105"/>
        </w:rPr>
        <w:t>In comparison with</w:t>
      </w:r>
      <w:r w:rsidR="009D7203" w:rsidRPr="009D7203">
        <w:rPr>
          <w:w w:val="105"/>
        </w:rPr>
        <w:t xml:space="preserve"> their ESB counterparts, NESB workers were less likely to be in managerial or professional occupations and </w:t>
      </w:r>
      <w:r w:rsidR="00C34482">
        <w:rPr>
          <w:w w:val="105"/>
        </w:rPr>
        <w:t>had</w:t>
      </w:r>
      <w:r w:rsidR="009D7203" w:rsidRPr="009D7203">
        <w:rPr>
          <w:w w:val="105"/>
        </w:rPr>
        <w:t xml:space="preserve"> </w:t>
      </w:r>
      <w:r w:rsidR="00C34482">
        <w:rPr>
          <w:w w:val="105"/>
        </w:rPr>
        <w:t xml:space="preserve">significantly </w:t>
      </w:r>
      <w:r w:rsidR="009D7203" w:rsidRPr="009D7203">
        <w:rPr>
          <w:w w:val="105"/>
        </w:rPr>
        <w:t xml:space="preserve">lower weekly earnings. </w:t>
      </w:r>
      <w:r w:rsidRPr="000B5910">
        <w:rPr>
          <w:w w:val="105"/>
        </w:rPr>
        <w:t xml:space="preserve">The role of subject choice at university was particularly significant for NESB graduates. Their </w:t>
      </w:r>
      <w:r w:rsidR="00F124C5">
        <w:rPr>
          <w:w w:val="105"/>
        </w:rPr>
        <w:t>choice</w:t>
      </w:r>
      <w:r w:rsidRPr="000B5910">
        <w:rPr>
          <w:w w:val="105"/>
        </w:rPr>
        <w:t xml:space="preserve"> of high-paying fields helped </w:t>
      </w:r>
      <w:r w:rsidR="00F124C5">
        <w:rPr>
          <w:w w:val="105"/>
        </w:rPr>
        <w:t xml:space="preserve">to </w:t>
      </w:r>
      <w:r w:rsidRPr="000B5910">
        <w:rPr>
          <w:w w:val="105"/>
        </w:rPr>
        <w:t xml:space="preserve">narrow the earnings gap and improve their employment prospects. However, this did not fully close the </w:t>
      </w:r>
      <w:r w:rsidR="005B37D0">
        <w:rPr>
          <w:w w:val="105"/>
        </w:rPr>
        <w:t xml:space="preserve">earnings </w:t>
      </w:r>
      <w:r w:rsidRPr="000B5910">
        <w:rPr>
          <w:w w:val="105"/>
        </w:rPr>
        <w:t>gap</w:t>
      </w:r>
      <w:r w:rsidR="00B770FB">
        <w:rPr>
          <w:w w:val="105"/>
        </w:rPr>
        <w:t xml:space="preserve"> </w:t>
      </w:r>
      <w:r w:rsidRPr="000B5910">
        <w:rPr>
          <w:w w:val="105"/>
        </w:rPr>
        <w:t xml:space="preserve">between </w:t>
      </w:r>
      <w:r w:rsidR="00B770FB">
        <w:rPr>
          <w:w w:val="105"/>
        </w:rPr>
        <w:t xml:space="preserve">NESB </w:t>
      </w:r>
      <w:r w:rsidR="003F1174">
        <w:rPr>
          <w:w w:val="105"/>
        </w:rPr>
        <w:t xml:space="preserve">and ESB </w:t>
      </w:r>
      <w:r w:rsidR="00B770FB">
        <w:rPr>
          <w:w w:val="105"/>
        </w:rPr>
        <w:t>graduates</w:t>
      </w:r>
      <w:r w:rsidRPr="000B5910">
        <w:rPr>
          <w:w w:val="105"/>
        </w:rPr>
        <w:t xml:space="preserve">. </w:t>
      </w:r>
      <w:r w:rsidR="000E443B" w:rsidRPr="000E443B">
        <w:rPr>
          <w:w w:val="105"/>
        </w:rPr>
        <w:t xml:space="preserve">For other disadvantaged groups, the influence of field of study appeared limited, possibly because their field-of-study choices did not differ substantially from those of </w:t>
      </w:r>
      <w:r w:rsidR="00E403CD">
        <w:rPr>
          <w:w w:val="105"/>
        </w:rPr>
        <w:t xml:space="preserve">their </w:t>
      </w:r>
      <w:r w:rsidR="000E443B">
        <w:rPr>
          <w:w w:val="105"/>
        </w:rPr>
        <w:t>non-disadvantaged</w:t>
      </w:r>
      <w:r w:rsidR="000E443B" w:rsidRPr="000E443B">
        <w:rPr>
          <w:w w:val="105"/>
        </w:rPr>
        <w:t xml:space="preserve"> </w:t>
      </w:r>
      <w:r w:rsidR="00E403CD">
        <w:rPr>
          <w:w w:val="105"/>
        </w:rPr>
        <w:t>counterpart</w:t>
      </w:r>
      <w:r w:rsidR="000E443B" w:rsidRPr="000E443B">
        <w:rPr>
          <w:w w:val="105"/>
        </w:rPr>
        <w:t>s.</w:t>
      </w:r>
    </w:p>
    <w:p w14:paraId="0AFACD79" w14:textId="6AB43346" w:rsidR="00E571CE" w:rsidRDefault="00E571CE" w:rsidP="00721EB3">
      <w:pPr>
        <w:rPr>
          <w:w w:val="105"/>
        </w:rPr>
      </w:pPr>
      <w:r w:rsidRPr="00E571CE">
        <w:rPr>
          <w:w w:val="105"/>
        </w:rPr>
        <w:t xml:space="preserve">Our findings </w:t>
      </w:r>
      <w:r>
        <w:rPr>
          <w:w w:val="105"/>
        </w:rPr>
        <w:t>highlight</w:t>
      </w:r>
      <w:r w:rsidRPr="00E571CE">
        <w:rPr>
          <w:w w:val="105"/>
        </w:rPr>
        <w:t xml:space="preserve"> the complex ways in which </w:t>
      </w:r>
      <w:r w:rsidR="0097512D">
        <w:rPr>
          <w:w w:val="105"/>
        </w:rPr>
        <w:t>socio-economic</w:t>
      </w:r>
      <w:r w:rsidRPr="00E571CE">
        <w:rPr>
          <w:w w:val="105"/>
        </w:rPr>
        <w:t xml:space="preserve"> background</w:t>
      </w:r>
      <w:r w:rsidR="00023F3D">
        <w:rPr>
          <w:w w:val="105"/>
        </w:rPr>
        <w:t>s</w:t>
      </w:r>
      <w:r w:rsidRPr="00E571CE">
        <w:rPr>
          <w:w w:val="105"/>
        </w:rPr>
        <w:t xml:space="preserve"> influence both academic pathways and labour market outcomes, with important implications for </w:t>
      </w:r>
      <w:r w:rsidRPr="00E571CE">
        <w:rPr>
          <w:w w:val="105"/>
        </w:rPr>
        <w:lastRenderedPageBreak/>
        <w:t>promoting a more equitable and inclusive workforce in Australia. Based on these findings, we propose the following policy recommendations</w:t>
      </w:r>
      <w:r w:rsidR="00453EE5">
        <w:rPr>
          <w:w w:val="105"/>
        </w:rPr>
        <w:t>.</w:t>
      </w:r>
    </w:p>
    <w:p w14:paraId="2CE2801E" w14:textId="6F60ECDA" w:rsidR="009222F0" w:rsidRPr="00E571CE" w:rsidRDefault="009222F0" w:rsidP="0095055E">
      <w:pPr>
        <w:pStyle w:val="Heading2"/>
        <w:rPr>
          <w:w w:val="105"/>
        </w:rPr>
      </w:pPr>
      <w:bookmarkStart w:id="77" w:name="_Toc222998780"/>
      <w:r>
        <w:rPr>
          <w:w w:val="105"/>
        </w:rPr>
        <w:t>Recommendations</w:t>
      </w:r>
      <w:bookmarkEnd w:id="77"/>
    </w:p>
    <w:p w14:paraId="52A9601D" w14:textId="0D442F0D" w:rsidR="00E571CE" w:rsidRPr="00E571CE" w:rsidRDefault="00E571CE" w:rsidP="00721EB3">
      <w:pPr>
        <w:rPr>
          <w:w w:val="105"/>
        </w:rPr>
      </w:pPr>
      <w:r w:rsidRPr="00BE77EB">
        <w:rPr>
          <w:w w:val="105"/>
        </w:rPr>
        <w:t>First</w:t>
      </w:r>
      <w:r w:rsidRPr="00E571CE">
        <w:rPr>
          <w:w w:val="105"/>
        </w:rPr>
        <w:t xml:space="preserve">, </w:t>
      </w:r>
      <w:r w:rsidR="00572758">
        <w:rPr>
          <w:w w:val="105"/>
        </w:rPr>
        <w:t xml:space="preserve">more and clear </w:t>
      </w:r>
      <w:r w:rsidRPr="00E571CE">
        <w:rPr>
          <w:w w:val="105"/>
        </w:rPr>
        <w:t xml:space="preserve">career guidance and access to information should be </w:t>
      </w:r>
      <w:r w:rsidR="00572758">
        <w:rPr>
          <w:w w:val="105"/>
        </w:rPr>
        <w:t>provided</w:t>
      </w:r>
      <w:r w:rsidRPr="00E571CE">
        <w:rPr>
          <w:w w:val="105"/>
        </w:rPr>
        <w:t xml:space="preserve"> for students from disadvantaged backgrounds, including those from low </w:t>
      </w:r>
      <w:r w:rsidR="0097512D">
        <w:rPr>
          <w:w w:val="105"/>
        </w:rPr>
        <w:t>socio-economic</w:t>
      </w:r>
      <w:r w:rsidRPr="00E571CE">
        <w:rPr>
          <w:w w:val="105"/>
        </w:rPr>
        <w:t xml:space="preserve"> status families, Indigenous communities, and single-parent households. Tailored career counselling programs in both secondary schools and universities should provide clear, accessible information on employment prospects</w:t>
      </w:r>
      <w:r w:rsidR="002B1493">
        <w:rPr>
          <w:w w:val="105"/>
        </w:rPr>
        <w:t xml:space="preserve">, </w:t>
      </w:r>
      <w:r w:rsidRPr="00E571CE">
        <w:rPr>
          <w:w w:val="105"/>
        </w:rPr>
        <w:t>such as job security, earning potential, and long-term career outcomes</w:t>
      </w:r>
      <w:r w:rsidR="002B1493">
        <w:rPr>
          <w:w w:val="105"/>
        </w:rPr>
        <w:t xml:space="preserve">, </w:t>
      </w:r>
      <w:r w:rsidRPr="00E571CE">
        <w:rPr>
          <w:w w:val="105"/>
        </w:rPr>
        <w:t>across various fields of study. Strengthened partnerships between educational institutions and industry can support the development of timely, relevant resources to help students make informed decisions about their academic and career paths.</w:t>
      </w:r>
    </w:p>
    <w:p w14:paraId="46D92B7A" w14:textId="77777777" w:rsidR="00E571CE" w:rsidRPr="00E571CE" w:rsidRDefault="00E571CE" w:rsidP="00721EB3">
      <w:pPr>
        <w:rPr>
          <w:w w:val="105"/>
        </w:rPr>
      </w:pPr>
      <w:r w:rsidRPr="00BE77EB">
        <w:rPr>
          <w:w w:val="105"/>
        </w:rPr>
        <w:t>Second</w:t>
      </w:r>
      <w:r w:rsidRPr="00E571CE">
        <w:rPr>
          <w:w w:val="105"/>
        </w:rPr>
        <w:t>, targeted support is needed to increase the representation of disadvantaged students in high-return disciplines such as medicine and law. Financial and informational barriers can be addressed through scholarships, mentoring schemes, and preparatory or bridging programs. Universities should also consider contextualising admissions criteria to better account for applicants’ background circumstances, thereby expanding access to competitive courses and reducing educational stratification by field. These initiatives can play a critical role in promoting social mobility.</w:t>
      </w:r>
    </w:p>
    <w:p w14:paraId="1465B33A" w14:textId="0BCDB382" w:rsidR="00E571CE" w:rsidRPr="00E571CE" w:rsidRDefault="00E571CE" w:rsidP="00721EB3">
      <w:pPr>
        <w:rPr>
          <w:w w:val="105"/>
        </w:rPr>
      </w:pPr>
      <w:r w:rsidRPr="00BE77EB">
        <w:rPr>
          <w:w w:val="105"/>
        </w:rPr>
        <w:t>Third</w:t>
      </w:r>
      <w:r w:rsidRPr="00E571CE">
        <w:rPr>
          <w:w w:val="105"/>
        </w:rPr>
        <w:t>, the persistent labour market disadvantages experienced by graduates from non-English-speaking backgrounds call for tailored employment support. Programs offering job search assistance, internship placements, and networking opportunities can help these graduates access managerial and professional roles. In parallel, employers should be encouraged to adopt inclusive hiring and promotion practices</w:t>
      </w:r>
      <w:r w:rsidR="004F7511">
        <w:rPr>
          <w:w w:val="105"/>
        </w:rPr>
        <w:t xml:space="preserve">, </w:t>
      </w:r>
      <w:r w:rsidRPr="00E571CE">
        <w:rPr>
          <w:w w:val="105"/>
        </w:rPr>
        <w:t>such as anonymised recruitment processes and diversity training</w:t>
      </w:r>
      <w:r w:rsidR="004F7511">
        <w:rPr>
          <w:w w:val="105"/>
        </w:rPr>
        <w:t xml:space="preserve">, </w:t>
      </w:r>
      <w:r w:rsidRPr="00E571CE">
        <w:rPr>
          <w:w w:val="105"/>
        </w:rPr>
        <w:t>to reduce bias and promote workplace equity.</w:t>
      </w:r>
    </w:p>
    <w:p w14:paraId="1C996BA0" w14:textId="67690AD1" w:rsidR="00E571CE" w:rsidRDefault="00E571CE" w:rsidP="00721EB3">
      <w:pPr>
        <w:rPr>
          <w:w w:val="105"/>
        </w:rPr>
      </w:pPr>
      <w:r w:rsidRPr="00BE77EB">
        <w:rPr>
          <w:w w:val="105"/>
        </w:rPr>
        <w:t>Finally</w:t>
      </w:r>
      <w:r w:rsidRPr="00E571CE">
        <w:rPr>
          <w:w w:val="105"/>
        </w:rPr>
        <w:t>, to support long-term career progression for disadvantaged graduates</w:t>
      </w:r>
      <w:r w:rsidR="00E930AC">
        <w:rPr>
          <w:w w:val="105"/>
        </w:rPr>
        <w:t xml:space="preserve">, </w:t>
      </w:r>
      <w:r w:rsidRPr="00E571CE">
        <w:rPr>
          <w:w w:val="105"/>
        </w:rPr>
        <w:t>particularly those from low-SES backgrounds</w:t>
      </w:r>
      <w:r w:rsidR="00E930AC">
        <w:rPr>
          <w:w w:val="105"/>
        </w:rPr>
        <w:t xml:space="preserve">, </w:t>
      </w:r>
      <w:r w:rsidRPr="00E571CE">
        <w:rPr>
          <w:w w:val="105"/>
        </w:rPr>
        <w:t>policymakers should invest in post-university support mechanisms. This includes expanding access to mentoring, leadership development, and sponsorship programs designed to facilitate entry into senior roles. Such initiatives can help address structural barriers within the labour market and ensure that the benefits of higher education translate into sustained occupational success.</w:t>
      </w:r>
    </w:p>
    <w:p w14:paraId="36E4DBA2" w14:textId="1AA09377" w:rsidR="009222F0" w:rsidRPr="00E571CE" w:rsidRDefault="009222F0" w:rsidP="0095055E">
      <w:pPr>
        <w:pStyle w:val="Heading2"/>
        <w:rPr>
          <w:w w:val="105"/>
        </w:rPr>
      </w:pPr>
      <w:bookmarkStart w:id="78" w:name="_Toc222998781"/>
      <w:r>
        <w:rPr>
          <w:w w:val="105"/>
        </w:rPr>
        <w:t>Limitations and future research</w:t>
      </w:r>
      <w:bookmarkEnd w:id="78"/>
    </w:p>
    <w:p w14:paraId="1A966367" w14:textId="53BCED01" w:rsidR="009222F0" w:rsidRDefault="004F7511" w:rsidP="00721EB3">
      <w:pPr>
        <w:rPr>
          <w:w w:val="105"/>
        </w:rPr>
      </w:pPr>
      <w:r w:rsidRPr="004F7511">
        <w:rPr>
          <w:w w:val="105"/>
        </w:rPr>
        <w:t xml:space="preserve">Despite its valuable contributions, this study has several limitations. First, although the analysis incorporates multiple indicators of </w:t>
      </w:r>
      <w:r w:rsidR="0097512D">
        <w:rPr>
          <w:w w:val="105"/>
        </w:rPr>
        <w:t>socio-economic</w:t>
      </w:r>
      <w:r w:rsidRPr="004F7511">
        <w:rPr>
          <w:w w:val="105"/>
        </w:rPr>
        <w:t xml:space="preserve"> background available in the HILDA dataset, these measures may not fully reflect the complex and multidimensional nature of </w:t>
      </w:r>
      <w:r w:rsidR="007647B2">
        <w:rPr>
          <w:w w:val="105"/>
        </w:rPr>
        <w:t xml:space="preserve">Australians’ </w:t>
      </w:r>
      <w:r w:rsidR="00023F3D">
        <w:rPr>
          <w:w w:val="105"/>
        </w:rPr>
        <w:t>background characteristics</w:t>
      </w:r>
      <w:r w:rsidRPr="004F7511">
        <w:rPr>
          <w:w w:val="105"/>
        </w:rPr>
        <w:t>. Future research should consider additional factors to build a more comprehensive understanding of the barriers faced by disadvantaged individuals in Australia.</w:t>
      </w:r>
      <w:r w:rsidR="000A4BA9">
        <w:rPr>
          <w:w w:val="105"/>
        </w:rPr>
        <w:t xml:space="preserve"> </w:t>
      </w:r>
    </w:p>
    <w:p w14:paraId="0B9BE963" w14:textId="11DD2724" w:rsidR="009222F0" w:rsidRDefault="004F7511" w:rsidP="00721EB3">
      <w:pPr>
        <w:rPr>
          <w:w w:val="105"/>
        </w:rPr>
      </w:pPr>
      <w:r w:rsidRPr="004F7511">
        <w:rPr>
          <w:w w:val="105"/>
        </w:rPr>
        <w:lastRenderedPageBreak/>
        <w:t>Second, data on field of study are available only in waves 12, 16, and 20 of HILDA, which limits the sample size and may reduce statistical power, particularly for smaller subgroups such as Indigenous Australians. This constraint may hinder the detection of significant differences and contribute to non-significant findings. Greater access to linked administrative datasets would enable more comprehensive tracking of students’ pathways through education and into the labour market, disaggregated by equity group. Such enhanced data capacity would support deeper insight into, and more effective responses to, educational and labour market inequities.</w:t>
      </w:r>
      <w:r w:rsidR="000A4BA9">
        <w:rPr>
          <w:w w:val="105"/>
        </w:rPr>
        <w:t xml:space="preserve"> </w:t>
      </w:r>
      <w:r w:rsidRPr="004F7511">
        <w:rPr>
          <w:w w:val="105"/>
        </w:rPr>
        <w:t xml:space="preserve">Third, the study focuses primarily on employment and earnings outcomes, without addressing broader social or psychological dimensions that may be influenced by </w:t>
      </w:r>
      <w:r w:rsidR="0097512D">
        <w:rPr>
          <w:w w:val="105"/>
        </w:rPr>
        <w:t>socio-economic</w:t>
      </w:r>
      <w:r w:rsidRPr="004F7511">
        <w:rPr>
          <w:w w:val="105"/>
        </w:rPr>
        <w:t xml:space="preserve"> background and field of study. Future research should examine outcomes such as mental health, well-being, and work-life balance to provide a more holistic understanding of the long-term impacts of early disadvantage.</w:t>
      </w:r>
      <w:r w:rsidR="000A4BA9">
        <w:rPr>
          <w:w w:val="105"/>
        </w:rPr>
        <w:t xml:space="preserve"> </w:t>
      </w:r>
    </w:p>
    <w:p w14:paraId="0333C053" w14:textId="3DB6099F" w:rsidR="00E31679" w:rsidRPr="0016620E" w:rsidRDefault="004F7511" w:rsidP="00721EB3">
      <w:r w:rsidRPr="004F7511">
        <w:rPr>
          <w:w w:val="105"/>
        </w:rPr>
        <w:t>Finally, while the quantitative analysis reveals important patterns and associations, the study would benefit from complementary qualitative research. Gaining insight into the motivations, aspirations, and decision-making processes of disadvantaged Australians would be invaluable for designing targeted policy interventions aimed at reducing inequality and promoting equitable access to educational and career opportunities.</w:t>
      </w:r>
      <w:r w:rsidR="009D6D47" w:rsidRPr="0016620E">
        <w:br w:type="page"/>
      </w:r>
    </w:p>
    <w:p w14:paraId="3A192959" w14:textId="77777777" w:rsidR="009D6D47" w:rsidRPr="0016620E" w:rsidRDefault="009D6D47" w:rsidP="004D121F">
      <w:pPr>
        <w:pStyle w:val="Heading1"/>
      </w:pPr>
      <w:bookmarkStart w:id="79" w:name="_Toc222998782"/>
      <w:r w:rsidRPr="0016620E">
        <w:lastRenderedPageBreak/>
        <w:t>References</w:t>
      </w:r>
      <w:bookmarkEnd w:id="79"/>
    </w:p>
    <w:p w14:paraId="4A94C164" w14:textId="4BF5F967" w:rsidR="00290401" w:rsidRPr="006843FC" w:rsidRDefault="00290401" w:rsidP="009222F0">
      <w:pPr>
        <w:spacing w:after="120"/>
        <w:ind w:left="709" w:hanging="709"/>
        <w:rPr>
          <w:rFonts w:cs="Arial"/>
        </w:rPr>
      </w:pPr>
      <w:r w:rsidRPr="0016620E">
        <w:rPr>
          <w:rFonts w:cs="Arial"/>
        </w:rPr>
        <w:t>Angrist,</w:t>
      </w:r>
      <w:r w:rsidRPr="006843FC">
        <w:rPr>
          <w:rFonts w:cs="Arial"/>
        </w:rPr>
        <w:t xml:space="preserve"> J.</w:t>
      </w:r>
      <w:r w:rsidR="00D31F45" w:rsidRPr="006843FC">
        <w:rPr>
          <w:rFonts w:cs="Arial"/>
        </w:rPr>
        <w:t>,</w:t>
      </w:r>
      <w:r w:rsidR="00756434" w:rsidRPr="006843FC">
        <w:rPr>
          <w:rFonts w:cs="Arial"/>
        </w:rPr>
        <w:t xml:space="preserve"> </w:t>
      </w:r>
      <w:r w:rsidR="00D31F45" w:rsidRPr="006843FC">
        <w:rPr>
          <w:rFonts w:cs="Arial"/>
        </w:rPr>
        <w:t>&amp;</w:t>
      </w:r>
      <w:r w:rsidRPr="006843FC">
        <w:rPr>
          <w:rFonts w:cs="Arial"/>
        </w:rPr>
        <w:t xml:space="preserve"> Pischke, J.S. (2008). </w:t>
      </w:r>
      <w:r w:rsidRPr="006843FC">
        <w:rPr>
          <w:rFonts w:cs="Arial"/>
          <w:i/>
          <w:iCs/>
        </w:rPr>
        <w:t xml:space="preserve">Mostly harmless econometrics: </w:t>
      </w:r>
      <w:r w:rsidR="00FE633D" w:rsidRPr="006843FC">
        <w:rPr>
          <w:rFonts w:cs="Arial"/>
          <w:i/>
          <w:iCs/>
        </w:rPr>
        <w:t>A</w:t>
      </w:r>
      <w:r w:rsidRPr="006843FC">
        <w:rPr>
          <w:rFonts w:cs="Arial"/>
          <w:i/>
          <w:iCs/>
        </w:rPr>
        <w:t>n empiricist’s companion</w:t>
      </w:r>
      <w:r w:rsidRPr="006843FC">
        <w:rPr>
          <w:rFonts w:cs="Arial"/>
        </w:rPr>
        <w:t xml:space="preserve">. </w:t>
      </w:r>
      <w:r w:rsidR="00756434" w:rsidRPr="006843FC">
        <w:rPr>
          <w:rFonts w:cs="Arial"/>
        </w:rPr>
        <w:t xml:space="preserve">Princeton, </w:t>
      </w:r>
      <w:r w:rsidR="00853940" w:rsidRPr="006843FC">
        <w:rPr>
          <w:rFonts w:cs="Arial"/>
        </w:rPr>
        <w:t>NJ</w:t>
      </w:r>
      <w:r w:rsidR="00756434" w:rsidRPr="006843FC">
        <w:rPr>
          <w:rFonts w:cs="Arial"/>
        </w:rPr>
        <w:t xml:space="preserve">: </w:t>
      </w:r>
      <w:r w:rsidRPr="006843FC">
        <w:rPr>
          <w:rFonts w:cs="Arial"/>
        </w:rPr>
        <w:t>Princeton University Press.</w:t>
      </w:r>
    </w:p>
    <w:p w14:paraId="45EC94A7" w14:textId="4C11794D" w:rsidR="007835B3" w:rsidRPr="006843FC" w:rsidRDefault="007835B3" w:rsidP="009222F0">
      <w:pPr>
        <w:pStyle w:val="BodyText"/>
        <w:spacing w:after="120" w:line="274" w:lineRule="auto"/>
        <w:ind w:left="709" w:hanging="709"/>
        <w:rPr>
          <w:w w:val="105"/>
        </w:rPr>
      </w:pPr>
      <w:r w:rsidRPr="006843FC">
        <w:rPr>
          <w:w w:val="105"/>
        </w:rPr>
        <w:t xml:space="preserve">Australian Universities Accord Review Panel (2024). </w:t>
      </w:r>
      <w:r w:rsidRPr="006843FC">
        <w:rPr>
          <w:i/>
          <w:iCs/>
          <w:w w:val="105"/>
        </w:rPr>
        <w:t>Australian Universities Accord Final Report</w:t>
      </w:r>
      <w:r w:rsidRPr="006843FC">
        <w:rPr>
          <w:w w:val="105"/>
        </w:rPr>
        <w:t xml:space="preserve">. </w:t>
      </w:r>
      <w:r w:rsidR="002E7D72" w:rsidRPr="006843FC">
        <w:rPr>
          <w:w w:val="105"/>
        </w:rPr>
        <w:t xml:space="preserve">Canberra: </w:t>
      </w:r>
      <w:r w:rsidRPr="006843FC">
        <w:rPr>
          <w:w w:val="105"/>
        </w:rPr>
        <w:t>Australian Government Department of Education.</w:t>
      </w:r>
      <w:r w:rsidR="00696FDD" w:rsidRPr="006843FC">
        <w:rPr>
          <w:w w:val="105"/>
        </w:rPr>
        <w:t xml:space="preserve"> </w:t>
      </w:r>
    </w:p>
    <w:p w14:paraId="200F9B5E" w14:textId="55676732" w:rsidR="007835B3" w:rsidRPr="006843FC" w:rsidRDefault="007835B3" w:rsidP="009222F0">
      <w:pPr>
        <w:pStyle w:val="BodyText"/>
        <w:spacing w:after="120" w:line="274" w:lineRule="auto"/>
        <w:ind w:left="709" w:hanging="709"/>
        <w:rPr>
          <w:w w:val="105"/>
        </w:rPr>
      </w:pPr>
      <w:r w:rsidRPr="006843FC">
        <w:rPr>
          <w:w w:val="105"/>
        </w:rPr>
        <w:t xml:space="preserve">Bradley D., Noonan, </w:t>
      </w:r>
      <w:r w:rsidR="009E5344" w:rsidRPr="006843FC">
        <w:rPr>
          <w:w w:val="105"/>
        </w:rPr>
        <w:t xml:space="preserve">P., </w:t>
      </w:r>
      <w:r w:rsidRPr="006843FC">
        <w:rPr>
          <w:w w:val="105"/>
        </w:rPr>
        <w:t xml:space="preserve">Nugent, </w:t>
      </w:r>
      <w:r w:rsidR="009E5344" w:rsidRPr="006843FC">
        <w:rPr>
          <w:w w:val="105"/>
        </w:rPr>
        <w:t xml:space="preserve">H. </w:t>
      </w:r>
      <w:r w:rsidR="00D31F45" w:rsidRPr="006843FC">
        <w:rPr>
          <w:w w:val="105"/>
        </w:rPr>
        <w:t>&amp;</w:t>
      </w:r>
      <w:r w:rsidRPr="006843FC">
        <w:rPr>
          <w:w w:val="105"/>
        </w:rPr>
        <w:t xml:space="preserve"> Scales</w:t>
      </w:r>
      <w:r w:rsidR="009E5344" w:rsidRPr="006843FC">
        <w:rPr>
          <w:w w:val="105"/>
        </w:rPr>
        <w:t>, B.</w:t>
      </w:r>
      <w:r w:rsidRPr="006843FC">
        <w:rPr>
          <w:w w:val="105"/>
        </w:rPr>
        <w:t xml:space="preserve"> (2008). </w:t>
      </w:r>
      <w:r w:rsidRPr="006843FC">
        <w:rPr>
          <w:i/>
          <w:iCs/>
          <w:w w:val="105"/>
        </w:rPr>
        <w:t>Review of Australian Higher Education Final Report</w:t>
      </w:r>
      <w:r w:rsidRPr="006843FC">
        <w:rPr>
          <w:w w:val="105"/>
        </w:rPr>
        <w:t>.</w:t>
      </w:r>
      <w:r w:rsidRPr="006843FC">
        <w:t xml:space="preserve"> </w:t>
      </w:r>
      <w:r w:rsidR="007A0418" w:rsidRPr="006843FC">
        <w:rPr>
          <w:w w:val="105"/>
        </w:rPr>
        <w:t xml:space="preserve">Canberra: </w:t>
      </w:r>
      <w:hyperlink r:id="rId24" w:tooltip="Search for Australia. Department of Education, Employment and Workplace Relations (DEEWR)" w:history="1">
        <w:r w:rsidRPr="006843FC">
          <w:rPr>
            <w:w w:val="105"/>
          </w:rPr>
          <w:t>Australian Government Department of Education, Employment and Workplace Relations</w:t>
        </w:r>
      </w:hyperlink>
      <w:r w:rsidRPr="006843FC">
        <w:rPr>
          <w:w w:val="105"/>
        </w:rPr>
        <w:t>.</w:t>
      </w:r>
      <w:r w:rsidR="00696FDD" w:rsidRPr="006843FC">
        <w:rPr>
          <w:w w:val="105"/>
        </w:rPr>
        <w:t xml:space="preserve"> </w:t>
      </w:r>
    </w:p>
    <w:p w14:paraId="11C830AE" w14:textId="0B8DF2D6" w:rsidR="007835B3" w:rsidRPr="006843FC" w:rsidRDefault="007835B3" w:rsidP="009222F0">
      <w:pPr>
        <w:pStyle w:val="BodyText"/>
        <w:spacing w:after="120" w:line="274" w:lineRule="auto"/>
        <w:ind w:left="709" w:hanging="709"/>
        <w:rPr>
          <w:w w:val="105"/>
        </w:rPr>
      </w:pPr>
      <w:r w:rsidRPr="006843FC">
        <w:rPr>
          <w:w w:val="105"/>
        </w:rPr>
        <w:t>Carroll, D.R.</w:t>
      </w:r>
      <w:r w:rsidR="00D31F45" w:rsidRPr="006843FC">
        <w:rPr>
          <w:w w:val="105"/>
        </w:rPr>
        <w:t>, &amp;</w:t>
      </w:r>
      <w:r w:rsidRPr="006843FC">
        <w:rPr>
          <w:w w:val="105"/>
        </w:rPr>
        <w:t xml:space="preserve"> Li, I.W. (2022). Work and further study after university degree completion for equity groups. </w:t>
      </w:r>
      <w:r w:rsidRPr="006843FC">
        <w:rPr>
          <w:i/>
          <w:iCs/>
          <w:w w:val="105"/>
        </w:rPr>
        <w:t>Journal of Higher Education Policy and Management</w:t>
      </w:r>
      <w:r w:rsidRPr="006843FC">
        <w:rPr>
          <w:w w:val="105"/>
        </w:rPr>
        <w:t xml:space="preserve">, 22, 21–38. </w:t>
      </w:r>
      <w:hyperlink r:id="rId25" w:history="1">
        <w:r w:rsidR="00251DD9" w:rsidRPr="009222F0">
          <w:rPr>
            <w:rStyle w:val="Hyperlink"/>
          </w:rPr>
          <w:t>https://doi.org/10.1080/1360080X.2021.1988841</w:t>
        </w:r>
      </w:hyperlink>
      <w:r w:rsidR="009222F0">
        <w:t xml:space="preserve"> </w:t>
      </w:r>
    </w:p>
    <w:p w14:paraId="76CB8B5D" w14:textId="04D50322" w:rsidR="00B065F4" w:rsidRPr="006843FC" w:rsidRDefault="00B065F4" w:rsidP="009222F0">
      <w:pPr>
        <w:pStyle w:val="BodyText"/>
        <w:spacing w:after="120" w:line="274" w:lineRule="auto"/>
        <w:ind w:left="709" w:hanging="709"/>
        <w:rPr>
          <w:w w:val="105"/>
        </w:rPr>
      </w:pPr>
      <w:r w:rsidRPr="006843FC">
        <w:rPr>
          <w:w w:val="105"/>
        </w:rPr>
        <w:t>Chesters, J.</w:t>
      </w:r>
      <w:r w:rsidR="00AC76E9" w:rsidRPr="006843FC">
        <w:rPr>
          <w:w w:val="105"/>
        </w:rPr>
        <w:t>, &amp;</w:t>
      </w:r>
      <w:r w:rsidRPr="006843FC">
        <w:rPr>
          <w:w w:val="105"/>
        </w:rPr>
        <w:t xml:space="preserve"> Watson, L. (2013). Understanding the persistence of inequality in higher education: Evidence from Australia. </w:t>
      </w:r>
      <w:r w:rsidRPr="006843FC">
        <w:rPr>
          <w:i/>
          <w:iCs/>
          <w:w w:val="105"/>
        </w:rPr>
        <w:t>Higher Education Research &amp; Development</w:t>
      </w:r>
      <w:r w:rsidRPr="006843FC">
        <w:rPr>
          <w:w w:val="105"/>
        </w:rPr>
        <w:t>, 28, 198–215.</w:t>
      </w:r>
      <w:r w:rsidR="00251DD9" w:rsidRPr="006843FC">
        <w:rPr>
          <w:w w:val="105"/>
        </w:rPr>
        <w:t xml:space="preserve"> </w:t>
      </w:r>
      <w:hyperlink r:id="rId26" w:history="1">
        <w:r w:rsidR="00251DD9" w:rsidRPr="009222F0">
          <w:rPr>
            <w:rStyle w:val="Hyperlink"/>
          </w:rPr>
          <w:t>https://doi.org/10.1080/02680939.2012.694481</w:t>
        </w:r>
      </w:hyperlink>
    </w:p>
    <w:p w14:paraId="1E3963E9" w14:textId="7AEEDC67" w:rsidR="002D4FDE" w:rsidRDefault="002D4FDE" w:rsidP="009222F0">
      <w:pPr>
        <w:pStyle w:val="BodyText"/>
        <w:spacing w:after="120" w:line="274" w:lineRule="auto"/>
        <w:ind w:left="709" w:hanging="709"/>
        <w:rPr>
          <w:w w:val="105"/>
        </w:rPr>
      </w:pPr>
      <w:r w:rsidRPr="006843FC">
        <w:rPr>
          <w:w w:val="105"/>
        </w:rPr>
        <w:t>Coates, H.</w:t>
      </w:r>
      <w:r w:rsidR="00AC76E9" w:rsidRPr="006843FC">
        <w:rPr>
          <w:w w:val="105"/>
        </w:rPr>
        <w:t>, &amp;</w:t>
      </w:r>
      <w:r w:rsidRPr="006843FC">
        <w:rPr>
          <w:w w:val="105"/>
        </w:rPr>
        <w:t xml:space="preserve"> Edwards, D. (2009). </w:t>
      </w:r>
      <w:r w:rsidRPr="006843FC">
        <w:rPr>
          <w:i/>
          <w:iCs/>
          <w:w w:val="105"/>
        </w:rPr>
        <w:t>The 2008 Graduate Pathways Survey: graduates’ education and employment outcomes five years after completion of a bachelor degree at an Australian university</w:t>
      </w:r>
      <w:r w:rsidR="007A0418" w:rsidRPr="006843FC">
        <w:rPr>
          <w:w w:val="105"/>
        </w:rPr>
        <w:t>.</w:t>
      </w:r>
      <w:r w:rsidRPr="006843FC">
        <w:rPr>
          <w:w w:val="105"/>
        </w:rPr>
        <w:t xml:space="preserve"> </w:t>
      </w:r>
      <w:r w:rsidR="007A0418" w:rsidRPr="006843FC">
        <w:rPr>
          <w:w w:val="105"/>
        </w:rPr>
        <w:t xml:space="preserve">Melbourne: </w:t>
      </w:r>
      <w:r w:rsidRPr="006843FC">
        <w:rPr>
          <w:w w:val="105"/>
        </w:rPr>
        <w:t>Australian Council for Education Research.</w:t>
      </w:r>
      <w:r w:rsidR="00696FDD" w:rsidRPr="006843FC">
        <w:rPr>
          <w:w w:val="105"/>
        </w:rPr>
        <w:t xml:space="preserve"> </w:t>
      </w:r>
    </w:p>
    <w:p w14:paraId="53AF5D25" w14:textId="4037608E" w:rsidR="00631A7A" w:rsidRDefault="00631A7A" w:rsidP="009222F0">
      <w:pPr>
        <w:pStyle w:val="BodyText"/>
        <w:spacing w:after="120" w:line="274" w:lineRule="auto"/>
        <w:ind w:left="709" w:hanging="709"/>
        <w:rPr>
          <w:w w:val="105"/>
        </w:rPr>
      </w:pPr>
      <w:r w:rsidRPr="00631A7A">
        <w:rPr>
          <w:w w:val="105"/>
        </w:rPr>
        <w:t xml:space="preserve">Cobb-Clark, D.A., </w:t>
      </w:r>
      <w:r>
        <w:rPr>
          <w:w w:val="105"/>
        </w:rPr>
        <w:t xml:space="preserve">&amp; </w:t>
      </w:r>
      <w:r w:rsidRPr="00631A7A">
        <w:rPr>
          <w:w w:val="105"/>
        </w:rPr>
        <w:t>Nguyen, T.H.</w:t>
      </w:r>
      <w:r>
        <w:rPr>
          <w:w w:val="105"/>
        </w:rPr>
        <w:t xml:space="preserve"> (</w:t>
      </w:r>
      <w:r w:rsidRPr="00631A7A">
        <w:rPr>
          <w:w w:val="105"/>
        </w:rPr>
        <w:t>2012</w:t>
      </w:r>
      <w:r>
        <w:rPr>
          <w:w w:val="105"/>
        </w:rPr>
        <w:t>)</w:t>
      </w:r>
      <w:r w:rsidRPr="00631A7A">
        <w:rPr>
          <w:w w:val="105"/>
        </w:rPr>
        <w:t xml:space="preserve">. Educational </w:t>
      </w:r>
      <w:r>
        <w:rPr>
          <w:w w:val="105"/>
        </w:rPr>
        <w:t>a</w:t>
      </w:r>
      <w:r w:rsidRPr="00631A7A">
        <w:rPr>
          <w:w w:val="105"/>
        </w:rPr>
        <w:t xml:space="preserve">ttainment </w:t>
      </w:r>
      <w:r>
        <w:rPr>
          <w:w w:val="105"/>
        </w:rPr>
        <w:t>a</w:t>
      </w:r>
      <w:r w:rsidRPr="00631A7A">
        <w:rPr>
          <w:w w:val="105"/>
        </w:rPr>
        <w:t xml:space="preserve">cross </w:t>
      </w:r>
      <w:r>
        <w:rPr>
          <w:w w:val="105"/>
        </w:rPr>
        <w:t>g</w:t>
      </w:r>
      <w:r w:rsidRPr="00631A7A">
        <w:rPr>
          <w:w w:val="105"/>
        </w:rPr>
        <w:t xml:space="preserve">enerations: The </w:t>
      </w:r>
      <w:r>
        <w:rPr>
          <w:w w:val="105"/>
        </w:rPr>
        <w:t>r</w:t>
      </w:r>
      <w:r w:rsidRPr="00631A7A">
        <w:rPr>
          <w:w w:val="105"/>
        </w:rPr>
        <w:t xml:space="preserve">ole of </w:t>
      </w:r>
      <w:r>
        <w:rPr>
          <w:w w:val="105"/>
        </w:rPr>
        <w:t>i</w:t>
      </w:r>
      <w:r w:rsidRPr="00631A7A">
        <w:rPr>
          <w:w w:val="105"/>
        </w:rPr>
        <w:t xml:space="preserve">mmigration </w:t>
      </w:r>
      <w:r>
        <w:rPr>
          <w:w w:val="105"/>
        </w:rPr>
        <w:t>b</w:t>
      </w:r>
      <w:r w:rsidRPr="00631A7A">
        <w:rPr>
          <w:w w:val="105"/>
        </w:rPr>
        <w:t xml:space="preserve">ackground. </w:t>
      </w:r>
      <w:r w:rsidRPr="00BE77EB">
        <w:rPr>
          <w:i/>
          <w:iCs/>
          <w:w w:val="105"/>
        </w:rPr>
        <w:t>Economic Record</w:t>
      </w:r>
      <w:r>
        <w:rPr>
          <w:w w:val="105"/>
        </w:rPr>
        <w:t>,</w:t>
      </w:r>
      <w:r w:rsidRPr="00631A7A">
        <w:rPr>
          <w:w w:val="105"/>
        </w:rPr>
        <w:t xml:space="preserve"> 88, 554</w:t>
      </w:r>
      <w:r w:rsidR="00385712" w:rsidRPr="006843FC">
        <w:t>–</w:t>
      </w:r>
      <w:r w:rsidRPr="00631A7A">
        <w:rPr>
          <w:w w:val="105"/>
        </w:rPr>
        <w:t>575</w:t>
      </w:r>
      <w:r>
        <w:rPr>
          <w:w w:val="105"/>
        </w:rPr>
        <w:t>.</w:t>
      </w:r>
      <w:r w:rsidR="00F41A87">
        <w:rPr>
          <w:w w:val="105"/>
        </w:rPr>
        <w:t xml:space="preserve"> </w:t>
      </w:r>
      <w:r w:rsidR="00F41A87" w:rsidRPr="009222F0">
        <w:rPr>
          <w:rStyle w:val="Hyperlink"/>
        </w:rPr>
        <w:t>https://doi.org/10.1111/1475-4932.12001</w:t>
      </w:r>
    </w:p>
    <w:p w14:paraId="7BE2218F" w14:textId="42C83FFF" w:rsidR="008C7083" w:rsidRPr="006843FC" w:rsidRDefault="00A07989" w:rsidP="009222F0">
      <w:pPr>
        <w:pStyle w:val="BodyText"/>
        <w:spacing w:after="120" w:line="274" w:lineRule="auto"/>
        <w:ind w:left="709" w:hanging="709"/>
        <w:rPr>
          <w:w w:val="105"/>
        </w:rPr>
      </w:pPr>
      <w:r w:rsidRPr="006843FC">
        <w:rPr>
          <w:w w:val="105"/>
        </w:rPr>
        <w:t xml:space="preserve">Diaz, C.J. (2020). Educational expectations among immigrant youth: Links to segmented assimilation and school context. </w:t>
      </w:r>
      <w:r w:rsidRPr="006843FC">
        <w:rPr>
          <w:i/>
          <w:iCs/>
          <w:w w:val="105"/>
        </w:rPr>
        <w:t>Social Currents</w:t>
      </w:r>
      <w:r w:rsidRPr="006843FC">
        <w:rPr>
          <w:w w:val="105"/>
        </w:rPr>
        <w:t xml:space="preserve">, </w:t>
      </w:r>
      <w:r w:rsidR="005329EB" w:rsidRPr="006843FC">
        <w:rPr>
          <w:w w:val="105"/>
        </w:rPr>
        <w:t>7, 252–278.</w:t>
      </w:r>
      <w:r w:rsidR="008C7083" w:rsidRPr="006843FC">
        <w:rPr>
          <w:rFonts w:ascii="Times New Roman" w:eastAsia="Times New Roman" w:hAnsi="Times New Roman" w:cs="Times New Roman"/>
          <w:sz w:val="24"/>
          <w:szCs w:val="24"/>
          <w:lang w:eastAsia="zh-CN"/>
        </w:rPr>
        <w:t xml:space="preserve"> </w:t>
      </w:r>
      <w:hyperlink r:id="rId27" w:history="1">
        <w:r w:rsidR="008C7083" w:rsidRPr="009222F0">
          <w:rPr>
            <w:rStyle w:val="Hyperlink"/>
          </w:rPr>
          <w:t>https://doi.org/10.1177/2329496519900509</w:t>
        </w:r>
      </w:hyperlink>
    </w:p>
    <w:p w14:paraId="43827202" w14:textId="341323DE" w:rsidR="00C5375F" w:rsidRPr="006843FC" w:rsidRDefault="00C5375F" w:rsidP="009222F0">
      <w:pPr>
        <w:pStyle w:val="BodyText"/>
        <w:spacing w:after="120" w:line="274" w:lineRule="auto"/>
        <w:ind w:left="709" w:hanging="709"/>
        <w:rPr>
          <w:w w:val="105"/>
        </w:rPr>
      </w:pPr>
      <w:r w:rsidRPr="006843FC">
        <w:rPr>
          <w:w w:val="105"/>
        </w:rPr>
        <w:t xml:space="preserve">Daly, A., Lewis, P., Corliss, M., </w:t>
      </w:r>
      <w:r w:rsidR="00CB5C40" w:rsidRPr="006843FC">
        <w:rPr>
          <w:w w:val="105"/>
        </w:rPr>
        <w:t>&amp;</w:t>
      </w:r>
      <w:r w:rsidR="00352B3D" w:rsidRPr="006843FC">
        <w:rPr>
          <w:w w:val="105"/>
        </w:rPr>
        <w:t xml:space="preserve"> </w:t>
      </w:r>
      <w:r w:rsidRPr="006843FC">
        <w:rPr>
          <w:w w:val="105"/>
        </w:rPr>
        <w:t xml:space="preserve">Heaslip, T. (2015). The private rate of return to a university degree in Australia. </w:t>
      </w:r>
      <w:r w:rsidRPr="006843FC">
        <w:rPr>
          <w:i/>
          <w:iCs/>
          <w:w w:val="105"/>
        </w:rPr>
        <w:t>Australian Journal of Education, 59</w:t>
      </w:r>
      <w:r w:rsidRPr="006843FC">
        <w:rPr>
          <w:w w:val="105"/>
        </w:rPr>
        <w:t>, 97</w:t>
      </w:r>
      <w:r w:rsidR="00385712" w:rsidRPr="006843FC">
        <w:t>–</w:t>
      </w:r>
      <w:r w:rsidRPr="006843FC">
        <w:rPr>
          <w:w w:val="105"/>
        </w:rPr>
        <w:t>112.</w:t>
      </w:r>
      <w:r w:rsidR="008C7083" w:rsidRPr="006843FC">
        <w:rPr>
          <w:w w:val="105"/>
        </w:rPr>
        <w:t xml:space="preserve"> </w:t>
      </w:r>
      <w:hyperlink r:id="rId28" w:history="1">
        <w:r w:rsidR="008C7083" w:rsidRPr="009222F0">
          <w:rPr>
            <w:rStyle w:val="Hyperlink"/>
          </w:rPr>
          <w:t>https://doi.org/10.1177/0004944114565117</w:t>
        </w:r>
      </w:hyperlink>
    </w:p>
    <w:p w14:paraId="48003A48" w14:textId="35564D23" w:rsidR="007835B3" w:rsidRPr="006843FC" w:rsidRDefault="007835B3" w:rsidP="009222F0">
      <w:pPr>
        <w:pStyle w:val="BodyText"/>
        <w:spacing w:after="120" w:line="274" w:lineRule="auto"/>
        <w:ind w:left="709" w:hanging="709"/>
        <w:rPr>
          <w:w w:val="105"/>
        </w:rPr>
      </w:pPr>
      <w:r w:rsidRPr="006843FC">
        <w:rPr>
          <w:w w:val="105"/>
        </w:rPr>
        <w:t xml:space="preserve">Duta, A., </w:t>
      </w:r>
      <w:proofErr w:type="spellStart"/>
      <w:r w:rsidRPr="006843FC">
        <w:rPr>
          <w:w w:val="105"/>
        </w:rPr>
        <w:t>Wielgoszewska</w:t>
      </w:r>
      <w:proofErr w:type="spellEnd"/>
      <w:r w:rsidRPr="006843FC">
        <w:rPr>
          <w:w w:val="105"/>
        </w:rPr>
        <w:t>, B.</w:t>
      </w:r>
      <w:r w:rsidR="005500DE" w:rsidRPr="006843FC">
        <w:rPr>
          <w:w w:val="105"/>
        </w:rPr>
        <w:t>,</w:t>
      </w:r>
      <w:r w:rsidRPr="006843FC">
        <w:rPr>
          <w:w w:val="105"/>
        </w:rPr>
        <w:t xml:space="preserve"> </w:t>
      </w:r>
      <w:r w:rsidR="00CB5C40" w:rsidRPr="006843FC">
        <w:rPr>
          <w:w w:val="105"/>
        </w:rPr>
        <w:t>&amp;</w:t>
      </w:r>
      <w:r w:rsidRPr="006843FC">
        <w:rPr>
          <w:w w:val="105"/>
        </w:rPr>
        <w:t xml:space="preserve"> Iannelli, C. (2021). Different degrees of career success: </w:t>
      </w:r>
      <w:r w:rsidR="00984D88" w:rsidRPr="006843FC">
        <w:rPr>
          <w:w w:val="105"/>
        </w:rPr>
        <w:t>S</w:t>
      </w:r>
      <w:r w:rsidRPr="006843FC">
        <w:rPr>
          <w:w w:val="105"/>
        </w:rPr>
        <w:t xml:space="preserve">ocial origin and graduates’ education and labour market trajectories. </w:t>
      </w:r>
      <w:r w:rsidRPr="006843FC">
        <w:rPr>
          <w:i/>
          <w:iCs/>
          <w:w w:val="105"/>
        </w:rPr>
        <w:t>Advances in Life Course Research</w:t>
      </w:r>
      <w:r w:rsidRPr="006843FC">
        <w:rPr>
          <w:w w:val="105"/>
        </w:rPr>
        <w:t>, 47, 100376.</w:t>
      </w:r>
      <w:r w:rsidR="000A6D59" w:rsidRPr="006843FC">
        <w:rPr>
          <w:w w:val="105"/>
        </w:rPr>
        <w:t xml:space="preserve"> </w:t>
      </w:r>
      <w:hyperlink r:id="rId29" w:tgtFrame="_blank" w:tooltip="Persistent link using digital object identifier" w:history="1">
        <w:r w:rsidR="000A6D59" w:rsidRPr="009222F0">
          <w:rPr>
            <w:rStyle w:val="Hyperlink"/>
          </w:rPr>
          <w:t>https://doi.org/10.1016/j.alcr.2020.100376</w:t>
        </w:r>
      </w:hyperlink>
      <w:r w:rsidR="009222F0">
        <w:t xml:space="preserve"> </w:t>
      </w:r>
    </w:p>
    <w:p w14:paraId="4BC8C967" w14:textId="2A7AEFA8" w:rsidR="007835B3" w:rsidRPr="006843FC" w:rsidRDefault="007835B3" w:rsidP="009222F0">
      <w:pPr>
        <w:pStyle w:val="BodyText"/>
        <w:spacing w:after="120" w:line="274" w:lineRule="auto"/>
        <w:ind w:left="709" w:hanging="709"/>
        <w:rPr>
          <w:w w:val="105"/>
        </w:rPr>
      </w:pPr>
      <w:r w:rsidRPr="006843FC">
        <w:rPr>
          <w:w w:val="105"/>
        </w:rPr>
        <w:t>Edwards, D.</w:t>
      </w:r>
      <w:r w:rsidR="00CB5C40" w:rsidRPr="006843FC">
        <w:rPr>
          <w:w w:val="105"/>
        </w:rPr>
        <w:t xml:space="preserve">, &amp; </w:t>
      </w:r>
      <w:r w:rsidRPr="006843FC">
        <w:rPr>
          <w:w w:val="105"/>
        </w:rPr>
        <w:t xml:space="preserve">Coates, H. (2011). Monitoring the pathways and outcomes of people from disadvantaged backgrounds and graduate groups. </w:t>
      </w:r>
      <w:r w:rsidRPr="006843FC">
        <w:rPr>
          <w:i/>
          <w:iCs/>
          <w:w w:val="105"/>
        </w:rPr>
        <w:t>Higher Education Research &amp; Development</w:t>
      </w:r>
      <w:r w:rsidRPr="006843FC">
        <w:rPr>
          <w:w w:val="105"/>
        </w:rPr>
        <w:t>, 30, 151–163.</w:t>
      </w:r>
      <w:r w:rsidR="00B014B7" w:rsidRPr="006843FC">
        <w:rPr>
          <w:w w:val="105"/>
        </w:rPr>
        <w:t xml:space="preserve"> </w:t>
      </w:r>
      <w:hyperlink r:id="rId30" w:history="1">
        <w:r w:rsidR="00B014B7" w:rsidRPr="009222F0">
          <w:rPr>
            <w:rStyle w:val="Hyperlink"/>
          </w:rPr>
          <w:t>https://doi.org/10.1080/07294360.2010.512628</w:t>
        </w:r>
      </w:hyperlink>
    </w:p>
    <w:p w14:paraId="70E347CF" w14:textId="388A4332" w:rsidR="007835B3" w:rsidRPr="006843FC" w:rsidRDefault="007835B3" w:rsidP="009222F0">
      <w:pPr>
        <w:pStyle w:val="BodyText"/>
        <w:spacing w:after="120" w:line="274" w:lineRule="auto"/>
        <w:ind w:left="709" w:hanging="709"/>
        <w:rPr>
          <w:w w:val="105"/>
        </w:rPr>
      </w:pPr>
      <w:r w:rsidRPr="006843FC">
        <w:rPr>
          <w:w w:val="105"/>
        </w:rPr>
        <w:t>Fullarton, S.</w:t>
      </w:r>
      <w:r w:rsidR="00CB5C40" w:rsidRPr="006843FC">
        <w:rPr>
          <w:w w:val="105"/>
        </w:rPr>
        <w:t xml:space="preserve">, &amp; </w:t>
      </w:r>
      <w:r w:rsidRPr="006843FC">
        <w:rPr>
          <w:w w:val="105"/>
        </w:rPr>
        <w:t xml:space="preserve">Ainley, J. (2000). </w:t>
      </w:r>
      <w:r w:rsidRPr="006843FC">
        <w:rPr>
          <w:i/>
          <w:iCs/>
          <w:w w:val="105"/>
        </w:rPr>
        <w:t>Subject choice by students in year 12 in Australian secondary schools</w:t>
      </w:r>
      <w:r w:rsidR="00984D88" w:rsidRPr="006843FC">
        <w:rPr>
          <w:w w:val="105"/>
        </w:rPr>
        <w:t>.</w:t>
      </w:r>
      <w:r w:rsidR="00B705F0" w:rsidRPr="006843FC">
        <w:rPr>
          <w:w w:val="105"/>
        </w:rPr>
        <w:t xml:space="preserve"> LSAY Research Reports 8-1-2000</w:t>
      </w:r>
      <w:r w:rsidR="006C0173" w:rsidRPr="006843FC">
        <w:rPr>
          <w:w w:val="105"/>
        </w:rPr>
        <w:t>.</w:t>
      </w:r>
      <w:r w:rsidR="00B705F0" w:rsidRPr="006843FC">
        <w:rPr>
          <w:w w:val="105"/>
        </w:rPr>
        <w:t xml:space="preserve"> </w:t>
      </w:r>
      <w:r w:rsidR="006C0173" w:rsidRPr="006843FC">
        <w:rPr>
          <w:w w:val="105"/>
        </w:rPr>
        <w:t xml:space="preserve">Melbourne: </w:t>
      </w:r>
      <w:r w:rsidR="00B705F0" w:rsidRPr="006843FC">
        <w:rPr>
          <w:w w:val="105"/>
        </w:rPr>
        <w:t>Australian Council for Education Research.</w:t>
      </w:r>
      <w:r w:rsidRPr="006843FC">
        <w:rPr>
          <w:w w:val="105"/>
        </w:rPr>
        <w:t xml:space="preserve"> </w:t>
      </w:r>
    </w:p>
    <w:p w14:paraId="43F154FB" w14:textId="2992956D" w:rsidR="00D07D14" w:rsidRPr="006843FC" w:rsidRDefault="00D07D14" w:rsidP="009222F0">
      <w:pPr>
        <w:pStyle w:val="BodyText"/>
        <w:spacing w:after="120" w:line="274" w:lineRule="auto"/>
        <w:ind w:left="709" w:hanging="709"/>
        <w:rPr>
          <w:w w:val="105"/>
        </w:rPr>
      </w:pPr>
      <w:r w:rsidRPr="006843FC">
        <w:rPr>
          <w:w w:val="105"/>
        </w:rPr>
        <w:t>Glick J.E.</w:t>
      </w:r>
      <w:r w:rsidR="00D81269" w:rsidRPr="006843FC">
        <w:rPr>
          <w:w w:val="105"/>
        </w:rPr>
        <w:t>, &amp;</w:t>
      </w:r>
      <w:r w:rsidRPr="006843FC">
        <w:rPr>
          <w:w w:val="105"/>
        </w:rPr>
        <w:t xml:space="preserve"> White, M.J. (2014). Post-secondary school participation of immigrant and native youth: the role of familial resources and educational expectations. </w:t>
      </w:r>
      <w:r w:rsidRPr="006843FC">
        <w:rPr>
          <w:i/>
          <w:iCs/>
          <w:w w:val="105"/>
        </w:rPr>
        <w:t>Social Science Research</w:t>
      </w:r>
      <w:r w:rsidRPr="006843FC">
        <w:rPr>
          <w:w w:val="105"/>
        </w:rPr>
        <w:t>, 33, 272–299.</w:t>
      </w:r>
      <w:r w:rsidR="00B014B7" w:rsidRPr="006843FC">
        <w:rPr>
          <w:w w:val="105"/>
        </w:rPr>
        <w:t xml:space="preserve"> </w:t>
      </w:r>
      <w:hyperlink r:id="rId31" w:tgtFrame="_blank" w:tooltip="Persistent link using digital object identifier" w:history="1">
        <w:r w:rsidR="00B014B7" w:rsidRPr="009222F0">
          <w:rPr>
            <w:rStyle w:val="Hyperlink"/>
          </w:rPr>
          <w:t>https://doi.org/10.1016/j.ssresearch.2003.06.001</w:t>
        </w:r>
      </w:hyperlink>
    </w:p>
    <w:p w14:paraId="5A46D6C5" w14:textId="1D6C43FF" w:rsidR="007835B3" w:rsidRPr="006843FC" w:rsidRDefault="007835B3" w:rsidP="009222F0">
      <w:pPr>
        <w:pStyle w:val="BodyText"/>
        <w:spacing w:after="120" w:line="274" w:lineRule="auto"/>
        <w:ind w:left="709" w:hanging="709"/>
        <w:rPr>
          <w:w w:val="105"/>
        </w:rPr>
      </w:pPr>
      <w:r w:rsidRPr="006843FC">
        <w:rPr>
          <w:w w:val="105"/>
        </w:rPr>
        <w:lastRenderedPageBreak/>
        <w:t>Goyette, K.</w:t>
      </w:r>
      <w:r w:rsidR="00D81269" w:rsidRPr="006843FC">
        <w:rPr>
          <w:w w:val="105"/>
        </w:rPr>
        <w:t xml:space="preserve">, &amp; </w:t>
      </w:r>
      <w:r w:rsidRPr="006843FC">
        <w:rPr>
          <w:w w:val="105"/>
        </w:rPr>
        <w:t xml:space="preserve">Mullen, A. (2006). Who studies the Arts and Sciences? Social background and the choice and consequences of undergraduate field of study. </w:t>
      </w:r>
      <w:r w:rsidRPr="006843FC">
        <w:rPr>
          <w:i/>
          <w:iCs/>
          <w:w w:val="105"/>
        </w:rPr>
        <w:t>Journal of Higher Education</w:t>
      </w:r>
      <w:r w:rsidRPr="006843FC">
        <w:rPr>
          <w:w w:val="105"/>
        </w:rPr>
        <w:t>, 77, 497–538.</w:t>
      </w:r>
      <w:r w:rsidR="00B014B7" w:rsidRPr="006843FC">
        <w:rPr>
          <w:w w:val="105"/>
        </w:rPr>
        <w:t xml:space="preserve"> </w:t>
      </w:r>
      <w:hyperlink r:id="rId32" w:history="1">
        <w:r w:rsidR="00B014B7" w:rsidRPr="009222F0">
          <w:rPr>
            <w:rStyle w:val="Hyperlink"/>
          </w:rPr>
          <w:t>https://doi.org/10.1080/00221546.2006.11778936</w:t>
        </w:r>
      </w:hyperlink>
    </w:p>
    <w:p w14:paraId="2DFB80D1" w14:textId="193D11E9" w:rsidR="00C92295" w:rsidRDefault="00C92295" w:rsidP="009222F0">
      <w:pPr>
        <w:pStyle w:val="BodyText"/>
        <w:spacing w:after="120" w:line="274" w:lineRule="auto"/>
        <w:ind w:left="709" w:hanging="709"/>
      </w:pPr>
      <w:r w:rsidRPr="006843FC">
        <w:rPr>
          <w:w w:val="105"/>
        </w:rPr>
        <w:t xml:space="preserve">Green. F. (2010). Well-being, job satisfaction and labour mobility. </w:t>
      </w:r>
      <w:r w:rsidRPr="006843FC">
        <w:rPr>
          <w:i/>
          <w:iCs/>
          <w:w w:val="105"/>
        </w:rPr>
        <w:t>Labour Economics</w:t>
      </w:r>
      <w:r w:rsidRPr="006843FC">
        <w:rPr>
          <w:w w:val="105"/>
        </w:rPr>
        <w:t>, 17. 897–903.</w:t>
      </w:r>
      <w:r w:rsidR="00B014B7" w:rsidRPr="006843FC">
        <w:rPr>
          <w:rFonts w:eastAsiaTheme="minorHAnsi" w:cstheme="minorBidi"/>
          <w:kern w:val="2"/>
          <w14:ligatures w14:val="standardContextual"/>
        </w:rPr>
        <w:t xml:space="preserve"> </w:t>
      </w:r>
      <w:hyperlink r:id="rId33" w:tgtFrame="_blank" w:tooltip="Persistent link using digital object identifier" w:history="1">
        <w:r w:rsidR="00B014B7" w:rsidRPr="009222F0">
          <w:rPr>
            <w:rStyle w:val="Hyperlink"/>
          </w:rPr>
          <w:t>https://doi.org/10.1016/j.labeco.2010.04.002</w:t>
        </w:r>
      </w:hyperlink>
      <w:r w:rsidR="00510AD6">
        <w:t>.</w:t>
      </w:r>
    </w:p>
    <w:p w14:paraId="021E1766" w14:textId="4A9DD975" w:rsidR="00DE018F" w:rsidRPr="00BE77EB" w:rsidRDefault="00DE018F" w:rsidP="009222F0">
      <w:pPr>
        <w:pStyle w:val="BodyText"/>
        <w:spacing w:after="120" w:line="274" w:lineRule="auto"/>
        <w:ind w:left="709" w:hanging="709"/>
        <w:rPr>
          <w:w w:val="105"/>
        </w:rPr>
      </w:pPr>
      <w:r w:rsidRPr="00BE77EB">
        <w:rPr>
          <w:w w:val="105"/>
        </w:rPr>
        <w:t xml:space="preserve">Hägglund, A.E. (2024). Same degrees, different outcomes? Fields of study choices and gender wage inequality in Finland and Germany. </w:t>
      </w:r>
      <w:r w:rsidRPr="00BE77EB">
        <w:rPr>
          <w:i/>
          <w:iCs/>
          <w:w w:val="105"/>
        </w:rPr>
        <w:t>Social Science Research</w:t>
      </w:r>
      <w:r w:rsidRPr="00BE77EB">
        <w:rPr>
          <w:w w:val="105"/>
        </w:rPr>
        <w:t>, 122, 103029.</w:t>
      </w:r>
      <w:r w:rsidR="00BA54BA">
        <w:rPr>
          <w:w w:val="105"/>
        </w:rPr>
        <w:t xml:space="preserve"> </w:t>
      </w:r>
      <w:r w:rsidR="00BA54BA" w:rsidRPr="008A4F2B">
        <w:rPr>
          <w:rStyle w:val="Hyperlink"/>
        </w:rPr>
        <w:t>https://doi.org/10.1016/j.ssresearch.2024.103029</w:t>
      </w:r>
    </w:p>
    <w:p w14:paraId="7F3D57E0" w14:textId="39995929" w:rsidR="00510AD6" w:rsidRPr="006843FC" w:rsidRDefault="00510AD6" w:rsidP="009222F0">
      <w:pPr>
        <w:pStyle w:val="BodyText"/>
        <w:spacing w:after="120" w:line="274" w:lineRule="auto"/>
        <w:ind w:left="709" w:hanging="709"/>
        <w:rPr>
          <w:w w:val="105"/>
        </w:rPr>
      </w:pPr>
      <w:r>
        <w:t xml:space="preserve">Koshy, P., Seymour, R., &amp; Dockery, A.M. (2016). </w:t>
      </w:r>
      <w:r w:rsidRPr="00510AD6">
        <w:t>Are there institutional differences in the earnings of Australian higher education graduates?</w:t>
      </w:r>
      <w:r>
        <w:t xml:space="preserve"> </w:t>
      </w:r>
      <w:r w:rsidRPr="00BE77EB">
        <w:rPr>
          <w:i/>
          <w:iCs/>
        </w:rPr>
        <w:t>Economic Analysis and Policy</w:t>
      </w:r>
      <w:r>
        <w:t>, 51, 1</w:t>
      </w:r>
      <w:r w:rsidRPr="006843FC">
        <w:rPr>
          <w:i/>
          <w:iCs/>
          <w:w w:val="105"/>
        </w:rPr>
        <w:t>–</w:t>
      </w:r>
      <w:r>
        <w:t xml:space="preserve">11. </w:t>
      </w:r>
      <w:r w:rsidR="00BA54BA" w:rsidRPr="008A4F2B">
        <w:rPr>
          <w:rStyle w:val="Hyperlink"/>
        </w:rPr>
        <w:t>https://doi.org/10.1016/j.eap.2016.05.004</w:t>
      </w:r>
    </w:p>
    <w:p w14:paraId="2C1B9FE4" w14:textId="024AE018" w:rsidR="001A0041" w:rsidRPr="006843FC" w:rsidRDefault="001A0041" w:rsidP="009222F0">
      <w:pPr>
        <w:pStyle w:val="BodyText"/>
        <w:spacing w:after="120" w:line="274" w:lineRule="auto"/>
        <w:ind w:left="709" w:hanging="709"/>
        <w:rPr>
          <w:w w:val="105"/>
        </w:rPr>
      </w:pPr>
      <w:r w:rsidRPr="006843FC">
        <w:rPr>
          <w:w w:val="105"/>
        </w:rPr>
        <w:t xml:space="preserve">Koshy, P. (2019). </w:t>
      </w:r>
      <w:r w:rsidR="00D81269" w:rsidRPr="006843FC">
        <w:rPr>
          <w:i/>
          <w:iCs/>
          <w:w w:val="105"/>
        </w:rPr>
        <w:t>E</w:t>
      </w:r>
      <w:r w:rsidRPr="006843FC">
        <w:rPr>
          <w:i/>
          <w:iCs/>
          <w:w w:val="105"/>
        </w:rPr>
        <w:t>quity student participation in Australian higher education: 2013–2018</w:t>
      </w:r>
      <w:r w:rsidRPr="006843FC">
        <w:rPr>
          <w:w w:val="105"/>
        </w:rPr>
        <w:t xml:space="preserve">. </w:t>
      </w:r>
      <w:r w:rsidR="004A3669" w:rsidRPr="006843FC">
        <w:rPr>
          <w:w w:val="105"/>
        </w:rPr>
        <w:t xml:space="preserve">Perth: </w:t>
      </w:r>
      <w:r w:rsidRPr="006843FC">
        <w:rPr>
          <w:w w:val="105"/>
        </w:rPr>
        <w:t>National Centre for Student Equity in Higher Education, Curtin University.</w:t>
      </w:r>
    </w:p>
    <w:p w14:paraId="5A93E817" w14:textId="5D53CC1F" w:rsidR="00261FAC" w:rsidRPr="006843FC" w:rsidRDefault="00261FAC" w:rsidP="009222F0">
      <w:pPr>
        <w:pStyle w:val="BodyText"/>
        <w:spacing w:after="120" w:line="274" w:lineRule="auto"/>
        <w:ind w:left="709" w:hanging="709"/>
        <w:rPr>
          <w:w w:val="105"/>
        </w:rPr>
      </w:pPr>
      <w:r w:rsidRPr="006843FC">
        <w:rPr>
          <w:w w:val="105"/>
        </w:rPr>
        <w:t xml:space="preserve">Leigh, A. (2008). Returns to </w:t>
      </w:r>
      <w:r w:rsidR="000F3468">
        <w:rPr>
          <w:w w:val="105"/>
        </w:rPr>
        <w:t>e</w:t>
      </w:r>
      <w:r w:rsidRPr="006843FC">
        <w:rPr>
          <w:w w:val="105"/>
        </w:rPr>
        <w:t>ducation in Australia</w:t>
      </w:r>
      <w:r w:rsidR="00D81269" w:rsidRPr="006843FC">
        <w:rPr>
          <w:w w:val="105"/>
        </w:rPr>
        <w:t>.</w:t>
      </w:r>
      <w:r w:rsidRPr="006843FC">
        <w:rPr>
          <w:w w:val="105"/>
        </w:rPr>
        <w:t xml:space="preserve"> </w:t>
      </w:r>
      <w:r w:rsidRPr="006843FC">
        <w:rPr>
          <w:i/>
          <w:iCs/>
          <w:w w:val="105"/>
        </w:rPr>
        <w:t>Economic Papers: A Journal of Applied Economics and Policy</w:t>
      </w:r>
      <w:r w:rsidRPr="006843FC">
        <w:rPr>
          <w:w w:val="105"/>
        </w:rPr>
        <w:t>, 27, 233–</w:t>
      </w:r>
      <w:r w:rsidR="000C641D" w:rsidRPr="006843FC">
        <w:rPr>
          <w:w w:val="105"/>
        </w:rPr>
        <w:t>2</w:t>
      </w:r>
      <w:r w:rsidRPr="006843FC">
        <w:rPr>
          <w:w w:val="105"/>
        </w:rPr>
        <w:t>49.</w:t>
      </w:r>
      <w:r w:rsidR="004C7BF7" w:rsidRPr="006843FC">
        <w:rPr>
          <w:rFonts w:eastAsiaTheme="minorHAnsi" w:cstheme="minorBidi"/>
          <w:kern w:val="2"/>
          <w14:ligatures w14:val="standardContextual"/>
        </w:rPr>
        <w:t xml:space="preserve"> </w:t>
      </w:r>
      <w:hyperlink r:id="rId34" w:history="1">
        <w:r w:rsidR="004C7BF7" w:rsidRPr="008A4F2B">
          <w:rPr>
            <w:rStyle w:val="Hyperlink"/>
          </w:rPr>
          <w:t>https://doi.org/10.1111/j.1759-3441.2008.tb01040.x</w:t>
        </w:r>
      </w:hyperlink>
    </w:p>
    <w:p w14:paraId="160B6E60" w14:textId="6225C0AF" w:rsidR="00C5375F" w:rsidRPr="006843FC" w:rsidRDefault="00C5375F" w:rsidP="009222F0">
      <w:pPr>
        <w:pStyle w:val="BodyText"/>
        <w:spacing w:after="120" w:line="274" w:lineRule="auto"/>
        <w:ind w:left="709" w:hanging="709"/>
        <w:rPr>
          <w:w w:val="105"/>
        </w:rPr>
      </w:pPr>
      <w:r w:rsidRPr="006843FC">
        <w:rPr>
          <w:w w:val="105"/>
        </w:rPr>
        <w:t>Leigh, A. (</w:t>
      </w:r>
      <w:r w:rsidR="00DF17DB" w:rsidRPr="006843FC">
        <w:rPr>
          <w:w w:val="105"/>
        </w:rPr>
        <w:t>202</w:t>
      </w:r>
      <w:r w:rsidR="00DF17DB">
        <w:rPr>
          <w:w w:val="105"/>
        </w:rPr>
        <w:t>5</w:t>
      </w:r>
      <w:r w:rsidRPr="006843FC">
        <w:rPr>
          <w:w w:val="105"/>
        </w:rPr>
        <w:t xml:space="preserve">). Returns to </w:t>
      </w:r>
      <w:r w:rsidR="000F3468">
        <w:rPr>
          <w:w w:val="105"/>
        </w:rPr>
        <w:t>e</w:t>
      </w:r>
      <w:r w:rsidRPr="006843FC">
        <w:rPr>
          <w:w w:val="105"/>
        </w:rPr>
        <w:t>ducation in Australia 2001</w:t>
      </w:r>
      <w:r w:rsidR="00E247EF" w:rsidRPr="006843FC">
        <w:rPr>
          <w:w w:val="105"/>
        </w:rPr>
        <w:t>–</w:t>
      </w:r>
      <w:r w:rsidRPr="006843FC">
        <w:rPr>
          <w:w w:val="105"/>
        </w:rPr>
        <w:t xml:space="preserve">2022. </w:t>
      </w:r>
      <w:r w:rsidR="00261FAC" w:rsidRPr="006843FC">
        <w:rPr>
          <w:i/>
          <w:iCs/>
          <w:w w:val="105"/>
        </w:rPr>
        <w:t>Economic Papers: A Journal of Applied Economics and Policy</w:t>
      </w:r>
      <w:r w:rsidRPr="006843FC">
        <w:rPr>
          <w:w w:val="105"/>
        </w:rPr>
        <w:t xml:space="preserve">, </w:t>
      </w:r>
      <w:r w:rsidR="00DF17DB">
        <w:rPr>
          <w:w w:val="105"/>
        </w:rPr>
        <w:t>44, 62</w:t>
      </w:r>
      <w:r w:rsidR="00DF17DB" w:rsidRPr="006843FC">
        <w:rPr>
          <w:i/>
          <w:iCs/>
          <w:w w:val="105"/>
        </w:rPr>
        <w:t>–</w:t>
      </w:r>
      <w:r w:rsidR="00DF17DB">
        <w:rPr>
          <w:w w:val="105"/>
        </w:rPr>
        <w:t>76</w:t>
      </w:r>
      <w:r w:rsidRPr="006843FC">
        <w:rPr>
          <w:w w:val="105"/>
        </w:rPr>
        <w:t>.</w:t>
      </w:r>
      <w:r w:rsidR="004C7BF7" w:rsidRPr="006843FC">
        <w:rPr>
          <w:w w:val="105"/>
        </w:rPr>
        <w:t xml:space="preserve"> </w:t>
      </w:r>
      <w:hyperlink r:id="rId35" w:history="1">
        <w:r w:rsidR="004C7BF7" w:rsidRPr="008A4F2B">
          <w:rPr>
            <w:rStyle w:val="Hyperlink"/>
          </w:rPr>
          <w:t>https://doi.org/10.1111/1759-3441.12417</w:t>
        </w:r>
      </w:hyperlink>
    </w:p>
    <w:p w14:paraId="1C846174" w14:textId="1A0F6ED6" w:rsidR="007835B3" w:rsidRPr="006843FC" w:rsidRDefault="007835B3" w:rsidP="009222F0">
      <w:pPr>
        <w:pStyle w:val="BodyText"/>
        <w:spacing w:after="120" w:line="274" w:lineRule="auto"/>
        <w:ind w:left="709" w:hanging="709"/>
        <w:rPr>
          <w:w w:val="105"/>
        </w:rPr>
      </w:pPr>
      <w:r w:rsidRPr="006843FC">
        <w:rPr>
          <w:w w:val="105"/>
        </w:rPr>
        <w:t>Li, I.</w:t>
      </w:r>
      <w:r w:rsidR="00E312E7" w:rsidRPr="006843FC">
        <w:rPr>
          <w:w w:val="105"/>
        </w:rPr>
        <w:t>W.</w:t>
      </w:r>
      <w:r w:rsidRPr="006843FC">
        <w:rPr>
          <w:w w:val="105"/>
        </w:rPr>
        <w:t xml:space="preserve"> (2014). Labour </w:t>
      </w:r>
      <w:r w:rsidR="00E04DAA">
        <w:rPr>
          <w:w w:val="105"/>
        </w:rPr>
        <w:t>m</w:t>
      </w:r>
      <w:r w:rsidRPr="006843FC">
        <w:rPr>
          <w:w w:val="105"/>
        </w:rPr>
        <w:t xml:space="preserve">arket </w:t>
      </w:r>
      <w:r w:rsidR="00E04DAA">
        <w:rPr>
          <w:w w:val="105"/>
        </w:rPr>
        <w:t>p</w:t>
      </w:r>
      <w:r w:rsidRPr="006843FC">
        <w:rPr>
          <w:w w:val="105"/>
        </w:rPr>
        <w:t xml:space="preserve">erformance of Indigenous </w:t>
      </w:r>
      <w:r w:rsidR="00E04DAA">
        <w:rPr>
          <w:w w:val="105"/>
        </w:rPr>
        <w:t>u</w:t>
      </w:r>
      <w:r w:rsidRPr="006843FC">
        <w:rPr>
          <w:w w:val="105"/>
        </w:rPr>
        <w:t xml:space="preserve">niversity </w:t>
      </w:r>
      <w:r w:rsidR="00E04DAA">
        <w:rPr>
          <w:w w:val="105"/>
        </w:rPr>
        <w:t>g</w:t>
      </w:r>
      <w:r w:rsidRPr="006843FC">
        <w:rPr>
          <w:w w:val="105"/>
        </w:rPr>
        <w:t xml:space="preserve">raduates in Australia: An ORU </w:t>
      </w:r>
      <w:r w:rsidR="00E04DAA">
        <w:rPr>
          <w:w w:val="105"/>
        </w:rPr>
        <w:t>p</w:t>
      </w:r>
      <w:r w:rsidRPr="006843FC">
        <w:rPr>
          <w:w w:val="105"/>
        </w:rPr>
        <w:t xml:space="preserve">erspective. </w:t>
      </w:r>
      <w:r w:rsidRPr="006843FC">
        <w:rPr>
          <w:i/>
          <w:iCs/>
          <w:w w:val="105"/>
        </w:rPr>
        <w:t>Australian Journal of Labour Economics</w:t>
      </w:r>
      <w:r w:rsidRPr="006843FC">
        <w:rPr>
          <w:w w:val="105"/>
        </w:rPr>
        <w:t xml:space="preserve">, </w:t>
      </w:r>
      <w:r w:rsidRPr="006843FC">
        <w:rPr>
          <w:i/>
          <w:iCs/>
          <w:w w:val="105"/>
        </w:rPr>
        <w:t>17</w:t>
      </w:r>
      <w:r w:rsidRPr="006843FC">
        <w:rPr>
          <w:w w:val="105"/>
        </w:rPr>
        <w:t>, 87–110.</w:t>
      </w:r>
      <w:r w:rsidR="005675FE" w:rsidRPr="006843FC">
        <w:rPr>
          <w:w w:val="105"/>
        </w:rPr>
        <w:t xml:space="preserve"> </w:t>
      </w:r>
    </w:p>
    <w:p w14:paraId="1D9B66D9" w14:textId="1D782A49" w:rsidR="007835B3" w:rsidRPr="006843FC" w:rsidRDefault="007835B3" w:rsidP="009222F0">
      <w:pPr>
        <w:pStyle w:val="BodyText"/>
        <w:spacing w:after="120" w:line="274" w:lineRule="auto"/>
        <w:ind w:left="709" w:hanging="709"/>
        <w:rPr>
          <w:w w:val="105"/>
        </w:rPr>
      </w:pPr>
      <w:r w:rsidRPr="006843FC">
        <w:rPr>
          <w:w w:val="105"/>
        </w:rPr>
        <w:t>Li, I.W.</w:t>
      </w:r>
      <w:r w:rsidR="00E34D9C" w:rsidRPr="006843FC">
        <w:rPr>
          <w:w w:val="105"/>
        </w:rPr>
        <w:t xml:space="preserve">, &amp; </w:t>
      </w:r>
      <w:r w:rsidRPr="006843FC">
        <w:rPr>
          <w:w w:val="105"/>
        </w:rPr>
        <w:t>Dockery, A.M. (2015)</w:t>
      </w:r>
      <w:r w:rsidR="00E34D9C" w:rsidRPr="006843FC">
        <w:rPr>
          <w:w w:val="105"/>
        </w:rPr>
        <w:t xml:space="preserve">. </w:t>
      </w:r>
      <w:r w:rsidRPr="006843FC">
        <w:rPr>
          <w:w w:val="105"/>
        </w:rPr>
        <w:t xml:space="preserve">Does school socio-economic status influence university outcomes? </w:t>
      </w:r>
      <w:r w:rsidRPr="006843FC">
        <w:rPr>
          <w:i/>
          <w:iCs/>
          <w:w w:val="105"/>
        </w:rPr>
        <w:t>Australian Journal of Labour Economics</w:t>
      </w:r>
      <w:r w:rsidRPr="006843FC">
        <w:rPr>
          <w:w w:val="105"/>
        </w:rPr>
        <w:t>, 18, 75–94.</w:t>
      </w:r>
      <w:r w:rsidR="005675FE" w:rsidRPr="006843FC">
        <w:rPr>
          <w:w w:val="105"/>
        </w:rPr>
        <w:t xml:space="preserve"> </w:t>
      </w:r>
    </w:p>
    <w:p w14:paraId="6DC56626" w14:textId="43CBBD65" w:rsidR="007835B3" w:rsidRPr="006843FC" w:rsidRDefault="007835B3" w:rsidP="009222F0">
      <w:pPr>
        <w:pStyle w:val="BodyText"/>
        <w:spacing w:after="120" w:line="274" w:lineRule="auto"/>
        <w:ind w:left="709" w:hanging="709"/>
      </w:pPr>
      <w:r w:rsidRPr="006843FC">
        <w:rPr>
          <w:w w:val="105"/>
        </w:rPr>
        <w:t xml:space="preserve">Li, I.W., Mahuteau, </w:t>
      </w:r>
      <w:r w:rsidR="007832FE" w:rsidRPr="006843FC">
        <w:rPr>
          <w:w w:val="105"/>
        </w:rPr>
        <w:t xml:space="preserve">S., </w:t>
      </w:r>
      <w:r w:rsidRPr="006843FC">
        <w:rPr>
          <w:w w:val="105"/>
        </w:rPr>
        <w:t>Dockery</w:t>
      </w:r>
      <w:r w:rsidR="007832FE" w:rsidRPr="006843FC">
        <w:rPr>
          <w:w w:val="105"/>
        </w:rPr>
        <w:t>, A.M.</w:t>
      </w:r>
      <w:r w:rsidRPr="006843FC">
        <w:rPr>
          <w:w w:val="105"/>
        </w:rPr>
        <w:t xml:space="preserve">, </w:t>
      </w:r>
      <w:r w:rsidR="00176BE7" w:rsidRPr="006843FC">
        <w:rPr>
          <w:w w:val="105"/>
        </w:rPr>
        <w:t>&amp;</w:t>
      </w:r>
      <w:r w:rsidRPr="006843FC">
        <w:rPr>
          <w:w w:val="105"/>
        </w:rPr>
        <w:t xml:space="preserve"> </w:t>
      </w:r>
      <w:proofErr w:type="spellStart"/>
      <w:r w:rsidRPr="006843FC">
        <w:rPr>
          <w:w w:val="105"/>
        </w:rPr>
        <w:t>Junankar</w:t>
      </w:r>
      <w:proofErr w:type="spellEnd"/>
      <w:r w:rsidR="007832FE" w:rsidRPr="006843FC">
        <w:rPr>
          <w:w w:val="105"/>
        </w:rPr>
        <w:t>, P.N.</w:t>
      </w:r>
      <w:r w:rsidRPr="006843FC">
        <w:rPr>
          <w:w w:val="105"/>
        </w:rPr>
        <w:t xml:space="preserve"> (2017). Equity in higher education and graduate labour market outcomes in Australia. </w:t>
      </w:r>
      <w:r w:rsidRPr="006843FC">
        <w:rPr>
          <w:i/>
          <w:iCs/>
          <w:w w:val="105"/>
        </w:rPr>
        <w:t>Journal of Higher Education Policy and Management</w:t>
      </w:r>
      <w:r w:rsidRPr="006843FC">
        <w:rPr>
          <w:w w:val="105"/>
        </w:rPr>
        <w:t>, 39, 625–641</w:t>
      </w:r>
      <w:r w:rsidRPr="006843FC">
        <w:t>.</w:t>
      </w:r>
      <w:r w:rsidR="00F6541A" w:rsidRPr="006843FC">
        <w:t xml:space="preserve"> </w:t>
      </w:r>
      <w:hyperlink r:id="rId36" w:history="1">
        <w:r w:rsidR="00F6541A" w:rsidRPr="008A4F2B">
          <w:rPr>
            <w:rStyle w:val="Hyperlink"/>
          </w:rPr>
          <w:t>https://doi.org/10.1080/1360080X.2017.1377966</w:t>
        </w:r>
      </w:hyperlink>
    </w:p>
    <w:p w14:paraId="5BB0EE38" w14:textId="4A352F13" w:rsidR="005675FE" w:rsidRPr="006843FC" w:rsidRDefault="00EF73C5" w:rsidP="009222F0">
      <w:pPr>
        <w:pStyle w:val="BodyText"/>
        <w:spacing w:after="120" w:line="274" w:lineRule="auto"/>
        <w:ind w:left="709" w:hanging="709"/>
        <w:rPr>
          <w:w w:val="105"/>
        </w:rPr>
      </w:pPr>
      <w:r w:rsidRPr="006843FC">
        <w:rPr>
          <w:w w:val="105"/>
        </w:rPr>
        <w:t xml:space="preserve">Li, I.W., </w:t>
      </w:r>
      <w:r w:rsidR="007832FE" w:rsidRPr="006843FC">
        <w:rPr>
          <w:w w:val="105"/>
        </w:rPr>
        <w:t xml:space="preserve">Mahuteau, S., Dockery, A.M., </w:t>
      </w:r>
      <w:proofErr w:type="spellStart"/>
      <w:r w:rsidR="007832FE" w:rsidRPr="006843FC">
        <w:rPr>
          <w:w w:val="105"/>
        </w:rPr>
        <w:t>Junankar</w:t>
      </w:r>
      <w:proofErr w:type="spellEnd"/>
      <w:r w:rsidR="007832FE" w:rsidRPr="006843FC">
        <w:rPr>
          <w:w w:val="105"/>
        </w:rPr>
        <w:t>, P.N.,</w:t>
      </w:r>
      <w:r w:rsidRPr="006843FC">
        <w:rPr>
          <w:w w:val="105"/>
        </w:rPr>
        <w:t xml:space="preserve"> </w:t>
      </w:r>
      <w:r w:rsidR="0095369B" w:rsidRPr="006843FC">
        <w:rPr>
          <w:w w:val="105"/>
        </w:rPr>
        <w:t>&amp;</w:t>
      </w:r>
      <w:r w:rsidRPr="006843FC">
        <w:rPr>
          <w:w w:val="105"/>
        </w:rPr>
        <w:t xml:space="preserve"> </w:t>
      </w:r>
      <w:proofErr w:type="spellStart"/>
      <w:r w:rsidRPr="006843FC">
        <w:rPr>
          <w:w w:val="105"/>
        </w:rPr>
        <w:t>Mavromaras</w:t>
      </w:r>
      <w:proofErr w:type="spellEnd"/>
      <w:r w:rsidR="007832FE" w:rsidRPr="006843FC">
        <w:rPr>
          <w:w w:val="105"/>
        </w:rPr>
        <w:t>, K.</w:t>
      </w:r>
      <w:r w:rsidRPr="006843FC">
        <w:rPr>
          <w:w w:val="105"/>
        </w:rPr>
        <w:t xml:space="preserve"> (2016). </w:t>
      </w:r>
      <w:r w:rsidRPr="006843FC">
        <w:rPr>
          <w:i/>
          <w:iCs/>
          <w:w w:val="105"/>
        </w:rPr>
        <w:t>Labour market outcomes of Australian university graduates from equity groups</w:t>
      </w:r>
      <w:r w:rsidRPr="006843FC">
        <w:rPr>
          <w:w w:val="105"/>
        </w:rPr>
        <w:t xml:space="preserve">. </w:t>
      </w:r>
      <w:r w:rsidR="004A3669" w:rsidRPr="006843FC">
        <w:rPr>
          <w:w w:val="105"/>
        </w:rPr>
        <w:t xml:space="preserve">Perth: </w:t>
      </w:r>
      <w:r w:rsidR="00C12A1F" w:rsidRPr="006843FC">
        <w:rPr>
          <w:w w:val="105"/>
        </w:rPr>
        <w:t>National Centre for Student Equity in Higher Education, Curtin University.</w:t>
      </w:r>
      <w:r w:rsidR="005675FE" w:rsidRPr="006843FC">
        <w:rPr>
          <w:w w:val="105"/>
        </w:rPr>
        <w:t xml:space="preserve"> </w:t>
      </w:r>
    </w:p>
    <w:p w14:paraId="0B7614CD" w14:textId="755BBB53" w:rsidR="00FE4178" w:rsidRPr="006843FC" w:rsidRDefault="00FE4178" w:rsidP="009222F0">
      <w:pPr>
        <w:pStyle w:val="BodyText"/>
        <w:spacing w:after="120" w:line="274" w:lineRule="auto"/>
        <w:ind w:left="709" w:hanging="709"/>
        <w:rPr>
          <w:w w:val="105"/>
        </w:rPr>
      </w:pPr>
      <w:r w:rsidRPr="006843FC">
        <w:rPr>
          <w:w w:val="105"/>
        </w:rPr>
        <w:t>Li, I.W., Jackson,</w:t>
      </w:r>
      <w:r w:rsidR="006A5F87" w:rsidRPr="006843FC">
        <w:rPr>
          <w:w w:val="105"/>
        </w:rPr>
        <w:t xml:space="preserve"> D.,</w:t>
      </w:r>
      <w:r w:rsidRPr="006843FC">
        <w:rPr>
          <w:w w:val="105"/>
        </w:rPr>
        <w:t xml:space="preserve"> </w:t>
      </w:r>
      <w:r w:rsidR="007F5277" w:rsidRPr="006843FC">
        <w:rPr>
          <w:w w:val="105"/>
        </w:rPr>
        <w:t>&amp;</w:t>
      </w:r>
      <w:r w:rsidRPr="006843FC">
        <w:rPr>
          <w:w w:val="105"/>
        </w:rPr>
        <w:t xml:space="preserve"> Carroll</w:t>
      </w:r>
      <w:r w:rsidR="006A5F87" w:rsidRPr="006843FC">
        <w:rPr>
          <w:w w:val="105"/>
        </w:rPr>
        <w:t xml:space="preserve">, D. </w:t>
      </w:r>
      <w:r w:rsidRPr="006843FC">
        <w:rPr>
          <w:w w:val="105"/>
        </w:rPr>
        <w:t xml:space="preserve">(2022). </w:t>
      </w:r>
      <w:r w:rsidRPr="006843FC">
        <w:rPr>
          <w:i/>
          <w:iCs/>
          <w:w w:val="105"/>
        </w:rPr>
        <w:t>Equity implications of non-ATAR pathways: Participation, academic outcomes, and student experience</w:t>
      </w:r>
      <w:r w:rsidRPr="006843FC">
        <w:rPr>
          <w:w w:val="105"/>
        </w:rPr>
        <w:t xml:space="preserve">. </w:t>
      </w:r>
      <w:r w:rsidR="004A3669" w:rsidRPr="006843FC">
        <w:rPr>
          <w:w w:val="105"/>
        </w:rPr>
        <w:t xml:space="preserve">Perth: </w:t>
      </w:r>
      <w:r w:rsidRPr="006843FC">
        <w:rPr>
          <w:w w:val="105"/>
        </w:rPr>
        <w:t>National Centre for Student Equity in Higher Education, Curtin University.</w:t>
      </w:r>
      <w:r w:rsidR="005675FE" w:rsidRPr="006843FC">
        <w:rPr>
          <w:w w:val="105"/>
        </w:rPr>
        <w:t xml:space="preserve"> </w:t>
      </w:r>
    </w:p>
    <w:p w14:paraId="48ECBF68" w14:textId="73928529" w:rsidR="007835B3" w:rsidRPr="006843FC" w:rsidRDefault="007835B3" w:rsidP="009222F0">
      <w:pPr>
        <w:pStyle w:val="BodyText"/>
        <w:spacing w:after="120" w:line="274" w:lineRule="auto"/>
        <w:ind w:left="709" w:hanging="709"/>
      </w:pPr>
      <w:r w:rsidRPr="006843FC">
        <w:rPr>
          <w:w w:val="105"/>
        </w:rPr>
        <w:t xml:space="preserve">Li, I.W., </w:t>
      </w:r>
      <w:r w:rsidR="006D1CF7" w:rsidRPr="006843FC">
        <w:rPr>
          <w:w w:val="105"/>
        </w:rPr>
        <w:t xml:space="preserve">Jackson, D., </w:t>
      </w:r>
      <w:r w:rsidR="002E59AA" w:rsidRPr="006843FC">
        <w:rPr>
          <w:w w:val="105"/>
        </w:rPr>
        <w:t>&amp;</w:t>
      </w:r>
      <w:r w:rsidR="006D1CF7" w:rsidRPr="006843FC">
        <w:rPr>
          <w:w w:val="105"/>
        </w:rPr>
        <w:t xml:space="preserve"> Carroll, D.</w:t>
      </w:r>
      <w:r w:rsidRPr="006843FC">
        <w:rPr>
          <w:w w:val="105"/>
        </w:rPr>
        <w:t xml:space="preserve"> (2023). Influence of equity group status and entry pathway on academic outcomes in higher education. </w:t>
      </w:r>
      <w:r w:rsidRPr="006843FC">
        <w:rPr>
          <w:i/>
          <w:iCs/>
          <w:w w:val="105"/>
        </w:rPr>
        <w:t>Journal of Higher Education Policy and Management</w:t>
      </w:r>
      <w:r w:rsidRPr="006843FC">
        <w:rPr>
          <w:w w:val="105"/>
        </w:rPr>
        <w:t>, 23, 140–159.</w:t>
      </w:r>
      <w:r w:rsidR="00F6541A" w:rsidRPr="006843FC">
        <w:rPr>
          <w:w w:val="105"/>
        </w:rPr>
        <w:t xml:space="preserve"> </w:t>
      </w:r>
      <w:hyperlink r:id="rId37" w:history="1">
        <w:r w:rsidR="00F6541A" w:rsidRPr="008A4F2B">
          <w:rPr>
            <w:rStyle w:val="Hyperlink"/>
          </w:rPr>
          <w:t>https://doi.org/10.1080/1360080X.2023.2180163</w:t>
        </w:r>
      </w:hyperlink>
    </w:p>
    <w:p w14:paraId="32209603" w14:textId="5B2E4DAC" w:rsidR="00C12A1F" w:rsidRPr="006843FC" w:rsidRDefault="007835B3" w:rsidP="009222F0">
      <w:pPr>
        <w:pStyle w:val="BodyText"/>
        <w:spacing w:after="120" w:line="274" w:lineRule="auto"/>
        <w:ind w:left="709" w:hanging="709"/>
        <w:rPr>
          <w:w w:val="105"/>
        </w:rPr>
      </w:pPr>
      <w:r w:rsidRPr="006843FC">
        <w:t>Lim</w:t>
      </w:r>
      <w:r w:rsidR="006D29F0" w:rsidRPr="006843FC">
        <w:t>,</w:t>
      </w:r>
      <w:r w:rsidRPr="006843FC">
        <w:t xml:space="preserve"> P. (2015). </w:t>
      </w:r>
      <w:r w:rsidRPr="006843FC">
        <w:rPr>
          <w:i/>
          <w:iCs/>
        </w:rPr>
        <w:t>Do individual background characteristics influence tertiary completion rates? A 2014 student equity in higher education research grants project</w:t>
      </w:r>
      <w:r w:rsidRPr="006843FC">
        <w:t xml:space="preserve">. </w:t>
      </w:r>
      <w:r w:rsidR="004A3669" w:rsidRPr="006843FC">
        <w:t xml:space="preserve">Perth: </w:t>
      </w:r>
      <w:r w:rsidR="00C12A1F" w:rsidRPr="006843FC">
        <w:rPr>
          <w:w w:val="105"/>
        </w:rPr>
        <w:t>National Centre for Student Equity in Higher Education, Curtin University.</w:t>
      </w:r>
      <w:r w:rsidR="005675FE" w:rsidRPr="006843FC">
        <w:rPr>
          <w:w w:val="105"/>
        </w:rPr>
        <w:t xml:space="preserve"> </w:t>
      </w:r>
    </w:p>
    <w:p w14:paraId="3AC65931" w14:textId="1A669654" w:rsidR="007835B3" w:rsidRPr="006843FC" w:rsidRDefault="007835B3" w:rsidP="009222F0">
      <w:pPr>
        <w:pStyle w:val="BodyText"/>
        <w:spacing w:after="120" w:line="274" w:lineRule="auto"/>
        <w:ind w:left="709" w:hanging="709"/>
      </w:pPr>
      <w:r w:rsidRPr="006843FC">
        <w:lastRenderedPageBreak/>
        <w:t>Livermore, T.</w:t>
      </w:r>
      <w:r w:rsidR="00044913" w:rsidRPr="006843FC">
        <w:t xml:space="preserve">, &amp; </w:t>
      </w:r>
      <w:r w:rsidRPr="006843FC">
        <w:t>Major</w:t>
      </w:r>
      <w:r w:rsidR="006D29F0" w:rsidRPr="006843FC">
        <w:t xml:space="preserve">, M. </w:t>
      </w:r>
      <w:r w:rsidRPr="006843FC">
        <w:t xml:space="preserve">(2021). </w:t>
      </w:r>
      <w:r w:rsidRPr="006843FC">
        <w:rPr>
          <w:i/>
          <w:iCs/>
        </w:rPr>
        <w:t>What is driving participation and diversity trends in Economics? A survey of high school students</w:t>
      </w:r>
      <w:r w:rsidRPr="006843FC">
        <w:t xml:space="preserve">. </w:t>
      </w:r>
      <w:r w:rsidR="001B490F" w:rsidRPr="006843FC">
        <w:rPr>
          <w:w w:val="105"/>
        </w:rPr>
        <w:t xml:space="preserve">Canberra: </w:t>
      </w:r>
      <w:r w:rsidRPr="006843FC">
        <w:t>Research Discussion Paper RDP 2021-06, Reserve Bank of Australia.</w:t>
      </w:r>
      <w:r w:rsidR="005675FE" w:rsidRPr="006843FC">
        <w:t xml:space="preserve"> </w:t>
      </w:r>
    </w:p>
    <w:p w14:paraId="665873E8" w14:textId="6C335981" w:rsidR="007835B3" w:rsidRPr="006843FC" w:rsidRDefault="007835B3" w:rsidP="009222F0">
      <w:pPr>
        <w:pStyle w:val="BodyText"/>
        <w:spacing w:after="120" w:line="274" w:lineRule="auto"/>
        <w:ind w:left="709" w:hanging="709"/>
      </w:pPr>
      <w:r w:rsidRPr="006843FC">
        <w:t xml:space="preserve">Ma, Y. (2009). Family </w:t>
      </w:r>
      <w:r w:rsidR="0097512D">
        <w:t>socioeconomic</w:t>
      </w:r>
      <w:r w:rsidRPr="006843FC">
        <w:t xml:space="preserve"> status, parental involvement and college major choices–gender, race/ethnic, and nativity patterns. </w:t>
      </w:r>
      <w:r w:rsidRPr="006843FC">
        <w:rPr>
          <w:i/>
          <w:iCs/>
        </w:rPr>
        <w:t>Sociological Perspectives</w:t>
      </w:r>
      <w:r w:rsidRPr="006843FC">
        <w:t>, 52, 211–234.</w:t>
      </w:r>
      <w:r w:rsidR="00F6541A" w:rsidRPr="006843FC">
        <w:t xml:space="preserve"> </w:t>
      </w:r>
      <w:hyperlink r:id="rId38" w:history="1">
        <w:r w:rsidR="00F6541A" w:rsidRPr="008A4F2B">
          <w:rPr>
            <w:rStyle w:val="Hyperlink"/>
          </w:rPr>
          <w:t>https://doi.org/10.1525/sop.2009.52.2.211</w:t>
        </w:r>
      </w:hyperlink>
    </w:p>
    <w:p w14:paraId="2421FD01" w14:textId="6CA1DBFF" w:rsidR="00C12A1F" w:rsidRDefault="007835B3" w:rsidP="009222F0">
      <w:pPr>
        <w:pStyle w:val="BodyText"/>
        <w:spacing w:after="120" w:line="274" w:lineRule="auto"/>
        <w:ind w:left="709" w:hanging="709"/>
        <w:rPr>
          <w:w w:val="105"/>
        </w:rPr>
      </w:pPr>
      <w:proofErr w:type="spellStart"/>
      <w:r w:rsidRPr="006843FC">
        <w:t>Mahuteau</w:t>
      </w:r>
      <w:proofErr w:type="spellEnd"/>
      <w:r w:rsidRPr="006843FC">
        <w:t xml:space="preserve"> S., Karmel, </w:t>
      </w:r>
      <w:r w:rsidR="006D29F0" w:rsidRPr="006843FC">
        <w:t xml:space="preserve">T., </w:t>
      </w:r>
      <w:proofErr w:type="spellStart"/>
      <w:r w:rsidRPr="006843FC">
        <w:t>Mavromaras</w:t>
      </w:r>
      <w:proofErr w:type="spellEnd"/>
      <w:r w:rsidRPr="006843FC">
        <w:t xml:space="preserve">, </w:t>
      </w:r>
      <w:r w:rsidR="006D29F0" w:rsidRPr="006843FC">
        <w:t xml:space="preserve">K., </w:t>
      </w:r>
      <w:r w:rsidR="000130EA" w:rsidRPr="006843FC">
        <w:t>&amp;</w:t>
      </w:r>
      <w:r w:rsidRPr="006843FC">
        <w:t xml:space="preserve"> Zhu</w:t>
      </w:r>
      <w:r w:rsidR="006D29F0" w:rsidRPr="006843FC">
        <w:t xml:space="preserve">, R. </w:t>
      </w:r>
      <w:r w:rsidRPr="006843FC">
        <w:t xml:space="preserve">(2015). </w:t>
      </w:r>
      <w:r w:rsidRPr="006843FC">
        <w:rPr>
          <w:i/>
          <w:iCs/>
        </w:rPr>
        <w:t>Educational outcomes of young indigenous Australians</w:t>
      </w:r>
      <w:r w:rsidRPr="006843FC">
        <w:t xml:space="preserve">. </w:t>
      </w:r>
      <w:r w:rsidR="004A3669" w:rsidRPr="006843FC">
        <w:t xml:space="preserve">Perth: </w:t>
      </w:r>
      <w:r w:rsidR="00C12A1F" w:rsidRPr="006843FC">
        <w:rPr>
          <w:w w:val="105"/>
        </w:rPr>
        <w:t>National Centre for Student Equity in Higher Education, Curtin University.</w:t>
      </w:r>
      <w:r w:rsidR="005675FE" w:rsidRPr="006843FC">
        <w:rPr>
          <w:w w:val="105"/>
        </w:rPr>
        <w:t xml:space="preserve"> </w:t>
      </w:r>
    </w:p>
    <w:p w14:paraId="0FB2DC2C" w14:textId="37763A1A" w:rsidR="00836177" w:rsidRDefault="00836177" w:rsidP="009222F0">
      <w:pPr>
        <w:pStyle w:val="BodyText"/>
        <w:spacing w:after="120" w:line="274" w:lineRule="auto"/>
        <w:ind w:left="709" w:hanging="709"/>
        <w:rPr>
          <w:w w:val="105"/>
        </w:rPr>
      </w:pPr>
      <w:r w:rsidRPr="00836177">
        <w:rPr>
          <w:w w:val="105"/>
        </w:rPr>
        <w:t>Nguyen, H.T., Connelly, L., Le, H.T., Mitrou, F., Taylor, C.,</w:t>
      </w:r>
      <w:r>
        <w:rPr>
          <w:w w:val="105"/>
        </w:rPr>
        <w:t xml:space="preserve"> &amp;</w:t>
      </w:r>
      <w:r w:rsidRPr="00836177">
        <w:rPr>
          <w:w w:val="105"/>
        </w:rPr>
        <w:t xml:space="preserve"> Zubrick, S.</w:t>
      </w:r>
      <w:r>
        <w:rPr>
          <w:w w:val="105"/>
        </w:rPr>
        <w:t xml:space="preserve"> (</w:t>
      </w:r>
      <w:r w:rsidRPr="00836177">
        <w:rPr>
          <w:w w:val="105"/>
        </w:rPr>
        <w:t>2020</w:t>
      </w:r>
      <w:r>
        <w:rPr>
          <w:w w:val="105"/>
        </w:rPr>
        <w:t>)</w:t>
      </w:r>
      <w:r w:rsidRPr="00836177">
        <w:rPr>
          <w:w w:val="105"/>
        </w:rPr>
        <w:t xml:space="preserve">. Ethnicity differentials in academic achievements: The role of time investments. </w:t>
      </w:r>
      <w:r w:rsidRPr="00BE77EB">
        <w:rPr>
          <w:i/>
          <w:iCs/>
          <w:w w:val="105"/>
        </w:rPr>
        <w:t>Journal of Population Economics</w:t>
      </w:r>
      <w:r>
        <w:rPr>
          <w:i/>
          <w:iCs/>
          <w:w w:val="105"/>
        </w:rPr>
        <w:t>,</w:t>
      </w:r>
      <w:r w:rsidRPr="00836177">
        <w:rPr>
          <w:w w:val="105"/>
        </w:rPr>
        <w:t xml:space="preserve"> 33, 1381</w:t>
      </w:r>
      <w:r w:rsidR="00385712" w:rsidRPr="006843FC">
        <w:t>–</w:t>
      </w:r>
      <w:r w:rsidRPr="00836177">
        <w:rPr>
          <w:w w:val="105"/>
        </w:rPr>
        <w:t>1418</w:t>
      </w:r>
      <w:r w:rsidR="00A010F0">
        <w:rPr>
          <w:w w:val="105"/>
        </w:rPr>
        <w:t xml:space="preserve">. </w:t>
      </w:r>
      <w:r w:rsidR="00A010F0" w:rsidRPr="008A4F2B">
        <w:rPr>
          <w:rStyle w:val="Hyperlink"/>
        </w:rPr>
        <w:t>https://doi.org/10.1007/s00148-020-00774-6</w:t>
      </w:r>
    </w:p>
    <w:p w14:paraId="624EFD80" w14:textId="03A1BB73" w:rsidR="00DE3FF4" w:rsidRPr="006843FC" w:rsidRDefault="00DE3FF4" w:rsidP="009222F0">
      <w:pPr>
        <w:pStyle w:val="BodyText"/>
        <w:spacing w:after="120" w:line="274" w:lineRule="auto"/>
        <w:ind w:left="709" w:hanging="709"/>
        <w:rPr>
          <w:w w:val="105"/>
        </w:rPr>
      </w:pPr>
      <w:r w:rsidRPr="00DE3FF4">
        <w:rPr>
          <w:w w:val="105"/>
        </w:rPr>
        <w:t>Nguyen, H</w:t>
      </w:r>
      <w:r w:rsidR="00D629CD">
        <w:rPr>
          <w:w w:val="105"/>
        </w:rPr>
        <w:t>.</w:t>
      </w:r>
      <w:r w:rsidRPr="00DE3FF4">
        <w:rPr>
          <w:w w:val="105"/>
        </w:rPr>
        <w:t>, Zajac, T</w:t>
      </w:r>
      <w:r w:rsidR="00D629CD">
        <w:rPr>
          <w:w w:val="105"/>
        </w:rPr>
        <w:t>.</w:t>
      </w:r>
      <w:r w:rsidRPr="00DE3FF4">
        <w:rPr>
          <w:w w:val="105"/>
        </w:rPr>
        <w:t>, Tomaszewski, W</w:t>
      </w:r>
      <w:r w:rsidR="00D629CD">
        <w:rPr>
          <w:w w:val="105"/>
        </w:rPr>
        <w:t>.</w:t>
      </w:r>
      <w:r w:rsidRPr="00DE3FF4">
        <w:rPr>
          <w:w w:val="105"/>
        </w:rPr>
        <w:t xml:space="preserve">, </w:t>
      </w:r>
      <w:r w:rsidR="00D629CD">
        <w:rPr>
          <w:w w:val="105"/>
        </w:rPr>
        <w:t>&amp;</w:t>
      </w:r>
      <w:r w:rsidRPr="00DE3FF4">
        <w:rPr>
          <w:w w:val="105"/>
        </w:rPr>
        <w:t xml:space="preserve"> Mitrou, F</w:t>
      </w:r>
      <w:r w:rsidR="00D629CD">
        <w:rPr>
          <w:w w:val="105"/>
        </w:rPr>
        <w:t>.</w:t>
      </w:r>
      <w:r w:rsidRPr="00DE3FF4">
        <w:rPr>
          <w:w w:val="105"/>
        </w:rPr>
        <w:t xml:space="preserve"> (2025). Educational pathways and earnings trajectories of second-generation immigrants in Australia: new insights from linked census-administrative data. LCC Working Paper Series. 2025-07. Institute for Social Science Research, The University of Queensland Australia.</w:t>
      </w:r>
      <w:r w:rsidR="0026157F">
        <w:rPr>
          <w:w w:val="105"/>
        </w:rPr>
        <w:t xml:space="preserve"> </w:t>
      </w:r>
      <w:r w:rsidRPr="008A4F2B">
        <w:rPr>
          <w:rStyle w:val="Hyperlink"/>
        </w:rPr>
        <w:t>https://doi.org/10.14264/aa17e90</w:t>
      </w:r>
    </w:p>
    <w:p w14:paraId="0455EEFA" w14:textId="08FDAA5E" w:rsidR="007835B3" w:rsidRPr="006843FC" w:rsidRDefault="007835B3" w:rsidP="009222F0">
      <w:pPr>
        <w:pStyle w:val="BodyText"/>
        <w:spacing w:after="120" w:line="274" w:lineRule="auto"/>
        <w:ind w:left="709" w:hanging="709"/>
      </w:pPr>
      <w:r w:rsidRPr="006843FC">
        <w:t xml:space="preserve">Niu, L. (2017). Family </w:t>
      </w:r>
      <w:r w:rsidR="0097512D">
        <w:t>socioeconomic</w:t>
      </w:r>
      <w:r w:rsidRPr="006843FC">
        <w:t xml:space="preserve"> status and choice of STEM major in college: An analysis of a national sample. </w:t>
      </w:r>
      <w:r w:rsidRPr="006843FC">
        <w:rPr>
          <w:i/>
          <w:iCs/>
        </w:rPr>
        <w:t>College Student Journal</w:t>
      </w:r>
      <w:r w:rsidRPr="006843FC">
        <w:t>, 51, 298–312.</w:t>
      </w:r>
      <w:r w:rsidR="005675FE" w:rsidRPr="006843FC">
        <w:t xml:space="preserve"> </w:t>
      </w:r>
    </w:p>
    <w:p w14:paraId="447F593C" w14:textId="77777777" w:rsidR="00DE3FF4" w:rsidRPr="006843FC" w:rsidRDefault="00DE3FF4" w:rsidP="009222F0">
      <w:pPr>
        <w:pStyle w:val="BodyText"/>
        <w:spacing w:after="120" w:line="274" w:lineRule="auto"/>
        <w:ind w:left="709" w:hanging="709"/>
        <w:rPr>
          <w:w w:val="105"/>
        </w:rPr>
      </w:pPr>
      <w:r w:rsidRPr="006843FC">
        <w:rPr>
          <w:w w:val="105"/>
        </w:rPr>
        <w:t xml:space="preserve">Norton, A. (2012). </w:t>
      </w:r>
      <w:r w:rsidRPr="006843FC">
        <w:rPr>
          <w:i/>
          <w:iCs/>
          <w:w w:val="105"/>
        </w:rPr>
        <w:t>Graduate winners: Assessing the public and private benefits of higher education</w:t>
      </w:r>
      <w:r w:rsidRPr="006843FC">
        <w:rPr>
          <w:w w:val="105"/>
        </w:rPr>
        <w:t xml:space="preserve">. Grattan Institute report, No. 2012-6. Melbourne: Grattan Institute. </w:t>
      </w:r>
    </w:p>
    <w:p w14:paraId="6FBDAA1C" w14:textId="42B99489" w:rsidR="007835B3" w:rsidRPr="006843FC" w:rsidRDefault="007835B3" w:rsidP="009222F0">
      <w:pPr>
        <w:pStyle w:val="BodyText"/>
        <w:spacing w:after="120" w:line="274" w:lineRule="auto"/>
        <w:ind w:left="709" w:hanging="709"/>
      </w:pPr>
      <w:r w:rsidRPr="006843FC">
        <w:t>Oliver</w:t>
      </w:r>
      <w:r w:rsidR="006D29F0" w:rsidRPr="006843FC">
        <w:t>,</w:t>
      </w:r>
      <w:r w:rsidRPr="006843FC">
        <w:t xml:space="preserve"> R., Vanderford</w:t>
      </w:r>
      <w:r w:rsidRPr="006843FC">
        <w:rPr>
          <w:w w:val="105"/>
        </w:rPr>
        <w:t>,</w:t>
      </w:r>
      <w:r w:rsidRPr="006843FC">
        <w:t xml:space="preserve"> </w:t>
      </w:r>
      <w:r w:rsidR="006D29F0" w:rsidRPr="006843FC">
        <w:t xml:space="preserve">S., </w:t>
      </w:r>
      <w:r w:rsidR="00AF6769" w:rsidRPr="006843FC">
        <w:t>&amp;</w:t>
      </w:r>
      <w:r w:rsidRPr="006843FC">
        <w:t xml:space="preserve"> Grote</w:t>
      </w:r>
      <w:r w:rsidR="006D29F0" w:rsidRPr="006843FC">
        <w:t xml:space="preserve">, E. </w:t>
      </w:r>
      <w:r w:rsidRPr="006843FC">
        <w:t xml:space="preserve">(2012). Evidence of English language proficiency and academic achievement of non-English-speaking background students. </w:t>
      </w:r>
      <w:r w:rsidRPr="006843FC">
        <w:rPr>
          <w:i/>
          <w:iCs/>
        </w:rPr>
        <w:t xml:space="preserve">Higher Education Research &amp; Development, </w:t>
      </w:r>
      <w:r w:rsidRPr="006843FC">
        <w:t>31, 541</w:t>
      </w:r>
      <w:r w:rsidRPr="006843FC">
        <w:rPr>
          <w:w w:val="105"/>
        </w:rPr>
        <w:t>–</w:t>
      </w:r>
      <w:r w:rsidRPr="006843FC">
        <w:t xml:space="preserve">555. </w:t>
      </w:r>
      <w:hyperlink r:id="rId39" w:history="1">
        <w:r w:rsidR="000C2F43" w:rsidRPr="008A4F2B">
          <w:rPr>
            <w:rStyle w:val="Hyperlink"/>
          </w:rPr>
          <w:t>https://doi.org/10.1080/07294360.2011.653958</w:t>
        </w:r>
      </w:hyperlink>
    </w:p>
    <w:p w14:paraId="45DFB907" w14:textId="08891993" w:rsidR="00B52161" w:rsidRDefault="00B52161" w:rsidP="009222F0">
      <w:pPr>
        <w:pStyle w:val="BodyText"/>
        <w:spacing w:after="120" w:line="274" w:lineRule="auto"/>
        <w:ind w:left="709" w:hanging="709"/>
      </w:pPr>
      <w:r w:rsidRPr="006843FC">
        <w:t xml:space="preserve">Productivity Commission (2019). </w:t>
      </w:r>
      <w:r w:rsidRPr="006843FC">
        <w:rPr>
          <w:i/>
          <w:iCs/>
        </w:rPr>
        <w:t>The demand drive university system: A mixed report card</w:t>
      </w:r>
      <w:r w:rsidRPr="006843FC">
        <w:t>.</w:t>
      </w:r>
      <w:r w:rsidR="00FB248B" w:rsidRPr="006843FC">
        <w:rPr>
          <w:rFonts w:eastAsiaTheme="minorHAnsi"/>
          <w:sz w:val="20"/>
          <w:szCs w:val="20"/>
          <w14:ligatures w14:val="standardContextual"/>
        </w:rPr>
        <w:t xml:space="preserve"> </w:t>
      </w:r>
      <w:r w:rsidR="00A743EE" w:rsidRPr="006843FC">
        <w:t xml:space="preserve">Canberra: Productivity </w:t>
      </w:r>
      <w:r w:rsidR="00FB248B" w:rsidRPr="006843FC">
        <w:t>Commission Research Paper.</w:t>
      </w:r>
      <w:r w:rsidR="005675FE" w:rsidRPr="006843FC">
        <w:t xml:space="preserve"> </w:t>
      </w:r>
    </w:p>
    <w:p w14:paraId="22FA0589" w14:textId="54C3314E" w:rsidR="000D26D4" w:rsidRPr="006843FC" w:rsidRDefault="000D26D4" w:rsidP="009222F0">
      <w:pPr>
        <w:pStyle w:val="BodyText"/>
        <w:spacing w:after="120" w:line="274" w:lineRule="auto"/>
        <w:ind w:left="709" w:hanging="709"/>
      </w:pPr>
      <w:r>
        <w:t xml:space="preserve">Tani, M. (2022). </w:t>
      </w:r>
      <w:r w:rsidRPr="000D26D4">
        <w:t>Same degree but different outcomes: an analysis of labour market outcomes for native and international PhD students in Australia</w:t>
      </w:r>
      <w:r>
        <w:t xml:space="preserve">. </w:t>
      </w:r>
      <w:r w:rsidRPr="00BE77EB">
        <w:rPr>
          <w:i/>
          <w:iCs/>
        </w:rPr>
        <w:t>Journal for Labour Market Research</w:t>
      </w:r>
      <w:r>
        <w:t>, 56: 20.</w:t>
      </w:r>
      <w:r w:rsidR="008061A9">
        <w:t xml:space="preserve"> </w:t>
      </w:r>
      <w:r w:rsidR="008061A9" w:rsidRPr="008A4F2B">
        <w:rPr>
          <w:rStyle w:val="Hyperlink"/>
        </w:rPr>
        <w:t>https://doi.org/10.1186/s12651-022-00324-5</w:t>
      </w:r>
    </w:p>
    <w:p w14:paraId="351C2823" w14:textId="3B8EF669" w:rsidR="00DE3FF4" w:rsidRDefault="00DE3FF4" w:rsidP="008A4F2B">
      <w:pPr>
        <w:pStyle w:val="BodyText"/>
        <w:spacing w:after="120" w:line="274" w:lineRule="auto"/>
        <w:ind w:left="709" w:hanging="709"/>
      </w:pPr>
      <w:r>
        <w:t>Tomaszewski, W., Kubler, M., Perales, F., Western, M., Rampino, T.</w:t>
      </w:r>
      <w:r w:rsidR="00486BBF">
        <w:t>,</w:t>
      </w:r>
      <w:r>
        <w:t xml:space="preserve"> </w:t>
      </w:r>
      <w:r w:rsidR="00486BBF">
        <w:t>&amp;</w:t>
      </w:r>
      <w:r>
        <w:t xml:space="preserve"> Xiang N. (2018). Review of </w:t>
      </w:r>
      <w:r w:rsidR="00D3355A">
        <w:t>i</w:t>
      </w:r>
      <w:r>
        <w:t xml:space="preserve">dentified </w:t>
      </w:r>
      <w:r w:rsidR="00D3355A">
        <w:t>e</w:t>
      </w:r>
      <w:r>
        <w:t xml:space="preserve">quity </w:t>
      </w:r>
      <w:r w:rsidR="00D3355A">
        <w:t>g</w:t>
      </w:r>
      <w:r>
        <w:t>roups. Report prepared for the Australian Government Department of Education and Training.</w:t>
      </w:r>
    </w:p>
    <w:p w14:paraId="143CA0DB" w14:textId="736F8C1A" w:rsidR="00DE3FF4" w:rsidRPr="006843FC" w:rsidRDefault="00DE3FF4" w:rsidP="009222F0">
      <w:pPr>
        <w:pStyle w:val="BodyText"/>
        <w:spacing w:after="120" w:line="274" w:lineRule="auto"/>
        <w:ind w:left="709" w:hanging="709"/>
      </w:pPr>
      <w:r>
        <w:t>Tomaszewski, W., Kubler, M., Perales, F., Clague, D., Xiang N.</w:t>
      </w:r>
      <w:r w:rsidR="00486BBF">
        <w:t>,</w:t>
      </w:r>
      <w:r>
        <w:t xml:space="preserve"> </w:t>
      </w:r>
      <w:r w:rsidR="00486BBF">
        <w:t>&amp;</w:t>
      </w:r>
      <w:r>
        <w:t xml:space="preserve"> Johnstone, M. (2020). Investigating the </w:t>
      </w:r>
      <w:r w:rsidR="00973362">
        <w:t>e</w:t>
      </w:r>
      <w:r>
        <w:t xml:space="preserve">ffects of </w:t>
      </w:r>
      <w:r w:rsidR="00973362">
        <w:t>c</w:t>
      </w:r>
      <w:r>
        <w:t xml:space="preserve">umulative </w:t>
      </w:r>
      <w:r w:rsidR="00973362">
        <w:t>f</w:t>
      </w:r>
      <w:r>
        <w:t xml:space="preserve">actors of </w:t>
      </w:r>
      <w:r w:rsidR="00973362">
        <w:t>d</w:t>
      </w:r>
      <w:r>
        <w:t>isadvantage. Report prepared for the Australian Government Department of Education, Skills and Employment.</w:t>
      </w:r>
    </w:p>
    <w:p w14:paraId="2C7490FA" w14:textId="067D9F69" w:rsidR="0026157F" w:rsidRDefault="00DE3FF4" w:rsidP="009222F0">
      <w:pPr>
        <w:pStyle w:val="BodyText"/>
        <w:spacing w:after="120" w:line="274" w:lineRule="auto"/>
        <w:ind w:left="709" w:hanging="709"/>
        <w:rPr>
          <w:w w:val="105"/>
        </w:rPr>
      </w:pPr>
      <w:r>
        <w:t>Tomaszewski, W, Perales, F, Xiang, N</w:t>
      </w:r>
      <w:r w:rsidR="00486BBF">
        <w:t>,</w:t>
      </w:r>
      <w:r>
        <w:t xml:space="preserve"> </w:t>
      </w:r>
      <w:r w:rsidR="00486BBF">
        <w:t>&amp;</w:t>
      </w:r>
      <w:r>
        <w:t xml:space="preserve"> Kubler, M (2019). Beyond graduation: long-term </w:t>
      </w:r>
      <w:r w:rsidR="0097512D">
        <w:t>socioeconomic</w:t>
      </w:r>
      <w:r>
        <w:t xml:space="preserve"> outcomes amongst equity students. </w:t>
      </w:r>
      <w:r w:rsidR="0026157F" w:rsidRPr="006843FC">
        <w:t xml:space="preserve">Perth: </w:t>
      </w:r>
      <w:r w:rsidR="0026157F" w:rsidRPr="006843FC">
        <w:rPr>
          <w:w w:val="105"/>
        </w:rPr>
        <w:t xml:space="preserve">National Centre for Student Equity in Higher Education, Curtin University. </w:t>
      </w:r>
    </w:p>
    <w:p w14:paraId="5A33E457" w14:textId="76DCB138" w:rsidR="007835B3" w:rsidRDefault="007835B3" w:rsidP="009222F0">
      <w:pPr>
        <w:pStyle w:val="BodyText"/>
        <w:spacing w:after="120" w:line="274" w:lineRule="auto"/>
        <w:ind w:left="709" w:hanging="709"/>
        <w:rPr>
          <w:rStyle w:val="Hyperlink"/>
          <w:color w:val="auto"/>
          <w:u w:val="none"/>
        </w:rPr>
      </w:pPr>
      <w:r w:rsidRPr="006843FC">
        <w:t xml:space="preserve">Tomaszewski, W., Perales, F., Xiang, N., </w:t>
      </w:r>
      <w:r w:rsidR="00AF6769" w:rsidRPr="006843FC">
        <w:t xml:space="preserve">&amp; </w:t>
      </w:r>
      <w:r w:rsidRPr="006843FC">
        <w:t xml:space="preserve">Kubler, M. (2021). Beyond </w:t>
      </w:r>
      <w:r w:rsidR="00DC7665">
        <w:t>g</w:t>
      </w:r>
      <w:r w:rsidRPr="006843FC">
        <w:t xml:space="preserve">raduation: Socio-economic </w:t>
      </w:r>
      <w:r w:rsidR="00DC7665">
        <w:t>b</w:t>
      </w:r>
      <w:r w:rsidRPr="006843FC">
        <w:t xml:space="preserve">ackground and </w:t>
      </w:r>
      <w:r w:rsidR="00DC7665">
        <w:t>p</w:t>
      </w:r>
      <w:r w:rsidRPr="006843FC">
        <w:t xml:space="preserve">ost-university </w:t>
      </w:r>
      <w:r w:rsidR="00DC7665">
        <w:t>o</w:t>
      </w:r>
      <w:r w:rsidRPr="006843FC">
        <w:t xml:space="preserve">utcomes of Australian </w:t>
      </w:r>
      <w:r w:rsidR="00DC7665">
        <w:t>g</w:t>
      </w:r>
      <w:r w:rsidRPr="006843FC">
        <w:t xml:space="preserve">raduates. </w:t>
      </w:r>
      <w:r w:rsidRPr="006843FC">
        <w:rPr>
          <w:i/>
          <w:iCs/>
        </w:rPr>
        <w:t>Research in Higher Education</w:t>
      </w:r>
      <w:r w:rsidRPr="006843FC">
        <w:t>, 62, 26–44.</w:t>
      </w:r>
      <w:r w:rsidR="000C2F43" w:rsidRPr="006843FC">
        <w:t xml:space="preserve"> </w:t>
      </w:r>
      <w:r w:rsidR="008A4F2B">
        <w:br/>
      </w:r>
      <w:r w:rsidR="004B3A06" w:rsidRPr="008A4F2B">
        <w:rPr>
          <w:rStyle w:val="Hyperlink"/>
        </w:rPr>
        <w:lastRenderedPageBreak/>
        <w:t>https://doi.org/10.1007/s11162-019-09578-4</w:t>
      </w:r>
    </w:p>
    <w:p w14:paraId="7036954E" w14:textId="051434ED" w:rsidR="00FC1BA5" w:rsidRDefault="007835B3" w:rsidP="009222F0">
      <w:pPr>
        <w:pStyle w:val="BodyText"/>
        <w:spacing w:after="120" w:line="274" w:lineRule="auto"/>
        <w:ind w:left="709" w:hanging="709"/>
        <w:rPr>
          <w:rStyle w:val="Hyperlink"/>
          <w:color w:val="auto"/>
          <w:u w:val="none"/>
        </w:rPr>
      </w:pPr>
      <w:proofErr w:type="spellStart"/>
      <w:r w:rsidRPr="006843FC">
        <w:t>Triventi</w:t>
      </w:r>
      <w:proofErr w:type="spellEnd"/>
      <w:r w:rsidRPr="006843FC">
        <w:t xml:space="preserve">, M., Vergolini, L., </w:t>
      </w:r>
      <w:r w:rsidR="00AF6769" w:rsidRPr="006843FC">
        <w:t>&amp;</w:t>
      </w:r>
      <w:r w:rsidRPr="006843FC">
        <w:t xml:space="preserve"> Zanini, N. (2017). Do individuals with high social background graduate from more rewarding fields of study? Changing patterns before and after the ‘Bologna process</w:t>
      </w:r>
      <w:r w:rsidR="00E7201F">
        <w:t>’</w:t>
      </w:r>
      <w:r w:rsidRPr="006843FC">
        <w:t xml:space="preserve">. </w:t>
      </w:r>
      <w:r w:rsidRPr="006843FC">
        <w:rPr>
          <w:i/>
          <w:iCs/>
        </w:rPr>
        <w:t>Research in Social Stratification and Mobility</w:t>
      </w:r>
      <w:r w:rsidRPr="006843FC">
        <w:t>, 51, 28–40.</w:t>
      </w:r>
      <w:r w:rsidR="000C2F43" w:rsidRPr="006843FC">
        <w:t xml:space="preserve"> </w:t>
      </w:r>
      <w:hyperlink r:id="rId40" w:tgtFrame="_blank" w:tooltip="Persistent link using digital object identifier" w:history="1">
        <w:r w:rsidR="000C2F43" w:rsidRPr="008A4F2B">
          <w:rPr>
            <w:rStyle w:val="Hyperlink"/>
          </w:rPr>
          <w:t>https://doi.org/10.1016/j.rssm.2017.07.001</w:t>
        </w:r>
      </w:hyperlink>
    </w:p>
    <w:p w14:paraId="190461DE" w14:textId="0E064E44" w:rsidR="00FC1BA5" w:rsidRDefault="00FC1BA5" w:rsidP="009222F0">
      <w:pPr>
        <w:pStyle w:val="BodyText"/>
        <w:spacing w:after="120" w:line="274" w:lineRule="auto"/>
        <w:ind w:left="709" w:hanging="709"/>
      </w:pPr>
      <w:r>
        <w:t xml:space="preserve">Win, R. &amp; Miller, P, (2005). The effects of individual and school factors on university students’ academic performance. </w:t>
      </w:r>
      <w:r w:rsidRPr="00256A61">
        <w:rPr>
          <w:i/>
          <w:iCs/>
        </w:rPr>
        <w:t>Australian Economic Review</w:t>
      </w:r>
      <w:r>
        <w:t>, 38, 1</w:t>
      </w:r>
      <w:r w:rsidRPr="006843FC">
        <w:t>–</w:t>
      </w:r>
      <w:r>
        <w:t>18.</w:t>
      </w:r>
      <w:r w:rsidRPr="00FC1BA5">
        <w:rPr>
          <w:rFonts w:ascii="Times New Roman" w:eastAsia="Times New Roman" w:hAnsi="Times New Roman" w:cs="Times New Roman"/>
          <w:sz w:val="24"/>
          <w:szCs w:val="24"/>
          <w:lang w:eastAsia="zh-CN"/>
        </w:rPr>
        <w:t xml:space="preserve"> </w:t>
      </w:r>
      <w:hyperlink r:id="rId41" w:history="1">
        <w:r w:rsidRPr="008A4F2B">
          <w:rPr>
            <w:rStyle w:val="Hyperlink"/>
          </w:rPr>
          <w:t>https://doi.org/10.1111/j.1467-8462.2005.00349.x</w:t>
        </w:r>
      </w:hyperlink>
    </w:p>
    <w:p w14:paraId="143575CF" w14:textId="4CD6EFCC" w:rsidR="00DE3FF4" w:rsidRDefault="00DE3FF4" w:rsidP="009222F0">
      <w:pPr>
        <w:pStyle w:val="BodyText"/>
        <w:spacing w:after="120" w:line="274" w:lineRule="auto"/>
        <w:ind w:left="709" w:hanging="709"/>
      </w:pPr>
      <w:r w:rsidRPr="00DE3FF4">
        <w:t xml:space="preserve">Zając, Tomasz, Magda, Iga, </w:t>
      </w:r>
      <w:proofErr w:type="spellStart"/>
      <w:r w:rsidRPr="00DE3FF4">
        <w:t>Bożykowski</w:t>
      </w:r>
      <w:proofErr w:type="spellEnd"/>
      <w:r w:rsidRPr="00DE3FF4">
        <w:t xml:space="preserve">, Marek, </w:t>
      </w:r>
      <w:proofErr w:type="spellStart"/>
      <w:r w:rsidRPr="00DE3FF4">
        <w:t>Chłoń-Domińczak</w:t>
      </w:r>
      <w:proofErr w:type="spellEnd"/>
      <w:r w:rsidRPr="00DE3FF4">
        <w:t xml:space="preserve">, Agnieszka, </w:t>
      </w:r>
      <w:r w:rsidR="00486BBF">
        <w:t>&amp;</w:t>
      </w:r>
      <w:r w:rsidRPr="00DE3FF4">
        <w:t xml:space="preserve"> Jasiński, Mikołaj (2025). Gender pay gaps across STEM fields of study. </w:t>
      </w:r>
      <w:r w:rsidRPr="00BE77EB">
        <w:rPr>
          <w:i/>
          <w:iCs/>
        </w:rPr>
        <w:t>Studies in Higher Education</w:t>
      </w:r>
      <w:r w:rsidRPr="00DE3FF4">
        <w:t xml:space="preserve"> 50</w:t>
      </w:r>
      <w:r w:rsidR="00385712">
        <w:t>,</w:t>
      </w:r>
      <w:r w:rsidRPr="00DE3FF4">
        <w:t xml:space="preserve"> 126</w:t>
      </w:r>
      <w:r w:rsidR="00502A87">
        <w:t>–</w:t>
      </w:r>
      <w:r w:rsidRPr="00DE3FF4">
        <w:t xml:space="preserve">139. </w:t>
      </w:r>
      <w:r w:rsidR="004B3A06" w:rsidRPr="008A4F2B">
        <w:rPr>
          <w:rStyle w:val="Hyperlink"/>
        </w:rPr>
        <w:t>https://doi.org/10.1080/03075079.2024.2330667</w:t>
      </w:r>
    </w:p>
    <w:p w14:paraId="61D928E4" w14:textId="48CD019F" w:rsidR="00DE3FF4" w:rsidRDefault="00DE3FF4" w:rsidP="009222F0">
      <w:pPr>
        <w:pStyle w:val="BodyText"/>
        <w:spacing w:after="120" w:line="274" w:lineRule="auto"/>
        <w:ind w:left="709" w:hanging="709"/>
      </w:pPr>
      <w:r w:rsidRPr="00DE3FF4">
        <w:t xml:space="preserve">Zając, </w:t>
      </w:r>
      <w:r w:rsidR="00722E9D">
        <w:t xml:space="preserve">T., </w:t>
      </w:r>
      <w:r w:rsidRPr="00DE3FF4">
        <w:t xml:space="preserve">Tomasz Z., Żółtak, Tomasz, Bożykowski, Marek, </w:t>
      </w:r>
      <w:r w:rsidR="00486BBF">
        <w:t>&amp;</w:t>
      </w:r>
      <w:r w:rsidRPr="00DE3FF4">
        <w:t xml:space="preserve"> Jasiński, Mikołaj (2023). All that glitters is not gold</w:t>
      </w:r>
      <w:r w:rsidR="00E7201F" w:rsidRPr="006843FC">
        <w:t>–</w:t>
      </w:r>
      <w:r w:rsidRPr="00DE3FF4">
        <w:t xml:space="preserve">Mixed early labour market outcomes of STEM graduates in Poland. </w:t>
      </w:r>
      <w:r w:rsidRPr="00BE77EB">
        <w:rPr>
          <w:i/>
          <w:iCs/>
        </w:rPr>
        <w:t>European Journal of Education</w:t>
      </w:r>
      <w:r w:rsidRPr="00DE3FF4">
        <w:t xml:space="preserve"> 58</w:t>
      </w:r>
      <w:r w:rsidR="0026157F">
        <w:t>,</w:t>
      </w:r>
      <w:r w:rsidRPr="00DE3FF4">
        <w:t xml:space="preserve"> 477</w:t>
      </w:r>
      <w:r w:rsidR="0026157F">
        <w:t>–</w:t>
      </w:r>
      <w:r w:rsidRPr="00DE3FF4">
        <w:t xml:space="preserve">497. </w:t>
      </w:r>
      <w:r w:rsidR="00F83DB9" w:rsidRPr="008A4F2B">
        <w:rPr>
          <w:rStyle w:val="Hyperlink"/>
        </w:rPr>
        <w:t>https://doi.org/10.1111/ejed.12564</w:t>
      </w:r>
    </w:p>
    <w:p w14:paraId="0B289115" w14:textId="161767B4" w:rsidR="00DE3FF4" w:rsidRDefault="00DE3FF4" w:rsidP="009222F0">
      <w:pPr>
        <w:pStyle w:val="BodyText"/>
        <w:spacing w:after="120" w:line="274" w:lineRule="auto"/>
        <w:ind w:left="709" w:hanging="709"/>
      </w:pPr>
      <w:r>
        <w:t>Zajac, T., Tomaszewski, W., Perales, F.,</w:t>
      </w:r>
      <w:r w:rsidR="00385712">
        <w:t xml:space="preserve"> &amp;</w:t>
      </w:r>
      <w:r>
        <w:t xml:space="preserve"> Xiang, N. (2023)</w:t>
      </w:r>
      <w:r w:rsidR="00072D71">
        <w:t>.</w:t>
      </w:r>
      <w:r>
        <w:t xml:space="preserve"> Diverging </w:t>
      </w:r>
      <w:r w:rsidR="00CB68EE">
        <w:t>l</w:t>
      </w:r>
      <w:r>
        <w:t xml:space="preserve">abour </w:t>
      </w:r>
      <w:r w:rsidR="00CB68EE">
        <w:t>m</w:t>
      </w:r>
      <w:r>
        <w:t xml:space="preserve">arket </w:t>
      </w:r>
      <w:r w:rsidR="00CB68EE">
        <w:t>t</w:t>
      </w:r>
      <w:r>
        <w:t xml:space="preserve">rajectories of Australian </w:t>
      </w:r>
      <w:r w:rsidR="00CB68EE">
        <w:t>g</w:t>
      </w:r>
      <w:r>
        <w:t xml:space="preserve">raduates from </w:t>
      </w:r>
      <w:r w:rsidR="00CB68EE">
        <w:t>a</w:t>
      </w:r>
      <w:r>
        <w:t xml:space="preserve">dvantaged and </w:t>
      </w:r>
      <w:r w:rsidR="00CB68EE">
        <w:t>d</w:t>
      </w:r>
      <w:r>
        <w:t xml:space="preserve">isadvantaged </w:t>
      </w:r>
      <w:r w:rsidR="00CB68EE">
        <w:t>s</w:t>
      </w:r>
      <w:r>
        <w:t xml:space="preserve">ocial </w:t>
      </w:r>
      <w:r w:rsidR="00CB68EE">
        <w:t>b</w:t>
      </w:r>
      <w:r>
        <w:t xml:space="preserve">ackgrounds: A </w:t>
      </w:r>
      <w:r w:rsidR="00CB68EE">
        <w:t>l</w:t>
      </w:r>
      <w:r>
        <w:t xml:space="preserve">ongitudinal </w:t>
      </w:r>
      <w:r w:rsidR="00CB68EE">
        <w:t>a</w:t>
      </w:r>
      <w:r>
        <w:t xml:space="preserve">nalysis of </w:t>
      </w:r>
      <w:r w:rsidR="00CB68EE">
        <w:t>p</w:t>
      </w:r>
      <w:r>
        <w:t>opulation-</w:t>
      </w:r>
      <w:r w:rsidR="00CB68EE">
        <w:t>w</w:t>
      </w:r>
      <w:r>
        <w:t xml:space="preserve">ide </w:t>
      </w:r>
      <w:r w:rsidR="00CB68EE">
        <w:t>l</w:t>
      </w:r>
      <w:r>
        <w:t xml:space="preserve">inked </w:t>
      </w:r>
      <w:r w:rsidR="00CB68EE">
        <w:t>a</w:t>
      </w:r>
      <w:r>
        <w:t xml:space="preserve">dministrative </w:t>
      </w:r>
      <w:r w:rsidR="00CB68EE">
        <w:t>d</w:t>
      </w:r>
      <w:r>
        <w:t>ata</w:t>
      </w:r>
      <w:r w:rsidR="00F83DB9">
        <w:t>.</w:t>
      </w:r>
      <w:r>
        <w:t xml:space="preserve"> </w:t>
      </w:r>
      <w:r w:rsidRPr="00BE77EB">
        <w:rPr>
          <w:i/>
          <w:iCs/>
        </w:rPr>
        <w:t>International Labour Review</w:t>
      </w:r>
      <w:r w:rsidR="006977D5">
        <w:t>, 162, 561–585.</w:t>
      </w:r>
      <w:r w:rsidR="00F83DB9" w:rsidRPr="00F83DB9">
        <w:rPr>
          <w:rFonts w:ascii="Times New Roman" w:eastAsia="Times New Roman" w:hAnsi="Times New Roman" w:cs="Times New Roman"/>
          <w:sz w:val="24"/>
          <w:szCs w:val="24"/>
          <w:lang w:eastAsia="zh-CN"/>
        </w:rPr>
        <w:t xml:space="preserve"> </w:t>
      </w:r>
      <w:r w:rsidR="00F83DB9" w:rsidRPr="008A4F2B">
        <w:rPr>
          <w:rStyle w:val="Hyperlink"/>
        </w:rPr>
        <w:t>https://doi.org/10.1111/ilr.12391</w:t>
      </w:r>
    </w:p>
    <w:p w14:paraId="678A310A" w14:textId="169ABA00" w:rsidR="00DE3FF4" w:rsidRPr="00FC1BA5" w:rsidRDefault="00DE3FF4" w:rsidP="009222F0">
      <w:pPr>
        <w:pStyle w:val="BodyText"/>
        <w:spacing w:after="120" w:line="274" w:lineRule="auto"/>
        <w:ind w:left="709" w:hanging="709"/>
      </w:pPr>
      <w:r>
        <w:t>Zając, T., Perales, F., Tomaszewski, W.</w:t>
      </w:r>
      <w:r w:rsidR="00486BBF">
        <w:t>, Xiang, N., &amp; Zubrick, S. (2024)</w:t>
      </w:r>
      <w:r>
        <w:t xml:space="preserve">. Student mental health and dropout from higher education: an analysis of Australian administrative data. </w:t>
      </w:r>
      <w:r w:rsidRPr="00BE77EB">
        <w:rPr>
          <w:i/>
          <w:iCs/>
        </w:rPr>
        <w:t>High Educ</w:t>
      </w:r>
      <w:r w:rsidR="00361069" w:rsidRPr="00BE77EB">
        <w:rPr>
          <w:i/>
          <w:iCs/>
        </w:rPr>
        <w:t>ation</w:t>
      </w:r>
      <w:r>
        <w:t xml:space="preserve"> 87, 325–343. </w:t>
      </w:r>
      <w:r w:rsidRPr="008A4F2B">
        <w:rPr>
          <w:rStyle w:val="Hyperlink"/>
        </w:rPr>
        <w:t>https://doi.org/10.1007/s10734-023-01009-9</w:t>
      </w:r>
    </w:p>
    <w:p w14:paraId="725410BF" w14:textId="582B3E6A" w:rsidR="009D6D47" w:rsidRPr="0016620E" w:rsidRDefault="009D6D47" w:rsidP="00FC1BA5">
      <w:pPr>
        <w:pStyle w:val="BodyText"/>
        <w:ind w:left="340" w:hanging="340"/>
      </w:pPr>
      <w:r w:rsidRPr="0016620E">
        <w:br w:type="page"/>
      </w:r>
    </w:p>
    <w:p w14:paraId="1E13724A" w14:textId="53B1C5C4" w:rsidR="00304B5A" w:rsidRPr="0016620E" w:rsidRDefault="000B6F77" w:rsidP="004D121F">
      <w:pPr>
        <w:pStyle w:val="Heading1"/>
      </w:pPr>
      <w:bookmarkStart w:id="80" w:name="_Toc222998783"/>
      <w:r w:rsidRPr="0016620E">
        <w:lastRenderedPageBreak/>
        <w:t>Appendi</w:t>
      </w:r>
      <w:r w:rsidR="00EB7EE3">
        <w:t>x</w:t>
      </w:r>
      <w:bookmarkEnd w:id="80"/>
    </w:p>
    <w:p w14:paraId="5197BED3" w14:textId="1C5928A8" w:rsidR="000B6F77" w:rsidRPr="00FF6BAB" w:rsidRDefault="000B6F77" w:rsidP="009F5F0D">
      <w:pPr>
        <w:spacing w:line="240" w:lineRule="auto"/>
        <w:rPr>
          <w:rFonts w:eastAsia="Arial" w:cs="Arial"/>
          <w:w w:val="105"/>
          <w:kern w:val="0"/>
          <w14:ligatures w14:val="none"/>
        </w:rPr>
      </w:pPr>
      <w:r w:rsidRPr="00FF6BAB">
        <w:rPr>
          <w:rFonts w:eastAsia="Arial" w:cs="Arial"/>
          <w:w w:val="105"/>
          <w:kern w:val="0"/>
          <w14:ligatures w14:val="none"/>
        </w:rPr>
        <w:t xml:space="preserve">Table A1 presents summary statistics </w:t>
      </w:r>
      <w:r w:rsidR="00730E92">
        <w:rPr>
          <w:rFonts w:eastAsia="Arial" w:cs="Arial"/>
          <w:w w:val="105"/>
          <w:kern w:val="0"/>
          <w14:ligatures w14:val="none"/>
        </w:rPr>
        <w:t>on</w:t>
      </w:r>
      <w:r w:rsidRPr="00FF6BAB">
        <w:rPr>
          <w:rFonts w:eastAsia="Arial" w:cs="Arial"/>
          <w:w w:val="105"/>
          <w:kern w:val="0"/>
          <w14:ligatures w14:val="none"/>
        </w:rPr>
        <w:t xml:space="preserve"> </w:t>
      </w:r>
      <w:r w:rsidR="00E20952" w:rsidRPr="00FF6BAB">
        <w:rPr>
          <w:rFonts w:eastAsia="Arial" w:cs="Arial"/>
          <w:w w:val="105"/>
          <w:kern w:val="0"/>
          <w14:ligatures w14:val="none"/>
        </w:rPr>
        <w:t xml:space="preserve">labour market </w:t>
      </w:r>
      <w:r w:rsidRPr="00FF6BAB">
        <w:rPr>
          <w:rFonts w:eastAsia="Arial" w:cs="Arial"/>
          <w:w w:val="105"/>
          <w:kern w:val="0"/>
          <w14:ligatures w14:val="none"/>
        </w:rPr>
        <w:t xml:space="preserve">outcomes by multidimensional </w:t>
      </w:r>
      <w:r w:rsidR="0097512D">
        <w:rPr>
          <w:rFonts w:eastAsia="Arial" w:cs="Arial"/>
          <w:w w:val="105"/>
          <w:kern w:val="0"/>
          <w14:ligatures w14:val="none"/>
        </w:rPr>
        <w:t>socio-economic</w:t>
      </w:r>
      <w:r w:rsidR="00090690" w:rsidRPr="00BC1650">
        <w:rPr>
          <w:rFonts w:eastAsia="Arial" w:cs="Arial"/>
          <w:w w:val="105"/>
          <w:kern w:val="0"/>
          <w14:ligatures w14:val="none"/>
        </w:rPr>
        <w:t xml:space="preserve"> background</w:t>
      </w:r>
      <w:r w:rsidRPr="00FF6BAB">
        <w:rPr>
          <w:rFonts w:eastAsia="Arial" w:cs="Arial"/>
          <w:w w:val="105"/>
          <w:kern w:val="0"/>
          <w14:ligatures w14:val="none"/>
        </w:rPr>
        <w:t>.</w:t>
      </w:r>
    </w:p>
    <w:p w14:paraId="45BC4258" w14:textId="237980A3" w:rsidR="00304B5A" w:rsidRPr="0016620E" w:rsidRDefault="004C50ED" w:rsidP="009F5F0D">
      <w:pPr>
        <w:spacing w:line="240" w:lineRule="auto"/>
        <w:rPr>
          <w:rFonts w:eastAsia="Times New Roman" w:cs="Arial"/>
          <w:color w:val="6B3B57"/>
          <w:sz w:val="52"/>
          <w:szCs w:val="40"/>
          <w:lang w:eastAsia="en-AU"/>
        </w:rPr>
      </w:pPr>
      <w:r w:rsidRPr="00FF6BAB">
        <w:rPr>
          <w:rFonts w:eastAsia="Arial" w:cs="Arial"/>
          <w:w w:val="105"/>
          <w:kern w:val="0"/>
          <w14:ligatures w14:val="none"/>
        </w:rPr>
        <w:t xml:space="preserve">Table </w:t>
      </w:r>
      <w:r w:rsidR="000B6F77" w:rsidRPr="00FF6BAB">
        <w:rPr>
          <w:rFonts w:eastAsia="Arial" w:cs="Arial"/>
          <w:w w:val="105"/>
          <w:kern w:val="0"/>
          <w14:ligatures w14:val="none"/>
        </w:rPr>
        <w:t xml:space="preserve">A2 </w:t>
      </w:r>
      <w:r w:rsidR="00035FE6" w:rsidRPr="00FF6BAB">
        <w:rPr>
          <w:rFonts w:eastAsia="Arial" w:cs="Arial"/>
          <w:w w:val="105"/>
          <w:kern w:val="0"/>
          <w14:ligatures w14:val="none"/>
        </w:rPr>
        <w:t>show</w:t>
      </w:r>
      <w:r w:rsidRPr="00FF6BAB">
        <w:rPr>
          <w:rFonts w:eastAsia="Arial" w:cs="Arial"/>
          <w:w w:val="105"/>
          <w:kern w:val="0"/>
          <w14:ligatures w14:val="none"/>
        </w:rPr>
        <w:t>s</w:t>
      </w:r>
      <w:r w:rsidR="000A7B8C" w:rsidRPr="00FF6BAB">
        <w:rPr>
          <w:rFonts w:eastAsia="Arial" w:cs="Arial"/>
          <w:w w:val="105"/>
          <w:kern w:val="0"/>
          <w14:ligatures w14:val="none"/>
        </w:rPr>
        <w:t xml:space="preserve"> the distribution of 15 detailed fields of study </w:t>
      </w:r>
      <w:r w:rsidR="000B6F77" w:rsidRPr="00FF6BAB">
        <w:rPr>
          <w:rFonts w:eastAsia="Arial" w:cs="Arial"/>
          <w:w w:val="105"/>
          <w:kern w:val="0"/>
          <w14:ligatures w14:val="none"/>
        </w:rPr>
        <w:t>by</w:t>
      </w:r>
      <w:r w:rsidR="000A7B8C" w:rsidRPr="00FF6BAB">
        <w:rPr>
          <w:rFonts w:eastAsia="Arial" w:cs="Arial"/>
          <w:w w:val="105"/>
          <w:kern w:val="0"/>
          <w14:ligatures w14:val="none"/>
        </w:rPr>
        <w:t xml:space="preserve"> multidimensional </w:t>
      </w:r>
      <w:r w:rsidR="0097512D">
        <w:rPr>
          <w:rFonts w:eastAsia="Arial" w:cs="Arial"/>
          <w:w w:val="105"/>
          <w:kern w:val="0"/>
          <w14:ligatures w14:val="none"/>
        </w:rPr>
        <w:t>socio-economic</w:t>
      </w:r>
      <w:r w:rsidR="00090690" w:rsidRPr="00BC1650">
        <w:rPr>
          <w:rFonts w:eastAsia="Arial" w:cs="Arial"/>
          <w:w w:val="105"/>
          <w:kern w:val="0"/>
          <w14:ligatures w14:val="none"/>
        </w:rPr>
        <w:t xml:space="preserve"> background</w:t>
      </w:r>
      <w:r w:rsidR="000A7B8C" w:rsidRPr="00FF6BAB">
        <w:rPr>
          <w:rFonts w:eastAsia="Arial" w:cs="Arial"/>
          <w:w w:val="105"/>
          <w:kern w:val="0"/>
          <w14:ligatures w14:val="none"/>
        </w:rPr>
        <w:t>.</w:t>
      </w:r>
      <w:r w:rsidR="00304B5A" w:rsidRPr="0016620E">
        <w:rPr>
          <w:rFonts w:cs="Arial"/>
        </w:rPr>
        <w:br w:type="page"/>
      </w:r>
    </w:p>
    <w:p w14:paraId="5E6FB76A" w14:textId="77777777" w:rsidR="00304B5A" w:rsidRPr="0016620E" w:rsidRDefault="00304B5A" w:rsidP="00304B5A">
      <w:pPr>
        <w:pStyle w:val="Heading1"/>
        <w:numPr>
          <w:ilvl w:val="0"/>
          <w:numId w:val="0"/>
        </w:numPr>
        <w:ind w:left="851" w:hanging="851"/>
        <w:sectPr w:rsidR="00304B5A" w:rsidRPr="0016620E" w:rsidSect="00093ABD">
          <w:pgSz w:w="11906" w:h="16838"/>
          <w:pgMar w:top="1440" w:right="1440" w:bottom="1440" w:left="1440" w:header="708" w:footer="397" w:gutter="0"/>
          <w:pgNumType w:start="1"/>
          <w:cols w:space="708"/>
          <w:docGrid w:linePitch="360"/>
        </w:sectPr>
      </w:pPr>
    </w:p>
    <w:p w14:paraId="65BE1B9E" w14:textId="7D9E7007" w:rsidR="00304B5A" w:rsidRPr="00BF48E1" w:rsidRDefault="00A42DC8" w:rsidP="00BF48E1">
      <w:pPr>
        <w:pStyle w:val="Caption"/>
        <w:rPr>
          <w:rFonts w:cs="Arial"/>
          <w:color w:val="080808"/>
        </w:rPr>
      </w:pPr>
      <w:bookmarkStart w:id="81" w:name="_Toc222998794"/>
      <w:bookmarkStart w:id="82" w:name="_Toc191458052"/>
      <w:bookmarkStart w:id="83" w:name="_Toc191458144"/>
      <w:r w:rsidRPr="00BF48E1">
        <w:lastRenderedPageBreak/>
        <w:t>Table A</w:t>
      </w:r>
      <w:r w:rsidRPr="00BF48E1">
        <w:fldChar w:fldCharType="begin"/>
      </w:r>
      <w:r w:rsidRPr="00BF48E1">
        <w:instrText xml:space="preserve"> SEQ Table_A \* ARABIC </w:instrText>
      </w:r>
      <w:r w:rsidRPr="00BF48E1">
        <w:fldChar w:fldCharType="separate"/>
      </w:r>
      <w:r w:rsidR="00392C8C" w:rsidRPr="00BF48E1">
        <w:rPr>
          <w:noProof/>
        </w:rPr>
        <w:t>1</w:t>
      </w:r>
      <w:r w:rsidRPr="00BF48E1">
        <w:fldChar w:fldCharType="end"/>
      </w:r>
      <w:r w:rsidR="00CF6C8B" w:rsidRPr="00BF48E1">
        <w:t xml:space="preserve">: </w:t>
      </w:r>
      <w:r w:rsidR="004C5400" w:rsidRPr="00BF48E1">
        <w:rPr>
          <w:rFonts w:cs="Arial"/>
          <w:color w:val="000000"/>
        </w:rPr>
        <w:t xml:space="preserve">Labour market </w:t>
      </w:r>
      <w:r w:rsidR="006247ED" w:rsidRPr="00BF48E1">
        <w:rPr>
          <w:rFonts w:cs="Arial"/>
          <w:color w:val="000000"/>
        </w:rPr>
        <w:t>outcomes</w:t>
      </w:r>
      <w:r w:rsidR="00304B5A" w:rsidRPr="00BF48E1">
        <w:rPr>
          <w:rFonts w:cs="Arial"/>
          <w:color w:val="000000"/>
        </w:rPr>
        <w:t xml:space="preserve"> by </w:t>
      </w:r>
      <w:r w:rsidR="0097512D">
        <w:rPr>
          <w:rFonts w:cs="Arial"/>
          <w:color w:val="000000"/>
        </w:rPr>
        <w:t>socio-economic</w:t>
      </w:r>
      <w:r w:rsidR="005E11B3" w:rsidRPr="00BF48E1">
        <w:rPr>
          <w:rFonts w:cs="Arial"/>
          <w:color w:val="000000"/>
        </w:rPr>
        <w:t xml:space="preserve"> background</w:t>
      </w:r>
      <w:bookmarkEnd w:id="81"/>
      <w:r w:rsidR="005E11B3" w:rsidRPr="00667309">
        <w:rPr>
          <w:w w:val="105"/>
        </w:rPr>
        <w:t xml:space="preserve"> </w:t>
      </w:r>
      <w:bookmarkEnd w:id="82"/>
      <w:bookmarkEnd w:id="83"/>
    </w:p>
    <w:tbl>
      <w:tblPr>
        <w:tblStyle w:val="TableGrid"/>
        <w:tblW w:w="14175" w:type="dxa"/>
        <w:tblBorders>
          <w:left w:val="none" w:sz="0" w:space="0" w:color="auto"/>
          <w:right w:val="none" w:sz="0" w:space="0" w:color="auto"/>
        </w:tblBorders>
        <w:tblLayout w:type="fixed"/>
        <w:tblLook w:val="04A0" w:firstRow="1" w:lastRow="0" w:firstColumn="1" w:lastColumn="0" w:noHBand="0" w:noVBand="1"/>
      </w:tblPr>
      <w:tblGrid>
        <w:gridCol w:w="2835"/>
        <w:gridCol w:w="1134"/>
        <w:gridCol w:w="1134"/>
        <w:gridCol w:w="1134"/>
        <w:gridCol w:w="1134"/>
        <w:gridCol w:w="1134"/>
        <w:gridCol w:w="1134"/>
        <w:gridCol w:w="1134"/>
        <w:gridCol w:w="1134"/>
        <w:gridCol w:w="1134"/>
        <w:gridCol w:w="1134"/>
      </w:tblGrid>
      <w:tr w:rsidR="007A203F" w:rsidRPr="0016620E" w14:paraId="23577A7E" w14:textId="77777777" w:rsidTr="0083335C">
        <w:tc>
          <w:tcPr>
            <w:tcW w:w="2835" w:type="dxa"/>
            <w:vMerge w:val="restart"/>
            <w:tcBorders>
              <w:right w:val="nil"/>
            </w:tcBorders>
            <w:shd w:val="clear" w:color="auto" w:fill="78DED9" w:themeFill="accent1"/>
            <w:vAlign w:val="bottom"/>
          </w:tcPr>
          <w:p w14:paraId="49367089" w14:textId="15089F22" w:rsidR="00304B5A" w:rsidRPr="004118FC" w:rsidRDefault="00304B5A" w:rsidP="002F5837">
            <w:pPr>
              <w:spacing w:after="120" w:line="240" w:lineRule="auto"/>
              <w:rPr>
                <w:rFonts w:eastAsiaTheme="majorEastAsia" w:cs="Arial"/>
                <w:b/>
                <w:bCs/>
                <w:color w:val="351C26" w:themeColor="text1"/>
                <w:lang w:val="en-US"/>
                <w14:ligatures w14:val="none"/>
              </w:rPr>
            </w:pPr>
          </w:p>
        </w:tc>
        <w:tc>
          <w:tcPr>
            <w:tcW w:w="2268" w:type="dxa"/>
            <w:gridSpan w:val="2"/>
            <w:tcBorders>
              <w:left w:val="nil"/>
              <w:bottom w:val="single" w:sz="4" w:space="0" w:color="auto"/>
              <w:right w:val="nil"/>
            </w:tcBorders>
            <w:shd w:val="clear" w:color="auto" w:fill="78DED9" w:themeFill="accent1"/>
          </w:tcPr>
          <w:p w14:paraId="48882670" w14:textId="77777777" w:rsidR="00304B5A" w:rsidRPr="004118FC" w:rsidRDefault="00304B5A" w:rsidP="002F5837">
            <w:pPr>
              <w:spacing w:after="120" w:line="240" w:lineRule="auto"/>
              <w:rPr>
                <w:rFonts w:eastAsiaTheme="majorEastAsia" w:cs="Arial"/>
                <w:b/>
                <w:bCs/>
                <w:color w:val="351C26" w:themeColor="text1"/>
                <w:lang w:val="en-US"/>
                <w14:ligatures w14:val="none"/>
              </w:rPr>
            </w:pPr>
            <w:r w:rsidRPr="004118FC">
              <w:rPr>
                <w:rFonts w:eastAsiaTheme="majorEastAsia" w:cs="Arial"/>
                <w:b/>
                <w:bCs/>
                <w:color w:val="351C26" w:themeColor="text1"/>
                <w:lang w:val="en-US"/>
                <w14:ligatures w14:val="none"/>
              </w:rPr>
              <w:t>Indigenous</w:t>
            </w:r>
          </w:p>
        </w:tc>
        <w:tc>
          <w:tcPr>
            <w:tcW w:w="2268" w:type="dxa"/>
            <w:gridSpan w:val="2"/>
            <w:tcBorders>
              <w:left w:val="nil"/>
              <w:bottom w:val="single" w:sz="4" w:space="0" w:color="auto"/>
              <w:right w:val="nil"/>
            </w:tcBorders>
            <w:shd w:val="clear" w:color="auto" w:fill="78DED9" w:themeFill="accent1"/>
          </w:tcPr>
          <w:p w14:paraId="2A377B65" w14:textId="77777777" w:rsidR="00304B5A" w:rsidRPr="004118FC" w:rsidRDefault="00304B5A" w:rsidP="002F5837">
            <w:pPr>
              <w:spacing w:after="120" w:line="240" w:lineRule="auto"/>
              <w:rPr>
                <w:rFonts w:eastAsiaTheme="majorEastAsia" w:cs="Arial"/>
                <w:b/>
                <w:bCs/>
                <w:color w:val="351C26" w:themeColor="text1"/>
                <w:lang w:val="en-US"/>
                <w14:ligatures w14:val="none"/>
              </w:rPr>
            </w:pPr>
            <w:r w:rsidRPr="004118FC">
              <w:rPr>
                <w:rFonts w:eastAsiaTheme="majorEastAsia" w:cs="Arial"/>
                <w:b/>
                <w:bCs/>
                <w:color w:val="351C26" w:themeColor="text1"/>
                <w:lang w:val="en-US"/>
                <w14:ligatures w14:val="none"/>
              </w:rPr>
              <w:t>NESB</w:t>
            </w:r>
          </w:p>
        </w:tc>
        <w:tc>
          <w:tcPr>
            <w:tcW w:w="2268" w:type="dxa"/>
            <w:gridSpan w:val="2"/>
            <w:tcBorders>
              <w:left w:val="nil"/>
              <w:bottom w:val="single" w:sz="4" w:space="0" w:color="auto"/>
              <w:right w:val="nil"/>
            </w:tcBorders>
            <w:shd w:val="clear" w:color="auto" w:fill="78DED9" w:themeFill="accent1"/>
          </w:tcPr>
          <w:p w14:paraId="2D8589F7" w14:textId="539D9D33" w:rsidR="00304B5A" w:rsidRPr="004118FC" w:rsidRDefault="00BF057E" w:rsidP="002F5837">
            <w:pPr>
              <w:spacing w:after="120" w:line="240" w:lineRule="auto"/>
              <w:rPr>
                <w:rFonts w:eastAsiaTheme="majorEastAsia" w:cs="Arial"/>
                <w:b/>
                <w:bCs/>
                <w:color w:val="351C26" w:themeColor="text1"/>
                <w:lang w:val="en-US"/>
                <w14:ligatures w14:val="none"/>
              </w:rPr>
            </w:pPr>
            <w:r w:rsidRPr="004118FC">
              <w:rPr>
                <w:rFonts w:eastAsia="Arial" w:cs="Arial"/>
                <w:b/>
                <w:bCs/>
                <w:w w:val="105"/>
                <w14:ligatures w14:val="none"/>
              </w:rPr>
              <w:t>Low SES in childhood</w:t>
            </w:r>
          </w:p>
        </w:tc>
        <w:tc>
          <w:tcPr>
            <w:tcW w:w="2268" w:type="dxa"/>
            <w:gridSpan w:val="2"/>
            <w:tcBorders>
              <w:left w:val="nil"/>
              <w:bottom w:val="single" w:sz="4" w:space="0" w:color="auto"/>
              <w:right w:val="nil"/>
            </w:tcBorders>
            <w:shd w:val="clear" w:color="auto" w:fill="78DED9" w:themeFill="accent1"/>
          </w:tcPr>
          <w:p w14:paraId="770A8C03" w14:textId="77777777" w:rsidR="00304B5A" w:rsidRPr="004118FC" w:rsidRDefault="00304B5A" w:rsidP="002F5837">
            <w:pPr>
              <w:spacing w:after="120" w:line="240" w:lineRule="auto"/>
              <w:rPr>
                <w:rFonts w:eastAsiaTheme="majorEastAsia" w:cs="Arial"/>
                <w:b/>
                <w:bCs/>
                <w:color w:val="351C26" w:themeColor="text1"/>
                <w:lang w:val="en-US"/>
                <w14:ligatures w14:val="none"/>
              </w:rPr>
            </w:pPr>
            <w:r w:rsidRPr="004118FC">
              <w:rPr>
                <w:rFonts w:eastAsiaTheme="majorEastAsia" w:cs="Arial"/>
                <w:b/>
                <w:bCs/>
                <w:color w:val="351C26" w:themeColor="text1"/>
                <w:lang w:val="en-US"/>
                <w14:ligatures w14:val="none"/>
              </w:rPr>
              <w:t xml:space="preserve">Father unemployed for 6+ months </w:t>
            </w:r>
          </w:p>
        </w:tc>
        <w:tc>
          <w:tcPr>
            <w:tcW w:w="2268" w:type="dxa"/>
            <w:gridSpan w:val="2"/>
            <w:tcBorders>
              <w:left w:val="nil"/>
              <w:bottom w:val="single" w:sz="4" w:space="0" w:color="auto"/>
            </w:tcBorders>
            <w:shd w:val="clear" w:color="auto" w:fill="78DED9" w:themeFill="accent1"/>
          </w:tcPr>
          <w:p w14:paraId="6AAA53A3" w14:textId="77777777" w:rsidR="00304B5A" w:rsidRPr="004118FC" w:rsidRDefault="00304B5A" w:rsidP="002F5837">
            <w:pPr>
              <w:spacing w:after="120" w:line="240" w:lineRule="auto"/>
              <w:rPr>
                <w:rFonts w:eastAsiaTheme="majorEastAsia" w:cs="Arial"/>
                <w:b/>
                <w:bCs/>
                <w:color w:val="351C26" w:themeColor="text1"/>
                <w:lang w:val="en-US"/>
                <w14:ligatures w14:val="none"/>
              </w:rPr>
            </w:pPr>
            <w:r w:rsidRPr="004118FC">
              <w:rPr>
                <w:rFonts w:eastAsiaTheme="majorEastAsia" w:cs="Arial"/>
                <w:b/>
                <w:bCs/>
                <w:color w:val="351C26" w:themeColor="text1"/>
                <w:lang w:val="en-US"/>
                <w14:ligatures w14:val="none"/>
              </w:rPr>
              <w:t>Single-parent family</w:t>
            </w:r>
          </w:p>
        </w:tc>
      </w:tr>
      <w:tr w:rsidR="007A203F" w:rsidRPr="0016620E" w14:paraId="478F1F72" w14:textId="77777777" w:rsidTr="0083335C">
        <w:tc>
          <w:tcPr>
            <w:tcW w:w="2835" w:type="dxa"/>
            <w:vMerge/>
            <w:tcBorders>
              <w:bottom w:val="single" w:sz="4" w:space="0" w:color="auto"/>
              <w:right w:val="nil"/>
            </w:tcBorders>
            <w:shd w:val="clear" w:color="auto" w:fill="78DED9" w:themeFill="accent1"/>
          </w:tcPr>
          <w:p w14:paraId="6E030B4A" w14:textId="77777777" w:rsidR="00304B5A" w:rsidRPr="004118FC" w:rsidRDefault="00304B5A" w:rsidP="002F5837">
            <w:pPr>
              <w:spacing w:after="120" w:line="240" w:lineRule="auto"/>
              <w:rPr>
                <w:rFonts w:eastAsiaTheme="majorEastAsia" w:cs="Arial"/>
                <w:b/>
                <w:bCs/>
                <w:color w:val="351C26" w:themeColor="text1"/>
                <w:lang w:val="en-US"/>
                <w14:ligatures w14:val="none"/>
              </w:rPr>
            </w:pPr>
          </w:p>
        </w:tc>
        <w:tc>
          <w:tcPr>
            <w:tcW w:w="1134" w:type="dxa"/>
            <w:tcBorders>
              <w:left w:val="nil"/>
              <w:bottom w:val="single" w:sz="4" w:space="0" w:color="auto"/>
              <w:right w:val="nil"/>
            </w:tcBorders>
            <w:shd w:val="clear" w:color="auto" w:fill="78DED9" w:themeFill="accent1"/>
          </w:tcPr>
          <w:p w14:paraId="05D4F5B8" w14:textId="77777777" w:rsidR="00304B5A" w:rsidRPr="004118FC" w:rsidRDefault="00304B5A" w:rsidP="002F5837">
            <w:pPr>
              <w:spacing w:after="120" w:line="240" w:lineRule="auto"/>
              <w:rPr>
                <w:rFonts w:eastAsiaTheme="majorEastAsia" w:cs="Arial"/>
                <w:b/>
                <w:bCs/>
                <w:color w:val="351C26" w:themeColor="text1"/>
                <w:lang w:val="en-US"/>
                <w14:ligatures w14:val="none"/>
              </w:rPr>
            </w:pPr>
            <w:r w:rsidRPr="004118FC">
              <w:rPr>
                <w:rFonts w:eastAsiaTheme="majorEastAsia" w:cs="Arial"/>
                <w:b/>
                <w:bCs/>
                <w:color w:val="351C26" w:themeColor="text1"/>
                <w:lang w:val="en-US"/>
                <w14:ligatures w14:val="none"/>
              </w:rPr>
              <w:t>Yes</w:t>
            </w:r>
          </w:p>
        </w:tc>
        <w:tc>
          <w:tcPr>
            <w:tcW w:w="1134" w:type="dxa"/>
            <w:tcBorders>
              <w:left w:val="nil"/>
              <w:bottom w:val="single" w:sz="4" w:space="0" w:color="auto"/>
              <w:right w:val="nil"/>
            </w:tcBorders>
            <w:shd w:val="clear" w:color="auto" w:fill="78DED9" w:themeFill="accent1"/>
          </w:tcPr>
          <w:p w14:paraId="55E3539B" w14:textId="77777777" w:rsidR="00304B5A" w:rsidRPr="004118FC" w:rsidRDefault="00304B5A" w:rsidP="002F5837">
            <w:pPr>
              <w:spacing w:after="120" w:line="240" w:lineRule="auto"/>
              <w:rPr>
                <w:rFonts w:eastAsiaTheme="majorEastAsia" w:cs="Arial"/>
                <w:b/>
                <w:bCs/>
                <w:color w:val="351C26" w:themeColor="text1"/>
                <w:lang w:val="en-US"/>
                <w14:ligatures w14:val="none"/>
              </w:rPr>
            </w:pPr>
            <w:r w:rsidRPr="004118FC">
              <w:rPr>
                <w:rFonts w:eastAsiaTheme="majorEastAsia" w:cs="Arial"/>
                <w:b/>
                <w:bCs/>
                <w:color w:val="351C26" w:themeColor="text1"/>
                <w:lang w:val="en-US"/>
                <w14:ligatures w14:val="none"/>
              </w:rPr>
              <w:t>No</w:t>
            </w:r>
          </w:p>
        </w:tc>
        <w:tc>
          <w:tcPr>
            <w:tcW w:w="1134" w:type="dxa"/>
            <w:tcBorders>
              <w:left w:val="nil"/>
              <w:bottom w:val="single" w:sz="4" w:space="0" w:color="auto"/>
              <w:right w:val="nil"/>
            </w:tcBorders>
            <w:shd w:val="clear" w:color="auto" w:fill="78DED9" w:themeFill="accent1"/>
          </w:tcPr>
          <w:p w14:paraId="0D0B5141" w14:textId="77777777" w:rsidR="00304B5A" w:rsidRPr="004118FC" w:rsidRDefault="00304B5A" w:rsidP="002F5837">
            <w:pPr>
              <w:spacing w:after="120" w:line="240" w:lineRule="auto"/>
              <w:rPr>
                <w:rFonts w:eastAsiaTheme="majorEastAsia" w:cs="Arial"/>
                <w:b/>
                <w:bCs/>
                <w:color w:val="351C26" w:themeColor="text1"/>
                <w:lang w:val="en-US"/>
                <w14:ligatures w14:val="none"/>
              </w:rPr>
            </w:pPr>
            <w:r w:rsidRPr="004118FC">
              <w:rPr>
                <w:rFonts w:eastAsiaTheme="majorEastAsia" w:cs="Arial"/>
                <w:b/>
                <w:bCs/>
                <w:color w:val="351C26" w:themeColor="text1"/>
                <w:lang w:val="en-US"/>
                <w14:ligatures w14:val="none"/>
              </w:rPr>
              <w:t>Yes</w:t>
            </w:r>
          </w:p>
        </w:tc>
        <w:tc>
          <w:tcPr>
            <w:tcW w:w="1134" w:type="dxa"/>
            <w:tcBorders>
              <w:left w:val="nil"/>
              <w:bottom w:val="single" w:sz="4" w:space="0" w:color="auto"/>
              <w:right w:val="nil"/>
            </w:tcBorders>
            <w:shd w:val="clear" w:color="auto" w:fill="78DED9" w:themeFill="accent1"/>
          </w:tcPr>
          <w:p w14:paraId="0638EC54" w14:textId="77777777" w:rsidR="00304B5A" w:rsidRPr="004118FC" w:rsidRDefault="00304B5A" w:rsidP="002F5837">
            <w:pPr>
              <w:spacing w:after="120" w:line="240" w:lineRule="auto"/>
              <w:rPr>
                <w:rFonts w:eastAsiaTheme="majorEastAsia" w:cs="Arial"/>
                <w:b/>
                <w:bCs/>
                <w:color w:val="351C26" w:themeColor="text1"/>
                <w:lang w:val="en-US"/>
                <w14:ligatures w14:val="none"/>
              </w:rPr>
            </w:pPr>
            <w:r w:rsidRPr="004118FC">
              <w:rPr>
                <w:rFonts w:eastAsiaTheme="majorEastAsia" w:cs="Arial"/>
                <w:b/>
                <w:bCs/>
                <w:color w:val="351C26" w:themeColor="text1"/>
                <w:lang w:val="en-US"/>
                <w14:ligatures w14:val="none"/>
              </w:rPr>
              <w:t>No</w:t>
            </w:r>
          </w:p>
        </w:tc>
        <w:tc>
          <w:tcPr>
            <w:tcW w:w="1134" w:type="dxa"/>
            <w:tcBorders>
              <w:left w:val="nil"/>
              <w:bottom w:val="single" w:sz="4" w:space="0" w:color="auto"/>
              <w:right w:val="nil"/>
            </w:tcBorders>
            <w:shd w:val="clear" w:color="auto" w:fill="78DED9" w:themeFill="accent1"/>
          </w:tcPr>
          <w:p w14:paraId="50CF1174" w14:textId="77777777" w:rsidR="00304B5A" w:rsidRPr="004118FC" w:rsidRDefault="00304B5A" w:rsidP="002F5837">
            <w:pPr>
              <w:spacing w:after="120" w:line="240" w:lineRule="auto"/>
              <w:rPr>
                <w:rFonts w:eastAsiaTheme="majorEastAsia" w:cs="Arial"/>
                <w:b/>
                <w:bCs/>
                <w:color w:val="351C26" w:themeColor="text1"/>
                <w:lang w:val="en-US"/>
                <w14:ligatures w14:val="none"/>
              </w:rPr>
            </w:pPr>
            <w:r w:rsidRPr="004118FC">
              <w:rPr>
                <w:rFonts w:eastAsiaTheme="majorEastAsia" w:cs="Arial"/>
                <w:b/>
                <w:bCs/>
                <w:color w:val="351C26" w:themeColor="text1"/>
                <w:lang w:val="en-US"/>
                <w14:ligatures w14:val="none"/>
              </w:rPr>
              <w:t>Yes</w:t>
            </w:r>
          </w:p>
        </w:tc>
        <w:tc>
          <w:tcPr>
            <w:tcW w:w="1134" w:type="dxa"/>
            <w:tcBorders>
              <w:left w:val="nil"/>
              <w:bottom w:val="single" w:sz="4" w:space="0" w:color="auto"/>
              <w:right w:val="nil"/>
            </w:tcBorders>
            <w:shd w:val="clear" w:color="auto" w:fill="78DED9" w:themeFill="accent1"/>
          </w:tcPr>
          <w:p w14:paraId="32DD7F29" w14:textId="77777777" w:rsidR="00304B5A" w:rsidRPr="004118FC" w:rsidRDefault="00304B5A" w:rsidP="002F5837">
            <w:pPr>
              <w:spacing w:after="120" w:line="240" w:lineRule="auto"/>
              <w:rPr>
                <w:rFonts w:eastAsiaTheme="majorEastAsia" w:cs="Arial"/>
                <w:b/>
                <w:bCs/>
                <w:color w:val="351C26" w:themeColor="text1"/>
                <w:lang w:val="en-US"/>
                <w14:ligatures w14:val="none"/>
              </w:rPr>
            </w:pPr>
            <w:r w:rsidRPr="004118FC">
              <w:rPr>
                <w:rFonts w:eastAsiaTheme="majorEastAsia" w:cs="Arial"/>
                <w:b/>
                <w:bCs/>
                <w:color w:val="351C26" w:themeColor="text1"/>
                <w:lang w:val="en-US"/>
                <w14:ligatures w14:val="none"/>
              </w:rPr>
              <w:t>No</w:t>
            </w:r>
          </w:p>
        </w:tc>
        <w:tc>
          <w:tcPr>
            <w:tcW w:w="1134" w:type="dxa"/>
            <w:tcBorders>
              <w:left w:val="nil"/>
              <w:bottom w:val="single" w:sz="4" w:space="0" w:color="auto"/>
              <w:right w:val="nil"/>
            </w:tcBorders>
            <w:shd w:val="clear" w:color="auto" w:fill="78DED9" w:themeFill="accent1"/>
          </w:tcPr>
          <w:p w14:paraId="76641092" w14:textId="77777777" w:rsidR="00304B5A" w:rsidRPr="004118FC" w:rsidRDefault="00304B5A" w:rsidP="002F5837">
            <w:pPr>
              <w:spacing w:after="120" w:line="240" w:lineRule="auto"/>
              <w:rPr>
                <w:rFonts w:eastAsiaTheme="majorEastAsia" w:cs="Arial"/>
                <w:b/>
                <w:bCs/>
                <w:color w:val="351C26" w:themeColor="text1"/>
                <w:lang w:val="en-US"/>
                <w14:ligatures w14:val="none"/>
              </w:rPr>
            </w:pPr>
            <w:r w:rsidRPr="004118FC">
              <w:rPr>
                <w:rFonts w:eastAsiaTheme="majorEastAsia" w:cs="Arial"/>
                <w:b/>
                <w:bCs/>
                <w:color w:val="351C26" w:themeColor="text1"/>
                <w:lang w:val="en-US"/>
                <w14:ligatures w14:val="none"/>
              </w:rPr>
              <w:t>Yes</w:t>
            </w:r>
          </w:p>
        </w:tc>
        <w:tc>
          <w:tcPr>
            <w:tcW w:w="1134" w:type="dxa"/>
            <w:tcBorders>
              <w:left w:val="nil"/>
              <w:bottom w:val="single" w:sz="4" w:space="0" w:color="auto"/>
              <w:right w:val="nil"/>
            </w:tcBorders>
            <w:shd w:val="clear" w:color="auto" w:fill="78DED9" w:themeFill="accent1"/>
          </w:tcPr>
          <w:p w14:paraId="77DCB895" w14:textId="77777777" w:rsidR="00304B5A" w:rsidRPr="004118FC" w:rsidRDefault="00304B5A" w:rsidP="002F5837">
            <w:pPr>
              <w:spacing w:after="120" w:line="240" w:lineRule="auto"/>
              <w:rPr>
                <w:rFonts w:eastAsiaTheme="majorEastAsia" w:cs="Arial"/>
                <w:b/>
                <w:bCs/>
                <w:color w:val="351C26" w:themeColor="text1"/>
                <w:lang w:val="en-US"/>
                <w14:ligatures w14:val="none"/>
              </w:rPr>
            </w:pPr>
            <w:r w:rsidRPr="004118FC">
              <w:rPr>
                <w:rFonts w:eastAsiaTheme="majorEastAsia" w:cs="Arial"/>
                <w:b/>
                <w:bCs/>
                <w:color w:val="351C26" w:themeColor="text1"/>
                <w:lang w:val="en-US"/>
                <w14:ligatures w14:val="none"/>
              </w:rPr>
              <w:t>No</w:t>
            </w:r>
          </w:p>
        </w:tc>
        <w:tc>
          <w:tcPr>
            <w:tcW w:w="1134" w:type="dxa"/>
            <w:tcBorders>
              <w:left w:val="nil"/>
              <w:bottom w:val="single" w:sz="4" w:space="0" w:color="auto"/>
              <w:right w:val="nil"/>
            </w:tcBorders>
            <w:shd w:val="clear" w:color="auto" w:fill="78DED9" w:themeFill="accent1"/>
          </w:tcPr>
          <w:p w14:paraId="69A21C98" w14:textId="77777777" w:rsidR="00304B5A" w:rsidRPr="004118FC" w:rsidRDefault="00304B5A" w:rsidP="002F5837">
            <w:pPr>
              <w:spacing w:after="120" w:line="240" w:lineRule="auto"/>
              <w:rPr>
                <w:rFonts w:eastAsiaTheme="majorEastAsia" w:cs="Arial"/>
                <w:b/>
                <w:bCs/>
                <w:color w:val="351C26" w:themeColor="text1"/>
                <w:lang w:val="en-US"/>
                <w14:ligatures w14:val="none"/>
              </w:rPr>
            </w:pPr>
            <w:r w:rsidRPr="004118FC">
              <w:rPr>
                <w:rFonts w:eastAsiaTheme="majorEastAsia" w:cs="Arial"/>
                <w:b/>
                <w:bCs/>
                <w:color w:val="351C26" w:themeColor="text1"/>
                <w:lang w:val="en-US"/>
                <w14:ligatures w14:val="none"/>
              </w:rPr>
              <w:t>Yes</w:t>
            </w:r>
          </w:p>
        </w:tc>
        <w:tc>
          <w:tcPr>
            <w:tcW w:w="1134" w:type="dxa"/>
            <w:tcBorders>
              <w:left w:val="nil"/>
              <w:bottom w:val="single" w:sz="4" w:space="0" w:color="auto"/>
            </w:tcBorders>
            <w:shd w:val="clear" w:color="auto" w:fill="78DED9" w:themeFill="accent1"/>
          </w:tcPr>
          <w:p w14:paraId="0B2FE5CA" w14:textId="77777777" w:rsidR="00304B5A" w:rsidRPr="004118FC" w:rsidRDefault="00304B5A" w:rsidP="002F5837">
            <w:pPr>
              <w:spacing w:after="120" w:line="240" w:lineRule="auto"/>
              <w:rPr>
                <w:rFonts w:eastAsiaTheme="majorEastAsia" w:cs="Arial"/>
                <w:b/>
                <w:bCs/>
                <w:color w:val="351C26" w:themeColor="text1"/>
                <w:lang w:val="en-US"/>
                <w14:ligatures w14:val="none"/>
              </w:rPr>
            </w:pPr>
            <w:r w:rsidRPr="004118FC">
              <w:rPr>
                <w:rFonts w:eastAsiaTheme="majorEastAsia" w:cs="Arial"/>
                <w:b/>
                <w:bCs/>
                <w:color w:val="351C26" w:themeColor="text1"/>
                <w:lang w:val="en-US"/>
                <w14:ligatures w14:val="none"/>
              </w:rPr>
              <w:t>No</w:t>
            </w:r>
          </w:p>
        </w:tc>
      </w:tr>
      <w:tr w:rsidR="009E45FF" w:rsidRPr="0016620E" w14:paraId="2F56E2F2" w14:textId="77777777" w:rsidTr="0083335C">
        <w:tc>
          <w:tcPr>
            <w:tcW w:w="2835" w:type="dxa"/>
            <w:tcBorders>
              <w:bottom w:val="nil"/>
              <w:right w:val="nil"/>
            </w:tcBorders>
          </w:tcPr>
          <w:p w14:paraId="58B62092" w14:textId="05D18445" w:rsidR="007A203F" w:rsidRPr="004118FC" w:rsidRDefault="00E939CA" w:rsidP="002F5837">
            <w:pPr>
              <w:adjustRightInd w:val="0"/>
              <w:snapToGrid w:val="0"/>
              <w:spacing w:after="120" w:line="240" w:lineRule="auto"/>
              <w:rPr>
                <w:rFonts w:cs="Arial"/>
              </w:rPr>
            </w:pPr>
            <w:r w:rsidRPr="004118FC">
              <w:rPr>
                <w:rFonts w:cs="Arial"/>
              </w:rPr>
              <w:t>Full-time employment</w:t>
            </w:r>
            <w:r w:rsidRPr="004118FC" w:rsidDel="00E939CA">
              <w:rPr>
                <w:rFonts w:cs="Arial"/>
              </w:rPr>
              <w:t xml:space="preserve"> </w:t>
            </w:r>
            <w:r w:rsidR="007A203F" w:rsidRPr="004118FC">
              <w:rPr>
                <w:rFonts w:cs="Arial"/>
              </w:rPr>
              <w:t>(%)</w:t>
            </w:r>
          </w:p>
        </w:tc>
        <w:tc>
          <w:tcPr>
            <w:tcW w:w="1134" w:type="dxa"/>
            <w:tcBorders>
              <w:left w:val="nil"/>
              <w:bottom w:val="nil"/>
              <w:right w:val="nil"/>
            </w:tcBorders>
          </w:tcPr>
          <w:p w14:paraId="5E0C57CE" w14:textId="2B1FAB60" w:rsidR="007A203F" w:rsidRPr="004118FC" w:rsidRDefault="007A203F" w:rsidP="002F5837">
            <w:pPr>
              <w:adjustRightInd w:val="0"/>
              <w:snapToGrid w:val="0"/>
              <w:spacing w:after="120" w:line="240" w:lineRule="auto"/>
              <w:rPr>
                <w:rFonts w:cs="Arial"/>
              </w:rPr>
            </w:pPr>
            <w:r w:rsidRPr="004118FC">
              <w:rPr>
                <w:rFonts w:cs="Arial"/>
              </w:rPr>
              <w:t>73.21</w:t>
            </w:r>
          </w:p>
        </w:tc>
        <w:tc>
          <w:tcPr>
            <w:tcW w:w="1134" w:type="dxa"/>
            <w:tcBorders>
              <w:left w:val="nil"/>
              <w:bottom w:val="nil"/>
              <w:right w:val="nil"/>
            </w:tcBorders>
          </w:tcPr>
          <w:p w14:paraId="1A9160B7" w14:textId="78FE5651" w:rsidR="007A203F" w:rsidRPr="004118FC" w:rsidRDefault="007A203F" w:rsidP="002F5837">
            <w:pPr>
              <w:adjustRightInd w:val="0"/>
              <w:snapToGrid w:val="0"/>
              <w:spacing w:after="120" w:line="240" w:lineRule="auto"/>
              <w:rPr>
                <w:rFonts w:cs="Arial"/>
              </w:rPr>
            </w:pPr>
            <w:r w:rsidRPr="004118FC">
              <w:rPr>
                <w:rFonts w:cs="Arial"/>
              </w:rPr>
              <w:t>71.45</w:t>
            </w:r>
          </w:p>
        </w:tc>
        <w:tc>
          <w:tcPr>
            <w:tcW w:w="1134" w:type="dxa"/>
            <w:tcBorders>
              <w:left w:val="nil"/>
              <w:bottom w:val="nil"/>
              <w:right w:val="nil"/>
            </w:tcBorders>
          </w:tcPr>
          <w:p w14:paraId="56380F04" w14:textId="50425677" w:rsidR="007A203F" w:rsidRPr="004118FC" w:rsidRDefault="007A203F" w:rsidP="002F5837">
            <w:pPr>
              <w:adjustRightInd w:val="0"/>
              <w:snapToGrid w:val="0"/>
              <w:spacing w:after="120" w:line="240" w:lineRule="auto"/>
              <w:rPr>
                <w:rFonts w:cs="Arial"/>
              </w:rPr>
            </w:pPr>
            <w:r w:rsidRPr="004118FC">
              <w:rPr>
                <w:rFonts w:cs="Arial"/>
              </w:rPr>
              <w:t>72.50</w:t>
            </w:r>
          </w:p>
        </w:tc>
        <w:tc>
          <w:tcPr>
            <w:tcW w:w="1134" w:type="dxa"/>
            <w:tcBorders>
              <w:left w:val="nil"/>
              <w:bottom w:val="nil"/>
              <w:right w:val="nil"/>
            </w:tcBorders>
          </w:tcPr>
          <w:p w14:paraId="3FA4F1AE" w14:textId="1BFBE295" w:rsidR="007A203F" w:rsidRPr="004118FC" w:rsidRDefault="007A203F" w:rsidP="002F5837">
            <w:pPr>
              <w:adjustRightInd w:val="0"/>
              <w:snapToGrid w:val="0"/>
              <w:spacing w:after="120" w:line="240" w:lineRule="auto"/>
              <w:rPr>
                <w:rFonts w:cs="Arial"/>
              </w:rPr>
            </w:pPr>
            <w:r w:rsidRPr="004118FC">
              <w:rPr>
                <w:rFonts w:cs="Arial"/>
              </w:rPr>
              <w:t>71.30</w:t>
            </w:r>
          </w:p>
        </w:tc>
        <w:tc>
          <w:tcPr>
            <w:tcW w:w="1134" w:type="dxa"/>
            <w:tcBorders>
              <w:left w:val="nil"/>
              <w:bottom w:val="nil"/>
              <w:right w:val="nil"/>
            </w:tcBorders>
          </w:tcPr>
          <w:p w14:paraId="35D88943" w14:textId="29302F51" w:rsidR="007A203F" w:rsidRPr="004118FC" w:rsidRDefault="007A203F" w:rsidP="002F5837">
            <w:pPr>
              <w:adjustRightInd w:val="0"/>
              <w:snapToGrid w:val="0"/>
              <w:spacing w:after="120" w:line="240" w:lineRule="auto"/>
              <w:rPr>
                <w:rFonts w:cs="Arial"/>
              </w:rPr>
            </w:pPr>
            <w:r w:rsidRPr="004118FC">
              <w:rPr>
                <w:rFonts w:cs="Arial"/>
              </w:rPr>
              <w:t>71.05</w:t>
            </w:r>
          </w:p>
        </w:tc>
        <w:tc>
          <w:tcPr>
            <w:tcW w:w="1134" w:type="dxa"/>
            <w:tcBorders>
              <w:left w:val="nil"/>
              <w:bottom w:val="nil"/>
              <w:right w:val="nil"/>
            </w:tcBorders>
          </w:tcPr>
          <w:p w14:paraId="4F169C24" w14:textId="38941151" w:rsidR="007A203F" w:rsidRPr="004118FC" w:rsidRDefault="007A203F" w:rsidP="002F5837">
            <w:pPr>
              <w:adjustRightInd w:val="0"/>
              <w:snapToGrid w:val="0"/>
              <w:spacing w:after="120" w:line="240" w:lineRule="auto"/>
              <w:rPr>
                <w:rFonts w:cs="Arial"/>
              </w:rPr>
            </w:pPr>
            <w:r w:rsidRPr="004118FC">
              <w:rPr>
                <w:rFonts w:cs="Arial"/>
              </w:rPr>
              <w:t>71.68</w:t>
            </w:r>
          </w:p>
        </w:tc>
        <w:tc>
          <w:tcPr>
            <w:tcW w:w="1134" w:type="dxa"/>
            <w:tcBorders>
              <w:left w:val="nil"/>
              <w:bottom w:val="nil"/>
              <w:right w:val="nil"/>
            </w:tcBorders>
          </w:tcPr>
          <w:p w14:paraId="3170F1E3" w14:textId="23691091" w:rsidR="007A203F" w:rsidRPr="004118FC" w:rsidRDefault="007A203F" w:rsidP="002F5837">
            <w:pPr>
              <w:adjustRightInd w:val="0"/>
              <w:snapToGrid w:val="0"/>
              <w:spacing w:after="120" w:line="240" w:lineRule="auto"/>
              <w:rPr>
                <w:rFonts w:cs="Arial"/>
              </w:rPr>
            </w:pPr>
            <w:r w:rsidRPr="004118FC">
              <w:rPr>
                <w:rFonts w:cs="Arial"/>
              </w:rPr>
              <w:t>70.65</w:t>
            </w:r>
          </w:p>
        </w:tc>
        <w:tc>
          <w:tcPr>
            <w:tcW w:w="1134" w:type="dxa"/>
            <w:tcBorders>
              <w:left w:val="nil"/>
              <w:bottom w:val="nil"/>
              <w:right w:val="nil"/>
            </w:tcBorders>
          </w:tcPr>
          <w:p w14:paraId="54FC5F04" w14:textId="10AD50BD" w:rsidR="007A203F" w:rsidRPr="004118FC" w:rsidRDefault="007A203F" w:rsidP="002F5837">
            <w:pPr>
              <w:adjustRightInd w:val="0"/>
              <w:snapToGrid w:val="0"/>
              <w:spacing w:after="120" w:line="240" w:lineRule="auto"/>
              <w:rPr>
                <w:rFonts w:cs="Arial"/>
              </w:rPr>
            </w:pPr>
            <w:r w:rsidRPr="004118FC">
              <w:rPr>
                <w:rFonts w:cs="Arial"/>
              </w:rPr>
              <w:t>71.57</w:t>
            </w:r>
          </w:p>
        </w:tc>
        <w:tc>
          <w:tcPr>
            <w:tcW w:w="1134" w:type="dxa"/>
            <w:tcBorders>
              <w:left w:val="nil"/>
              <w:bottom w:val="nil"/>
              <w:right w:val="nil"/>
            </w:tcBorders>
          </w:tcPr>
          <w:p w14:paraId="70D5F637" w14:textId="63FF0FC4" w:rsidR="007A203F" w:rsidRPr="004118FC" w:rsidRDefault="007A203F" w:rsidP="002F5837">
            <w:pPr>
              <w:adjustRightInd w:val="0"/>
              <w:snapToGrid w:val="0"/>
              <w:spacing w:after="120" w:line="240" w:lineRule="auto"/>
              <w:rPr>
                <w:rFonts w:cs="Arial"/>
              </w:rPr>
            </w:pPr>
            <w:r w:rsidRPr="004118FC">
              <w:rPr>
                <w:rFonts w:cs="Arial"/>
              </w:rPr>
              <w:t>72.19</w:t>
            </w:r>
          </w:p>
        </w:tc>
        <w:tc>
          <w:tcPr>
            <w:tcW w:w="1134" w:type="dxa"/>
            <w:tcBorders>
              <w:left w:val="nil"/>
              <w:bottom w:val="nil"/>
            </w:tcBorders>
          </w:tcPr>
          <w:p w14:paraId="5B538D0C" w14:textId="4B0CB961" w:rsidR="007A203F" w:rsidRPr="004118FC" w:rsidRDefault="007A203F" w:rsidP="002F5837">
            <w:pPr>
              <w:adjustRightInd w:val="0"/>
              <w:snapToGrid w:val="0"/>
              <w:spacing w:after="120" w:line="240" w:lineRule="auto"/>
              <w:rPr>
                <w:rFonts w:cs="Arial"/>
              </w:rPr>
            </w:pPr>
            <w:r w:rsidRPr="004118FC">
              <w:rPr>
                <w:rFonts w:cs="Arial"/>
              </w:rPr>
              <w:t>71.44</w:t>
            </w:r>
          </w:p>
        </w:tc>
      </w:tr>
      <w:tr w:rsidR="009E45FF" w:rsidRPr="0016620E" w14:paraId="5BE65D70" w14:textId="77777777" w:rsidTr="0083335C">
        <w:tc>
          <w:tcPr>
            <w:tcW w:w="2835" w:type="dxa"/>
            <w:tcBorders>
              <w:top w:val="nil"/>
              <w:bottom w:val="nil"/>
              <w:right w:val="nil"/>
            </w:tcBorders>
          </w:tcPr>
          <w:p w14:paraId="2D85C6BF" w14:textId="51CBF52D" w:rsidR="007A203F" w:rsidRPr="004118FC" w:rsidRDefault="00E939CA" w:rsidP="002F5837">
            <w:pPr>
              <w:adjustRightInd w:val="0"/>
              <w:snapToGrid w:val="0"/>
              <w:spacing w:after="120" w:line="240" w:lineRule="auto"/>
              <w:rPr>
                <w:rFonts w:cs="Arial"/>
              </w:rPr>
            </w:pPr>
            <w:r w:rsidRPr="004118FC">
              <w:rPr>
                <w:rFonts w:cs="Arial"/>
              </w:rPr>
              <w:t>Permanent or ongoing employment</w:t>
            </w:r>
            <w:r w:rsidRPr="004118FC" w:rsidDel="00E939CA">
              <w:rPr>
                <w:rFonts w:cs="Arial"/>
              </w:rPr>
              <w:t xml:space="preserve"> </w:t>
            </w:r>
            <w:r w:rsidR="007A203F" w:rsidRPr="004118FC">
              <w:rPr>
                <w:rFonts w:cs="Arial"/>
              </w:rPr>
              <w:t>(%)</w:t>
            </w:r>
          </w:p>
        </w:tc>
        <w:tc>
          <w:tcPr>
            <w:tcW w:w="1134" w:type="dxa"/>
            <w:tcBorders>
              <w:top w:val="nil"/>
              <w:left w:val="nil"/>
              <w:bottom w:val="nil"/>
              <w:right w:val="nil"/>
            </w:tcBorders>
          </w:tcPr>
          <w:p w14:paraId="00264DFB" w14:textId="102F2BDE" w:rsidR="007A203F" w:rsidRPr="004118FC" w:rsidRDefault="007A203F" w:rsidP="002F5837">
            <w:pPr>
              <w:adjustRightInd w:val="0"/>
              <w:snapToGrid w:val="0"/>
              <w:spacing w:after="120" w:line="240" w:lineRule="auto"/>
              <w:rPr>
                <w:rFonts w:cs="Arial"/>
              </w:rPr>
            </w:pPr>
            <w:r w:rsidRPr="004118FC">
              <w:rPr>
                <w:rFonts w:cs="Arial"/>
              </w:rPr>
              <w:t>66.96</w:t>
            </w:r>
          </w:p>
        </w:tc>
        <w:tc>
          <w:tcPr>
            <w:tcW w:w="1134" w:type="dxa"/>
            <w:tcBorders>
              <w:top w:val="nil"/>
              <w:left w:val="nil"/>
              <w:bottom w:val="nil"/>
              <w:right w:val="nil"/>
            </w:tcBorders>
          </w:tcPr>
          <w:p w14:paraId="588A3953" w14:textId="7CB2AC67" w:rsidR="007A203F" w:rsidRPr="004118FC" w:rsidRDefault="007A203F" w:rsidP="002F5837">
            <w:pPr>
              <w:adjustRightInd w:val="0"/>
              <w:snapToGrid w:val="0"/>
              <w:spacing w:after="120" w:line="240" w:lineRule="auto"/>
              <w:rPr>
                <w:rFonts w:cs="Arial"/>
              </w:rPr>
            </w:pPr>
            <w:r w:rsidRPr="004118FC">
              <w:rPr>
                <w:rFonts w:cs="Arial"/>
              </w:rPr>
              <w:t>65.87</w:t>
            </w:r>
          </w:p>
        </w:tc>
        <w:tc>
          <w:tcPr>
            <w:tcW w:w="1134" w:type="dxa"/>
            <w:tcBorders>
              <w:top w:val="nil"/>
              <w:left w:val="nil"/>
              <w:bottom w:val="nil"/>
              <w:right w:val="nil"/>
            </w:tcBorders>
          </w:tcPr>
          <w:p w14:paraId="49C60643" w14:textId="6D8CD391" w:rsidR="007A203F" w:rsidRPr="004118FC" w:rsidRDefault="007A203F" w:rsidP="002F5837">
            <w:pPr>
              <w:adjustRightInd w:val="0"/>
              <w:snapToGrid w:val="0"/>
              <w:spacing w:after="120" w:line="240" w:lineRule="auto"/>
              <w:rPr>
                <w:rFonts w:cs="Arial"/>
              </w:rPr>
            </w:pPr>
            <w:r w:rsidRPr="004118FC">
              <w:rPr>
                <w:rFonts w:cs="Arial"/>
              </w:rPr>
              <w:t>64.22</w:t>
            </w:r>
          </w:p>
        </w:tc>
        <w:tc>
          <w:tcPr>
            <w:tcW w:w="1134" w:type="dxa"/>
            <w:tcBorders>
              <w:top w:val="nil"/>
              <w:left w:val="nil"/>
              <w:bottom w:val="nil"/>
              <w:right w:val="nil"/>
            </w:tcBorders>
          </w:tcPr>
          <w:p w14:paraId="4CEB09C9" w14:textId="4E9D4E19" w:rsidR="007A203F" w:rsidRPr="004118FC" w:rsidRDefault="007A203F" w:rsidP="002F5837">
            <w:pPr>
              <w:adjustRightInd w:val="0"/>
              <w:snapToGrid w:val="0"/>
              <w:spacing w:after="120" w:line="240" w:lineRule="auto"/>
              <w:rPr>
                <w:rFonts w:cs="Arial"/>
              </w:rPr>
            </w:pPr>
            <w:r w:rsidRPr="004118FC">
              <w:rPr>
                <w:rFonts w:cs="Arial"/>
              </w:rPr>
              <w:t>66.16</w:t>
            </w:r>
          </w:p>
        </w:tc>
        <w:tc>
          <w:tcPr>
            <w:tcW w:w="1134" w:type="dxa"/>
            <w:tcBorders>
              <w:top w:val="nil"/>
              <w:left w:val="nil"/>
              <w:bottom w:val="nil"/>
              <w:right w:val="nil"/>
            </w:tcBorders>
          </w:tcPr>
          <w:p w14:paraId="6FE34EDD" w14:textId="03C9E8A2" w:rsidR="007A203F" w:rsidRPr="004118FC" w:rsidRDefault="007A203F" w:rsidP="002F5837">
            <w:pPr>
              <w:adjustRightInd w:val="0"/>
              <w:snapToGrid w:val="0"/>
              <w:spacing w:after="120" w:line="240" w:lineRule="auto"/>
              <w:rPr>
                <w:rFonts w:cs="Arial"/>
              </w:rPr>
            </w:pPr>
            <w:r w:rsidRPr="004118FC">
              <w:rPr>
                <w:rFonts w:cs="Arial"/>
              </w:rPr>
              <w:t>67.82</w:t>
            </w:r>
          </w:p>
        </w:tc>
        <w:tc>
          <w:tcPr>
            <w:tcW w:w="1134" w:type="dxa"/>
            <w:tcBorders>
              <w:top w:val="nil"/>
              <w:left w:val="nil"/>
              <w:bottom w:val="nil"/>
              <w:right w:val="nil"/>
            </w:tcBorders>
          </w:tcPr>
          <w:p w14:paraId="7E55753C" w14:textId="73EE3044" w:rsidR="007A203F" w:rsidRPr="004118FC" w:rsidRDefault="007A203F" w:rsidP="002F5837">
            <w:pPr>
              <w:adjustRightInd w:val="0"/>
              <w:snapToGrid w:val="0"/>
              <w:spacing w:after="120" w:line="240" w:lineRule="auto"/>
              <w:rPr>
                <w:rFonts w:cs="Arial"/>
              </w:rPr>
            </w:pPr>
            <w:r w:rsidRPr="004118FC">
              <w:rPr>
                <w:rFonts w:cs="Arial"/>
              </w:rPr>
              <w:t>64.90</w:t>
            </w:r>
          </w:p>
        </w:tc>
        <w:tc>
          <w:tcPr>
            <w:tcW w:w="1134" w:type="dxa"/>
            <w:tcBorders>
              <w:top w:val="nil"/>
              <w:left w:val="nil"/>
              <w:bottom w:val="nil"/>
              <w:right w:val="nil"/>
            </w:tcBorders>
          </w:tcPr>
          <w:p w14:paraId="2F7F6FDD" w14:textId="13BEA15C" w:rsidR="007A203F" w:rsidRPr="004118FC" w:rsidRDefault="007A203F" w:rsidP="002F5837">
            <w:pPr>
              <w:adjustRightInd w:val="0"/>
              <w:snapToGrid w:val="0"/>
              <w:spacing w:after="120" w:line="240" w:lineRule="auto"/>
              <w:rPr>
                <w:rFonts w:cs="Arial"/>
              </w:rPr>
            </w:pPr>
            <w:r w:rsidRPr="004118FC">
              <w:rPr>
                <w:rFonts w:cs="Arial"/>
              </w:rPr>
              <w:t>64.12</w:t>
            </w:r>
          </w:p>
        </w:tc>
        <w:tc>
          <w:tcPr>
            <w:tcW w:w="1134" w:type="dxa"/>
            <w:tcBorders>
              <w:top w:val="nil"/>
              <w:left w:val="nil"/>
              <w:bottom w:val="nil"/>
              <w:right w:val="nil"/>
            </w:tcBorders>
          </w:tcPr>
          <w:p w14:paraId="46F34EDF" w14:textId="1340F541" w:rsidR="007A203F" w:rsidRPr="004118FC" w:rsidRDefault="007A203F" w:rsidP="002F5837">
            <w:pPr>
              <w:adjustRightInd w:val="0"/>
              <w:snapToGrid w:val="0"/>
              <w:spacing w:after="120" w:line="240" w:lineRule="auto"/>
              <w:rPr>
                <w:rFonts w:cs="Arial"/>
              </w:rPr>
            </w:pPr>
            <w:r w:rsidRPr="004118FC">
              <w:rPr>
                <w:rFonts w:cs="Arial"/>
              </w:rPr>
              <w:t>66.10</w:t>
            </w:r>
          </w:p>
        </w:tc>
        <w:tc>
          <w:tcPr>
            <w:tcW w:w="1134" w:type="dxa"/>
            <w:tcBorders>
              <w:top w:val="nil"/>
              <w:left w:val="nil"/>
              <w:bottom w:val="nil"/>
              <w:right w:val="nil"/>
            </w:tcBorders>
          </w:tcPr>
          <w:p w14:paraId="7F2595D4" w14:textId="3E0D863F" w:rsidR="007A203F" w:rsidRPr="004118FC" w:rsidRDefault="007A203F" w:rsidP="002F5837">
            <w:pPr>
              <w:adjustRightInd w:val="0"/>
              <w:snapToGrid w:val="0"/>
              <w:spacing w:after="120" w:line="240" w:lineRule="auto"/>
              <w:rPr>
                <w:rFonts w:cs="Arial"/>
              </w:rPr>
            </w:pPr>
            <w:r w:rsidRPr="004118FC">
              <w:rPr>
                <w:rFonts w:cs="Arial"/>
              </w:rPr>
              <w:t>68.26</w:t>
            </w:r>
          </w:p>
        </w:tc>
        <w:tc>
          <w:tcPr>
            <w:tcW w:w="1134" w:type="dxa"/>
            <w:tcBorders>
              <w:top w:val="nil"/>
              <w:left w:val="nil"/>
              <w:bottom w:val="nil"/>
            </w:tcBorders>
          </w:tcPr>
          <w:p w14:paraId="5FF1D788" w14:textId="27E3EB3E" w:rsidR="007A203F" w:rsidRPr="004118FC" w:rsidRDefault="007A203F" w:rsidP="002F5837">
            <w:pPr>
              <w:adjustRightInd w:val="0"/>
              <w:snapToGrid w:val="0"/>
              <w:spacing w:after="120" w:line="240" w:lineRule="auto"/>
              <w:rPr>
                <w:rFonts w:cs="Arial"/>
              </w:rPr>
            </w:pPr>
            <w:r w:rsidRPr="004118FC">
              <w:rPr>
                <w:rFonts w:cs="Arial"/>
              </w:rPr>
              <w:t>65.79</w:t>
            </w:r>
          </w:p>
        </w:tc>
      </w:tr>
      <w:tr w:rsidR="009E45FF" w:rsidRPr="0016620E" w14:paraId="0A0A1EB7" w14:textId="77777777" w:rsidTr="0083335C">
        <w:tc>
          <w:tcPr>
            <w:tcW w:w="2835" w:type="dxa"/>
            <w:tcBorders>
              <w:top w:val="nil"/>
              <w:bottom w:val="nil"/>
              <w:right w:val="nil"/>
            </w:tcBorders>
          </w:tcPr>
          <w:p w14:paraId="4FBD4817" w14:textId="18899C56" w:rsidR="007A203F" w:rsidRPr="004118FC" w:rsidRDefault="00E939CA" w:rsidP="002F5837">
            <w:pPr>
              <w:adjustRightInd w:val="0"/>
              <w:snapToGrid w:val="0"/>
              <w:spacing w:after="120" w:line="240" w:lineRule="auto"/>
              <w:rPr>
                <w:rFonts w:cs="Arial"/>
              </w:rPr>
            </w:pPr>
            <w:r w:rsidRPr="004118FC">
              <w:rPr>
                <w:rFonts w:cs="Arial"/>
              </w:rPr>
              <w:t>Having a managerial or professional job</w:t>
            </w:r>
            <w:r w:rsidRPr="004118FC" w:rsidDel="00E939CA">
              <w:rPr>
                <w:rFonts w:cs="Arial"/>
              </w:rPr>
              <w:t xml:space="preserve"> </w:t>
            </w:r>
            <w:r w:rsidR="007A203F" w:rsidRPr="004118FC">
              <w:rPr>
                <w:rFonts w:cs="Arial"/>
              </w:rPr>
              <w:t>(%)</w:t>
            </w:r>
          </w:p>
        </w:tc>
        <w:tc>
          <w:tcPr>
            <w:tcW w:w="1134" w:type="dxa"/>
            <w:tcBorders>
              <w:top w:val="nil"/>
              <w:left w:val="nil"/>
              <w:bottom w:val="nil"/>
              <w:right w:val="nil"/>
            </w:tcBorders>
          </w:tcPr>
          <w:p w14:paraId="2B837997" w14:textId="69D8BE4B" w:rsidR="007A203F" w:rsidRPr="004118FC" w:rsidRDefault="007A203F" w:rsidP="002F5837">
            <w:pPr>
              <w:adjustRightInd w:val="0"/>
              <w:snapToGrid w:val="0"/>
              <w:spacing w:after="120" w:line="240" w:lineRule="auto"/>
              <w:rPr>
                <w:rFonts w:cs="Arial"/>
              </w:rPr>
            </w:pPr>
            <w:r w:rsidRPr="004118FC">
              <w:rPr>
                <w:rFonts w:cs="Arial"/>
              </w:rPr>
              <w:t>76.79</w:t>
            </w:r>
          </w:p>
        </w:tc>
        <w:tc>
          <w:tcPr>
            <w:tcW w:w="1134" w:type="dxa"/>
            <w:tcBorders>
              <w:top w:val="nil"/>
              <w:left w:val="nil"/>
              <w:bottom w:val="nil"/>
              <w:right w:val="nil"/>
            </w:tcBorders>
          </w:tcPr>
          <w:p w14:paraId="6DDC6A86" w14:textId="3B0942A0" w:rsidR="007A203F" w:rsidRPr="004118FC" w:rsidRDefault="007A203F" w:rsidP="002F5837">
            <w:pPr>
              <w:adjustRightInd w:val="0"/>
              <w:snapToGrid w:val="0"/>
              <w:spacing w:after="120" w:line="240" w:lineRule="auto"/>
              <w:rPr>
                <w:rFonts w:cs="Arial"/>
              </w:rPr>
            </w:pPr>
            <w:r w:rsidRPr="004118FC">
              <w:rPr>
                <w:rFonts w:cs="Arial"/>
              </w:rPr>
              <w:t>76.59</w:t>
            </w:r>
          </w:p>
        </w:tc>
        <w:tc>
          <w:tcPr>
            <w:tcW w:w="1134" w:type="dxa"/>
            <w:tcBorders>
              <w:top w:val="nil"/>
              <w:left w:val="nil"/>
              <w:bottom w:val="nil"/>
              <w:right w:val="nil"/>
            </w:tcBorders>
          </w:tcPr>
          <w:p w14:paraId="3BEF7A43" w14:textId="6D4DC5DF" w:rsidR="007A203F" w:rsidRPr="004118FC" w:rsidRDefault="007A203F" w:rsidP="002F5837">
            <w:pPr>
              <w:adjustRightInd w:val="0"/>
              <w:snapToGrid w:val="0"/>
              <w:spacing w:after="120" w:line="240" w:lineRule="auto"/>
              <w:rPr>
                <w:rFonts w:cs="Arial"/>
              </w:rPr>
            </w:pPr>
            <w:r w:rsidRPr="004118FC">
              <w:rPr>
                <w:rFonts w:cs="Arial"/>
              </w:rPr>
              <w:t>65.08</w:t>
            </w:r>
          </w:p>
        </w:tc>
        <w:tc>
          <w:tcPr>
            <w:tcW w:w="1134" w:type="dxa"/>
            <w:tcBorders>
              <w:top w:val="nil"/>
              <w:left w:val="nil"/>
              <w:bottom w:val="nil"/>
              <w:right w:val="nil"/>
            </w:tcBorders>
          </w:tcPr>
          <w:p w14:paraId="6D321F40" w14:textId="5BACDC5E" w:rsidR="007A203F" w:rsidRPr="004118FC" w:rsidRDefault="007A203F" w:rsidP="002F5837">
            <w:pPr>
              <w:adjustRightInd w:val="0"/>
              <w:snapToGrid w:val="0"/>
              <w:spacing w:after="120" w:line="240" w:lineRule="auto"/>
              <w:rPr>
                <w:rFonts w:cs="Arial"/>
              </w:rPr>
            </w:pPr>
            <w:r w:rsidRPr="004118FC">
              <w:rPr>
                <w:rFonts w:cs="Arial"/>
              </w:rPr>
              <w:t>78.49</w:t>
            </w:r>
          </w:p>
        </w:tc>
        <w:tc>
          <w:tcPr>
            <w:tcW w:w="1134" w:type="dxa"/>
            <w:tcBorders>
              <w:top w:val="nil"/>
              <w:left w:val="nil"/>
              <w:bottom w:val="nil"/>
              <w:right w:val="nil"/>
            </w:tcBorders>
          </w:tcPr>
          <w:p w14:paraId="36E5BBF5" w14:textId="118EF2C5" w:rsidR="007A203F" w:rsidRPr="004118FC" w:rsidRDefault="007A203F" w:rsidP="002F5837">
            <w:pPr>
              <w:adjustRightInd w:val="0"/>
              <w:snapToGrid w:val="0"/>
              <w:spacing w:after="120" w:line="240" w:lineRule="auto"/>
              <w:rPr>
                <w:rFonts w:cs="Arial"/>
              </w:rPr>
            </w:pPr>
            <w:r w:rsidRPr="004118FC">
              <w:rPr>
                <w:rFonts w:cs="Arial"/>
              </w:rPr>
              <w:t>74.28</w:t>
            </w:r>
          </w:p>
        </w:tc>
        <w:tc>
          <w:tcPr>
            <w:tcW w:w="1134" w:type="dxa"/>
            <w:tcBorders>
              <w:top w:val="nil"/>
              <w:left w:val="nil"/>
              <w:bottom w:val="nil"/>
              <w:right w:val="nil"/>
            </w:tcBorders>
          </w:tcPr>
          <w:p w14:paraId="26687A73" w14:textId="34042345" w:rsidR="007A203F" w:rsidRPr="004118FC" w:rsidRDefault="007A203F" w:rsidP="002F5837">
            <w:pPr>
              <w:adjustRightInd w:val="0"/>
              <w:snapToGrid w:val="0"/>
              <w:spacing w:after="120" w:line="240" w:lineRule="auto"/>
              <w:rPr>
                <w:rFonts w:cs="Arial"/>
              </w:rPr>
            </w:pPr>
            <w:r w:rsidRPr="004118FC">
              <w:rPr>
                <w:rFonts w:cs="Arial"/>
              </w:rPr>
              <w:t>77.76</w:t>
            </w:r>
          </w:p>
        </w:tc>
        <w:tc>
          <w:tcPr>
            <w:tcW w:w="1134" w:type="dxa"/>
            <w:tcBorders>
              <w:top w:val="nil"/>
              <w:left w:val="nil"/>
              <w:bottom w:val="nil"/>
              <w:right w:val="nil"/>
            </w:tcBorders>
          </w:tcPr>
          <w:p w14:paraId="112E5C75" w14:textId="1DC9CE48" w:rsidR="007A203F" w:rsidRPr="004118FC" w:rsidRDefault="007A203F" w:rsidP="002F5837">
            <w:pPr>
              <w:adjustRightInd w:val="0"/>
              <w:snapToGrid w:val="0"/>
              <w:spacing w:after="120" w:line="240" w:lineRule="auto"/>
              <w:rPr>
                <w:rFonts w:cs="Arial"/>
              </w:rPr>
            </w:pPr>
            <w:r w:rsidRPr="004118FC">
              <w:rPr>
                <w:rFonts w:cs="Arial"/>
              </w:rPr>
              <w:t>76.08</w:t>
            </w:r>
          </w:p>
        </w:tc>
        <w:tc>
          <w:tcPr>
            <w:tcW w:w="1134" w:type="dxa"/>
            <w:tcBorders>
              <w:top w:val="nil"/>
              <w:left w:val="nil"/>
              <w:bottom w:val="nil"/>
              <w:right w:val="nil"/>
            </w:tcBorders>
          </w:tcPr>
          <w:p w14:paraId="3A9D9D57" w14:textId="61FB6D2E" w:rsidR="007A203F" w:rsidRPr="004118FC" w:rsidRDefault="007A203F" w:rsidP="002F5837">
            <w:pPr>
              <w:adjustRightInd w:val="0"/>
              <w:snapToGrid w:val="0"/>
              <w:spacing w:after="120" w:line="240" w:lineRule="auto"/>
              <w:rPr>
                <w:rFonts w:cs="Arial"/>
              </w:rPr>
            </w:pPr>
            <w:r w:rsidRPr="004118FC">
              <w:rPr>
                <w:rFonts w:cs="Arial"/>
              </w:rPr>
              <w:t>76.66</w:t>
            </w:r>
          </w:p>
        </w:tc>
        <w:tc>
          <w:tcPr>
            <w:tcW w:w="1134" w:type="dxa"/>
            <w:tcBorders>
              <w:top w:val="nil"/>
              <w:left w:val="nil"/>
              <w:bottom w:val="nil"/>
              <w:right w:val="nil"/>
            </w:tcBorders>
          </w:tcPr>
          <w:p w14:paraId="4BA9EC38" w14:textId="0598736D" w:rsidR="007A203F" w:rsidRPr="004118FC" w:rsidRDefault="007A203F" w:rsidP="002F5837">
            <w:pPr>
              <w:adjustRightInd w:val="0"/>
              <w:snapToGrid w:val="0"/>
              <w:spacing w:after="120" w:line="240" w:lineRule="auto"/>
              <w:rPr>
                <w:rFonts w:cs="Arial"/>
              </w:rPr>
            </w:pPr>
            <w:r w:rsidRPr="004118FC">
              <w:rPr>
                <w:rFonts w:cs="Arial"/>
              </w:rPr>
              <w:t>72.19</w:t>
            </w:r>
          </w:p>
        </w:tc>
        <w:tc>
          <w:tcPr>
            <w:tcW w:w="1134" w:type="dxa"/>
            <w:tcBorders>
              <w:top w:val="nil"/>
              <w:left w:val="nil"/>
              <w:bottom w:val="nil"/>
            </w:tcBorders>
          </w:tcPr>
          <w:p w14:paraId="50D80379" w14:textId="4490DDC9" w:rsidR="007A203F" w:rsidRPr="004118FC" w:rsidRDefault="007A203F" w:rsidP="002F5837">
            <w:pPr>
              <w:adjustRightInd w:val="0"/>
              <w:snapToGrid w:val="0"/>
              <w:spacing w:after="120" w:line="240" w:lineRule="auto"/>
              <w:rPr>
                <w:rFonts w:cs="Arial"/>
              </w:rPr>
            </w:pPr>
            <w:r w:rsidRPr="004118FC">
              <w:rPr>
                <w:rFonts w:cs="Arial"/>
              </w:rPr>
              <w:t>76.76</w:t>
            </w:r>
          </w:p>
        </w:tc>
      </w:tr>
      <w:tr w:rsidR="009E45FF" w:rsidRPr="0016620E" w14:paraId="743915E0" w14:textId="77777777" w:rsidTr="0083335C">
        <w:tc>
          <w:tcPr>
            <w:tcW w:w="2835" w:type="dxa"/>
            <w:tcBorders>
              <w:top w:val="nil"/>
              <w:bottom w:val="nil"/>
              <w:right w:val="nil"/>
            </w:tcBorders>
          </w:tcPr>
          <w:p w14:paraId="070EC8D7" w14:textId="77919EBE" w:rsidR="007A203F" w:rsidRPr="004118FC" w:rsidRDefault="007A203F" w:rsidP="002F5837">
            <w:pPr>
              <w:adjustRightInd w:val="0"/>
              <w:snapToGrid w:val="0"/>
              <w:spacing w:after="120" w:line="240" w:lineRule="auto"/>
              <w:rPr>
                <w:rFonts w:cs="Arial"/>
              </w:rPr>
            </w:pPr>
            <w:r w:rsidRPr="004118FC">
              <w:rPr>
                <w:rFonts w:cs="Arial"/>
              </w:rPr>
              <w:t>Weekly earnings (2020 AUD)</w:t>
            </w:r>
          </w:p>
        </w:tc>
        <w:tc>
          <w:tcPr>
            <w:tcW w:w="1134" w:type="dxa"/>
            <w:tcBorders>
              <w:top w:val="nil"/>
              <w:left w:val="nil"/>
              <w:bottom w:val="nil"/>
              <w:right w:val="nil"/>
            </w:tcBorders>
          </w:tcPr>
          <w:p w14:paraId="5D3B92AE" w14:textId="3B54F968" w:rsidR="007A203F" w:rsidRPr="004118FC" w:rsidRDefault="007A203F" w:rsidP="002F5837">
            <w:pPr>
              <w:adjustRightInd w:val="0"/>
              <w:snapToGrid w:val="0"/>
              <w:spacing w:after="120" w:line="240" w:lineRule="auto"/>
              <w:rPr>
                <w:rFonts w:cs="Arial"/>
              </w:rPr>
            </w:pPr>
            <w:r w:rsidRPr="004118FC">
              <w:rPr>
                <w:rFonts w:cs="Arial"/>
              </w:rPr>
              <w:t>1</w:t>
            </w:r>
            <w:r w:rsidR="008132D8" w:rsidRPr="004118FC">
              <w:rPr>
                <w:rFonts w:cs="Arial"/>
              </w:rPr>
              <w:t>,</w:t>
            </w:r>
            <w:r w:rsidRPr="004118FC">
              <w:rPr>
                <w:rFonts w:cs="Arial"/>
              </w:rPr>
              <w:t>631.64</w:t>
            </w:r>
          </w:p>
        </w:tc>
        <w:tc>
          <w:tcPr>
            <w:tcW w:w="1134" w:type="dxa"/>
            <w:tcBorders>
              <w:top w:val="nil"/>
              <w:left w:val="nil"/>
              <w:bottom w:val="nil"/>
              <w:right w:val="nil"/>
            </w:tcBorders>
          </w:tcPr>
          <w:p w14:paraId="51770E5A" w14:textId="45F0DD6D" w:rsidR="007A203F" w:rsidRPr="004118FC" w:rsidRDefault="007A203F" w:rsidP="002F5837">
            <w:pPr>
              <w:adjustRightInd w:val="0"/>
              <w:snapToGrid w:val="0"/>
              <w:spacing w:after="120" w:line="240" w:lineRule="auto"/>
              <w:rPr>
                <w:rFonts w:cs="Arial"/>
              </w:rPr>
            </w:pPr>
            <w:r w:rsidRPr="004118FC">
              <w:rPr>
                <w:rFonts w:cs="Arial"/>
              </w:rPr>
              <w:t>1</w:t>
            </w:r>
            <w:r w:rsidR="008132D8" w:rsidRPr="004118FC">
              <w:rPr>
                <w:rFonts w:cs="Arial"/>
              </w:rPr>
              <w:t>,</w:t>
            </w:r>
            <w:r w:rsidRPr="004118FC">
              <w:rPr>
                <w:rFonts w:cs="Arial"/>
              </w:rPr>
              <w:t>642.14</w:t>
            </w:r>
          </w:p>
        </w:tc>
        <w:tc>
          <w:tcPr>
            <w:tcW w:w="1134" w:type="dxa"/>
            <w:tcBorders>
              <w:top w:val="nil"/>
              <w:left w:val="nil"/>
              <w:bottom w:val="nil"/>
              <w:right w:val="nil"/>
            </w:tcBorders>
          </w:tcPr>
          <w:p w14:paraId="5F6E772C" w14:textId="446B85D9" w:rsidR="007A203F" w:rsidRPr="004118FC" w:rsidRDefault="007A203F" w:rsidP="002F5837">
            <w:pPr>
              <w:adjustRightInd w:val="0"/>
              <w:snapToGrid w:val="0"/>
              <w:spacing w:after="120" w:line="240" w:lineRule="auto"/>
              <w:rPr>
                <w:rFonts w:cs="Arial"/>
              </w:rPr>
            </w:pPr>
            <w:r w:rsidRPr="004118FC">
              <w:rPr>
                <w:rFonts w:cs="Arial"/>
              </w:rPr>
              <w:t>1</w:t>
            </w:r>
            <w:r w:rsidR="008132D8" w:rsidRPr="004118FC">
              <w:rPr>
                <w:rFonts w:cs="Arial"/>
              </w:rPr>
              <w:t>,</w:t>
            </w:r>
            <w:r w:rsidRPr="004118FC">
              <w:rPr>
                <w:rFonts w:cs="Arial"/>
              </w:rPr>
              <w:t>489.58</w:t>
            </w:r>
          </w:p>
        </w:tc>
        <w:tc>
          <w:tcPr>
            <w:tcW w:w="1134" w:type="dxa"/>
            <w:tcBorders>
              <w:top w:val="nil"/>
              <w:left w:val="nil"/>
              <w:bottom w:val="nil"/>
              <w:right w:val="nil"/>
            </w:tcBorders>
          </w:tcPr>
          <w:p w14:paraId="2BDEC314" w14:textId="6BFABB35" w:rsidR="007A203F" w:rsidRPr="004118FC" w:rsidRDefault="007A203F" w:rsidP="002F5837">
            <w:pPr>
              <w:adjustRightInd w:val="0"/>
              <w:snapToGrid w:val="0"/>
              <w:spacing w:after="120" w:line="240" w:lineRule="auto"/>
              <w:rPr>
                <w:rFonts w:cs="Arial"/>
              </w:rPr>
            </w:pPr>
            <w:r w:rsidRPr="004118FC">
              <w:rPr>
                <w:rFonts w:cs="Arial"/>
              </w:rPr>
              <w:t>1</w:t>
            </w:r>
            <w:r w:rsidR="008132D8" w:rsidRPr="004118FC">
              <w:rPr>
                <w:rFonts w:cs="Arial"/>
              </w:rPr>
              <w:t>,</w:t>
            </w:r>
            <w:r w:rsidRPr="004118FC">
              <w:rPr>
                <w:rFonts w:cs="Arial"/>
              </w:rPr>
              <w:t>667.17</w:t>
            </w:r>
          </w:p>
        </w:tc>
        <w:tc>
          <w:tcPr>
            <w:tcW w:w="1134" w:type="dxa"/>
            <w:tcBorders>
              <w:top w:val="nil"/>
              <w:left w:val="nil"/>
              <w:bottom w:val="nil"/>
              <w:right w:val="nil"/>
            </w:tcBorders>
          </w:tcPr>
          <w:p w14:paraId="1BEEA5EB" w14:textId="0CECD73E" w:rsidR="007A203F" w:rsidRPr="004118FC" w:rsidRDefault="007A203F" w:rsidP="002F5837">
            <w:pPr>
              <w:adjustRightInd w:val="0"/>
              <w:snapToGrid w:val="0"/>
              <w:spacing w:after="120" w:line="240" w:lineRule="auto"/>
              <w:rPr>
                <w:rFonts w:cs="Arial"/>
              </w:rPr>
            </w:pPr>
            <w:r w:rsidRPr="004118FC">
              <w:rPr>
                <w:rFonts w:cs="Arial"/>
              </w:rPr>
              <w:t>1</w:t>
            </w:r>
            <w:r w:rsidR="008132D8" w:rsidRPr="004118FC">
              <w:rPr>
                <w:rFonts w:cs="Arial"/>
              </w:rPr>
              <w:t>,</w:t>
            </w:r>
            <w:r w:rsidRPr="004118FC">
              <w:rPr>
                <w:rFonts w:cs="Arial"/>
              </w:rPr>
              <w:t>629.24</w:t>
            </w:r>
          </w:p>
        </w:tc>
        <w:tc>
          <w:tcPr>
            <w:tcW w:w="1134" w:type="dxa"/>
            <w:tcBorders>
              <w:top w:val="nil"/>
              <w:left w:val="nil"/>
              <w:bottom w:val="nil"/>
              <w:right w:val="nil"/>
            </w:tcBorders>
          </w:tcPr>
          <w:p w14:paraId="2D5FDF12" w14:textId="750A2A14" w:rsidR="007A203F" w:rsidRPr="004118FC" w:rsidRDefault="007A203F" w:rsidP="002F5837">
            <w:pPr>
              <w:adjustRightInd w:val="0"/>
              <w:snapToGrid w:val="0"/>
              <w:spacing w:after="120" w:line="240" w:lineRule="auto"/>
              <w:rPr>
                <w:rFonts w:cs="Arial"/>
              </w:rPr>
            </w:pPr>
            <w:r w:rsidRPr="004118FC">
              <w:rPr>
                <w:rFonts w:cs="Arial"/>
              </w:rPr>
              <w:t>1</w:t>
            </w:r>
            <w:r w:rsidR="008132D8" w:rsidRPr="004118FC">
              <w:rPr>
                <w:rFonts w:cs="Arial"/>
              </w:rPr>
              <w:t>,</w:t>
            </w:r>
            <w:r w:rsidRPr="004118FC">
              <w:rPr>
                <w:rFonts w:cs="Arial"/>
              </w:rPr>
              <w:t>648.46</w:t>
            </w:r>
          </w:p>
        </w:tc>
        <w:tc>
          <w:tcPr>
            <w:tcW w:w="1134" w:type="dxa"/>
            <w:tcBorders>
              <w:top w:val="nil"/>
              <w:left w:val="nil"/>
              <w:bottom w:val="nil"/>
              <w:right w:val="nil"/>
            </w:tcBorders>
          </w:tcPr>
          <w:p w14:paraId="51FD7FF1" w14:textId="21FD4930" w:rsidR="007A203F" w:rsidRPr="004118FC" w:rsidRDefault="007A203F" w:rsidP="002F5837">
            <w:pPr>
              <w:adjustRightInd w:val="0"/>
              <w:snapToGrid w:val="0"/>
              <w:spacing w:after="120" w:line="240" w:lineRule="auto"/>
              <w:rPr>
                <w:rFonts w:cs="Arial"/>
              </w:rPr>
            </w:pPr>
            <w:r w:rsidRPr="004118FC">
              <w:rPr>
                <w:rFonts w:cs="Arial"/>
              </w:rPr>
              <w:t>1</w:t>
            </w:r>
            <w:r w:rsidR="008132D8" w:rsidRPr="004118FC">
              <w:rPr>
                <w:rFonts w:cs="Arial"/>
              </w:rPr>
              <w:t>,</w:t>
            </w:r>
            <w:r w:rsidRPr="004118FC">
              <w:rPr>
                <w:rFonts w:cs="Arial"/>
              </w:rPr>
              <w:t>607.88</w:t>
            </w:r>
          </w:p>
        </w:tc>
        <w:tc>
          <w:tcPr>
            <w:tcW w:w="1134" w:type="dxa"/>
            <w:tcBorders>
              <w:top w:val="nil"/>
              <w:left w:val="nil"/>
              <w:bottom w:val="nil"/>
              <w:right w:val="nil"/>
            </w:tcBorders>
          </w:tcPr>
          <w:p w14:paraId="0522288E" w14:textId="0CED7D19" w:rsidR="007A203F" w:rsidRPr="004118FC" w:rsidRDefault="007A203F" w:rsidP="002F5837">
            <w:pPr>
              <w:adjustRightInd w:val="0"/>
              <w:snapToGrid w:val="0"/>
              <w:spacing w:after="120" w:line="240" w:lineRule="auto"/>
              <w:rPr>
                <w:rFonts w:cs="Arial"/>
              </w:rPr>
            </w:pPr>
            <w:r w:rsidRPr="004118FC">
              <w:rPr>
                <w:rFonts w:cs="Arial"/>
              </w:rPr>
              <w:t>1</w:t>
            </w:r>
            <w:r w:rsidR="008132D8" w:rsidRPr="004118FC">
              <w:rPr>
                <w:rFonts w:cs="Arial"/>
              </w:rPr>
              <w:t>,</w:t>
            </w:r>
            <w:r w:rsidRPr="004118FC">
              <w:rPr>
                <w:rFonts w:cs="Arial"/>
              </w:rPr>
              <w:t>646.28</w:t>
            </w:r>
          </w:p>
        </w:tc>
        <w:tc>
          <w:tcPr>
            <w:tcW w:w="1134" w:type="dxa"/>
            <w:tcBorders>
              <w:top w:val="nil"/>
              <w:left w:val="nil"/>
              <w:bottom w:val="nil"/>
              <w:right w:val="nil"/>
            </w:tcBorders>
          </w:tcPr>
          <w:p w14:paraId="0A7A8790" w14:textId="0DE4E693" w:rsidR="007A203F" w:rsidRPr="004118FC" w:rsidRDefault="007A203F" w:rsidP="002F5837">
            <w:pPr>
              <w:adjustRightInd w:val="0"/>
              <w:snapToGrid w:val="0"/>
              <w:spacing w:after="120" w:line="240" w:lineRule="auto"/>
              <w:rPr>
                <w:rFonts w:cs="Arial"/>
              </w:rPr>
            </w:pPr>
            <w:r w:rsidRPr="004118FC">
              <w:rPr>
                <w:rFonts w:cs="Arial"/>
              </w:rPr>
              <w:t>1</w:t>
            </w:r>
            <w:r w:rsidR="008132D8" w:rsidRPr="004118FC">
              <w:rPr>
                <w:rFonts w:cs="Arial"/>
              </w:rPr>
              <w:t>,</w:t>
            </w:r>
            <w:r w:rsidRPr="004118FC">
              <w:rPr>
                <w:rFonts w:cs="Arial"/>
              </w:rPr>
              <w:t>644.15</w:t>
            </w:r>
          </w:p>
        </w:tc>
        <w:tc>
          <w:tcPr>
            <w:tcW w:w="1134" w:type="dxa"/>
            <w:tcBorders>
              <w:top w:val="nil"/>
              <w:left w:val="nil"/>
              <w:bottom w:val="nil"/>
            </w:tcBorders>
          </w:tcPr>
          <w:p w14:paraId="19AF46BA" w14:textId="216E5B9D" w:rsidR="007A203F" w:rsidRPr="004118FC" w:rsidRDefault="007A203F" w:rsidP="002F5837">
            <w:pPr>
              <w:adjustRightInd w:val="0"/>
              <w:snapToGrid w:val="0"/>
              <w:spacing w:after="120" w:line="240" w:lineRule="auto"/>
              <w:rPr>
                <w:rFonts w:cs="Arial"/>
              </w:rPr>
            </w:pPr>
            <w:r w:rsidRPr="004118FC">
              <w:rPr>
                <w:rFonts w:cs="Arial"/>
              </w:rPr>
              <w:t>1</w:t>
            </w:r>
            <w:r w:rsidR="008132D8" w:rsidRPr="004118FC">
              <w:rPr>
                <w:rFonts w:cs="Arial"/>
              </w:rPr>
              <w:t>,</w:t>
            </w:r>
            <w:r w:rsidRPr="004118FC">
              <w:rPr>
                <w:rFonts w:cs="Arial"/>
              </w:rPr>
              <w:t>641.94</w:t>
            </w:r>
          </w:p>
        </w:tc>
      </w:tr>
      <w:tr w:rsidR="009E45FF" w:rsidRPr="0016620E" w14:paraId="761CD625" w14:textId="77777777" w:rsidTr="0083335C">
        <w:tc>
          <w:tcPr>
            <w:tcW w:w="2835" w:type="dxa"/>
            <w:tcBorders>
              <w:top w:val="nil"/>
              <w:bottom w:val="single" w:sz="4" w:space="0" w:color="auto"/>
              <w:right w:val="nil"/>
            </w:tcBorders>
          </w:tcPr>
          <w:p w14:paraId="4D091714" w14:textId="4231161C" w:rsidR="007A203F" w:rsidRPr="004118FC" w:rsidRDefault="007A203F" w:rsidP="002F5837">
            <w:pPr>
              <w:adjustRightInd w:val="0"/>
              <w:snapToGrid w:val="0"/>
              <w:spacing w:after="120" w:line="240" w:lineRule="auto"/>
              <w:rPr>
                <w:rFonts w:cs="Arial"/>
              </w:rPr>
            </w:pPr>
            <w:r w:rsidRPr="004118FC">
              <w:rPr>
                <w:rFonts w:cs="Arial"/>
              </w:rPr>
              <w:t xml:space="preserve">Job satisfaction </w:t>
            </w:r>
          </w:p>
        </w:tc>
        <w:tc>
          <w:tcPr>
            <w:tcW w:w="1134" w:type="dxa"/>
            <w:tcBorders>
              <w:top w:val="nil"/>
              <w:left w:val="nil"/>
              <w:bottom w:val="single" w:sz="4" w:space="0" w:color="auto"/>
              <w:right w:val="nil"/>
            </w:tcBorders>
          </w:tcPr>
          <w:p w14:paraId="70C738E6" w14:textId="702A03B7" w:rsidR="007A203F" w:rsidRPr="004118FC" w:rsidRDefault="007A203F" w:rsidP="002F5837">
            <w:pPr>
              <w:adjustRightInd w:val="0"/>
              <w:snapToGrid w:val="0"/>
              <w:spacing w:after="120" w:line="240" w:lineRule="auto"/>
              <w:rPr>
                <w:rFonts w:cs="Arial"/>
              </w:rPr>
            </w:pPr>
            <w:r w:rsidRPr="004118FC">
              <w:rPr>
                <w:rFonts w:cs="Arial"/>
              </w:rPr>
              <w:t>7.60</w:t>
            </w:r>
          </w:p>
        </w:tc>
        <w:tc>
          <w:tcPr>
            <w:tcW w:w="1134" w:type="dxa"/>
            <w:tcBorders>
              <w:top w:val="nil"/>
              <w:left w:val="nil"/>
              <w:bottom w:val="single" w:sz="4" w:space="0" w:color="auto"/>
              <w:right w:val="nil"/>
            </w:tcBorders>
          </w:tcPr>
          <w:p w14:paraId="25DEB935" w14:textId="16DD71A1" w:rsidR="007A203F" w:rsidRPr="004118FC" w:rsidRDefault="007A203F" w:rsidP="002F5837">
            <w:pPr>
              <w:adjustRightInd w:val="0"/>
              <w:snapToGrid w:val="0"/>
              <w:spacing w:after="120" w:line="240" w:lineRule="auto"/>
              <w:rPr>
                <w:rFonts w:cs="Arial"/>
              </w:rPr>
            </w:pPr>
            <w:r w:rsidRPr="004118FC">
              <w:rPr>
                <w:rFonts w:cs="Arial"/>
              </w:rPr>
              <w:t>7.66</w:t>
            </w:r>
          </w:p>
        </w:tc>
        <w:tc>
          <w:tcPr>
            <w:tcW w:w="1134" w:type="dxa"/>
            <w:tcBorders>
              <w:top w:val="nil"/>
              <w:left w:val="nil"/>
              <w:bottom w:val="single" w:sz="4" w:space="0" w:color="auto"/>
              <w:right w:val="nil"/>
            </w:tcBorders>
          </w:tcPr>
          <w:p w14:paraId="6C73DE39" w14:textId="485CE190" w:rsidR="007A203F" w:rsidRPr="004118FC" w:rsidRDefault="007A203F" w:rsidP="002F5837">
            <w:pPr>
              <w:adjustRightInd w:val="0"/>
              <w:snapToGrid w:val="0"/>
              <w:spacing w:after="120" w:line="240" w:lineRule="auto"/>
              <w:rPr>
                <w:rFonts w:cs="Arial"/>
              </w:rPr>
            </w:pPr>
            <w:r w:rsidRPr="004118FC">
              <w:rPr>
                <w:rFonts w:cs="Arial"/>
              </w:rPr>
              <w:t>7.50</w:t>
            </w:r>
          </w:p>
        </w:tc>
        <w:tc>
          <w:tcPr>
            <w:tcW w:w="1134" w:type="dxa"/>
            <w:tcBorders>
              <w:top w:val="nil"/>
              <w:left w:val="nil"/>
              <w:bottom w:val="single" w:sz="4" w:space="0" w:color="auto"/>
              <w:right w:val="nil"/>
            </w:tcBorders>
          </w:tcPr>
          <w:p w14:paraId="342124D9" w14:textId="2E46345E" w:rsidR="007A203F" w:rsidRPr="004118FC" w:rsidRDefault="007A203F" w:rsidP="002F5837">
            <w:pPr>
              <w:adjustRightInd w:val="0"/>
              <w:snapToGrid w:val="0"/>
              <w:spacing w:after="120" w:line="240" w:lineRule="auto"/>
              <w:rPr>
                <w:rFonts w:cs="Arial"/>
              </w:rPr>
            </w:pPr>
            <w:r w:rsidRPr="004118FC">
              <w:rPr>
                <w:rFonts w:cs="Arial"/>
              </w:rPr>
              <w:t>7.69</w:t>
            </w:r>
          </w:p>
        </w:tc>
        <w:tc>
          <w:tcPr>
            <w:tcW w:w="1134" w:type="dxa"/>
            <w:tcBorders>
              <w:top w:val="nil"/>
              <w:left w:val="nil"/>
              <w:bottom w:val="single" w:sz="4" w:space="0" w:color="auto"/>
              <w:right w:val="nil"/>
            </w:tcBorders>
          </w:tcPr>
          <w:p w14:paraId="768F6149" w14:textId="5653D8EF" w:rsidR="007A203F" w:rsidRPr="004118FC" w:rsidRDefault="007A203F" w:rsidP="002F5837">
            <w:pPr>
              <w:adjustRightInd w:val="0"/>
              <w:snapToGrid w:val="0"/>
              <w:spacing w:after="120" w:line="240" w:lineRule="auto"/>
              <w:rPr>
                <w:rFonts w:cs="Arial"/>
              </w:rPr>
            </w:pPr>
            <w:r w:rsidRPr="004118FC">
              <w:rPr>
                <w:rFonts w:cs="Arial"/>
              </w:rPr>
              <w:t>7.66</w:t>
            </w:r>
          </w:p>
        </w:tc>
        <w:tc>
          <w:tcPr>
            <w:tcW w:w="1134" w:type="dxa"/>
            <w:tcBorders>
              <w:top w:val="nil"/>
              <w:left w:val="nil"/>
              <w:bottom w:val="single" w:sz="4" w:space="0" w:color="auto"/>
              <w:right w:val="nil"/>
            </w:tcBorders>
          </w:tcPr>
          <w:p w14:paraId="75942028" w14:textId="69B61A0B" w:rsidR="007A203F" w:rsidRPr="004118FC" w:rsidRDefault="007A203F" w:rsidP="002F5837">
            <w:pPr>
              <w:adjustRightInd w:val="0"/>
              <w:snapToGrid w:val="0"/>
              <w:spacing w:after="120" w:line="240" w:lineRule="auto"/>
              <w:rPr>
                <w:rFonts w:cs="Arial"/>
              </w:rPr>
            </w:pPr>
            <w:r w:rsidRPr="004118FC">
              <w:rPr>
                <w:rFonts w:cs="Arial"/>
              </w:rPr>
              <w:t>7.66</w:t>
            </w:r>
          </w:p>
        </w:tc>
        <w:tc>
          <w:tcPr>
            <w:tcW w:w="1134" w:type="dxa"/>
            <w:tcBorders>
              <w:top w:val="nil"/>
              <w:left w:val="nil"/>
              <w:bottom w:val="single" w:sz="4" w:space="0" w:color="auto"/>
              <w:right w:val="nil"/>
            </w:tcBorders>
          </w:tcPr>
          <w:p w14:paraId="4EA29B70" w14:textId="0A12144E" w:rsidR="007A203F" w:rsidRPr="004118FC" w:rsidRDefault="007A203F" w:rsidP="002F5837">
            <w:pPr>
              <w:adjustRightInd w:val="0"/>
              <w:snapToGrid w:val="0"/>
              <w:spacing w:after="120" w:line="240" w:lineRule="auto"/>
              <w:rPr>
                <w:rFonts w:cs="Arial"/>
              </w:rPr>
            </w:pPr>
            <w:r w:rsidRPr="004118FC">
              <w:rPr>
                <w:rFonts w:cs="Arial"/>
              </w:rPr>
              <w:t>7.61</w:t>
            </w:r>
          </w:p>
        </w:tc>
        <w:tc>
          <w:tcPr>
            <w:tcW w:w="1134" w:type="dxa"/>
            <w:tcBorders>
              <w:top w:val="nil"/>
              <w:left w:val="nil"/>
              <w:bottom w:val="single" w:sz="4" w:space="0" w:color="auto"/>
              <w:right w:val="nil"/>
            </w:tcBorders>
          </w:tcPr>
          <w:p w14:paraId="4F31E9BC" w14:textId="72A1B4EC" w:rsidR="007A203F" w:rsidRPr="004118FC" w:rsidRDefault="007A203F" w:rsidP="002F5837">
            <w:pPr>
              <w:adjustRightInd w:val="0"/>
              <w:snapToGrid w:val="0"/>
              <w:spacing w:after="120" w:line="240" w:lineRule="auto"/>
              <w:rPr>
                <w:rFonts w:cs="Arial"/>
              </w:rPr>
            </w:pPr>
            <w:r w:rsidRPr="004118FC">
              <w:rPr>
                <w:rFonts w:cs="Arial"/>
              </w:rPr>
              <w:t>7.67</w:t>
            </w:r>
          </w:p>
        </w:tc>
        <w:tc>
          <w:tcPr>
            <w:tcW w:w="1134" w:type="dxa"/>
            <w:tcBorders>
              <w:top w:val="nil"/>
              <w:left w:val="nil"/>
              <w:bottom w:val="single" w:sz="4" w:space="0" w:color="auto"/>
              <w:right w:val="nil"/>
            </w:tcBorders>
          </w:tcPr>
          <w:p w14:paraId="48E0A72A" w14:textId="40A6B19A" w:rsidR="007A203F" w:rsidRPr="004118FC" w:rsidRDefault="007A203F" w:rsidP="002F5837">
            <w:pPr>
              <w:adjustRightInd w:val="0"/>
              <w:snapToGrid w:val="0"/>
              <w:spacing w:after="120" w:line="240" w:lineRule="auto"/>
              <w:rPr>
                <w:rFonts w:cs="Arial"/>
              </w:rPr>
            </w:pPr>
            <w:r w:rsidRPr="004118FC">
              <w:rPr>
                <w:rFonts w:cs="Arial"/>
              </w:rPr>
              <w:t>7.57</w:t>
            </w:r>
          </w:p>
        </w:tc>
        <w:tc>
          <w:tcPr>
            <w:tcW w:w="1134" w:type="dxa"/>
            <w:tcBorders>
              <w:top w:val="nil"/>
              <w:left w:val="nil"/>
              <w:bottom w:val="single" w:sz="4" w:space="0" w:color="auto"/>
            </w:tcBorders>
          </w:tcPr>
          <w:p w14:paraId="6D79D63D" w14:textId="55F84220" w:rsidR="007A203F" w:rsidRPr="004118FC" w:rsidRDefault="007A203F" w:rsidP="002F5837">
            <w:pPr>
              <w:adjustRightInd w:val="0"/>
              <w:snapToGrid w:val="0"/>
              <w:spacing w:after="120" w:line="240" w:lineRule="auto"/>
              <w:rPr>
                <w:rFonts w:cs="Arial"/>
              </w:rPr>
            </w:pPr>
            <w:r w:rsidRPr="004118FC">
              <w:rPr>
                <w:rFonts w:cs="Arial"/>
              </w:rPr>
              <w:t>7.66</w:t>
            </w:r>
          </w:p>
        </w:tc>
      </w:tr>
    </w:tbl>
    <w:p w14:paraId="03D6CD72" w14:textId="3ADCB8B2" w:rsidR="006247ED" w:rsidRPr="008A4F2B" w:rsidRDefault="00CA4B0C" w:rsidP="000F54A6">
      <w:pPr>
        <w:spacing w:line="240" w:lineRule="auto"/>
        <w:rPr>
          <w:rFonts w:eastAsia="Arial" w:cs="Arial"/>
          <w:i/>
          <w:iCs/>
          <w:w w:val="105"/>
          <w:kern w:val="0"/>
          <w:sz w:val="18"/>
          <w:szCs w:val="18"/>
          <w14:ligatures w14:val="none"/>
        </w:rPr>
      </w:pPr>
      <w:r w:rsidRPr="008A4F2B">
        <w:rPr>
          <w:rFonts w:eastAsia="Arial" w:cs="Arial"/>
          <w:i/>
          <w:iCs/>
          <w:w w:val="105"/>
          <w:kern w:val="0"/>
          <w:sz w:val="18"/>
          <w:szCs w:val="18"/>
          <w14:ligatures w14:val="none"/>
        </w:rPr>
        <w:t>Note: Source of data: HILDA waves 12, 16, and 20.</w:t>
      </w:r>
    </w:p>
    <w:p w14:paraId="2D805A17" w14:textId="5511578A" w:rsidR="006247ED" w:rsidRPr="00BF48E1" w:rsidRDefault="006247ED" w:rsidP="00BF48E1">
      <w:pPr>
        <w:pStyle w:val="Caption"/>
        <w:rPr>
          <w:rFonts w:cs="Arial"/>
          <w:color w:val="auto"/>
          <w:sz w:val="20"/>
          <w:szCs w:val="20"/>
        </w:rPr>
      </w:pPr>
      <w:r>
        <w:rPr>
          <w:rFonts w:cs="Arial"/>
          <w:sz w:val="20"/>
          <w:szCs w:val="20"/>
        </w:rPr>
        <w:br w:type="page"/>
      </w:r>
      <w:bookmarkStart w:id="84" w:name="_Toc222998795"/>
      <w:bookmarkStart w:id="85" w:name="_Toc191458053"/>
      <w:bookmarkStart w:id="86" w:name="_Toc191458145"/>
      <w:r w:rsidR="00A42DC8" w:rsidRPr="00BF48E1">
        <w:lastRenderedPageBreak/>
        <w:t>Table A</w:t>
      </w:r>
      <w:r w:rsidR="00A42DC8" w:rsidRPr="00BF48E1">
        <w:fldChar w:fldCharType="begin"/>
      </w:r>
      <w:r w:rsidR="00A42DC8" w:rsidRPr="00BF48E1">
        <w:instrText xml:space="preserve"> SEQ Table_A \* ARABIC </w:instrText>
      </w:r>
      <w:r w:rsidR="00A42DC8" w:rsidRPr="00BF48E1">
        <w:fldChar w:fldCharType="separate"/>
      </w:r>
      <w:r w:rsidR="00392C8C" w:rsidRPr="00BF48E1">
        <w:rPr>
          <w:noProof/>
        </w:rPr>
        <w:t>2</w:t>
      </w:r>
      <w:r w:rsidR="00A42DC8" w:rsidRPr="00BF48E1">
        <w:fldChar w:fldCharType="end"/>
      </w:r>
      <w:r w:rsidR="00CF6C8B" w:rsidRPr="00BF48E1">
        <w:t xml:space="preserve">: </w:t>
      </w:r>
      <w:r w:rsidRPr="00BF48E1">
        <w:rPr>
          <w:rFonts w:cs="Arial"/>
          <w:color w:val="000000"/>
        </w:rPr>
        <w:t xml:space="preserve">Distribution of 15 </w:t>
      </w:r>
      <w:r w:rsidR="007A0A20" w:rsidRPr="00BF48E1">
        <w:rPr>
          <w:rFonts w:cs="Arial"/>
          <w:color w:val="000000"/>
        </w:rPr>
        <w:t>detailed</w:t>
      </w:r>
      <w:r w:rsidRPr="00BF48E1">
        <w:rPr>
          <w:rFonts w:cs="Arial"/>
          <w:color w:val="000000"/>
        </w:rPr>
        <w:t xml:space="preserve"> fields of study by </w:t>
      </w:r>
      <w:r w:rsidR="0097512D">
        <w:rPr>
          <w:rFonts w:cs="Arial"/>
          <w:color w:val="000000"/>
        </w:rPr>
        <w:t>socio-economic</w:t>
      </w:r>
      <w:r w:rsidR="005E11B3" w:rsidRPr="00BF48E1">
        <w:rPr>
          <w:rFonts w:cs="Arial"/>
          <w:color w:val="000000"/>
        </w:rPr>
        <w:t xml:space="preserve"> background</w:t>
      </w:r>
      <w:bookmarkEnd w:id="84"/>
      <w:r w:rsidR="005E11B3" w:rsidRPr="00667309">
        <w:rPr>
          <w:w w:val="105"/>
        </w:rPr>
        <w:t xml:space="preserve"> </w:t>
      </w:r>
      <w:bookmarkEnd w:id="85"/>
      <w:bookmarkEnd w:id="86"/>
    </w:p>
    <w:tbl>
      <w:tblPr>
        <w:tblStyle w:val="TableGrid"/>
        <w:tblW w:w="14041" w:type="dxa"/>
        <w:tblBorders>
          <w:left w:val="none" w:sz="0" w:space="0" w:color="auto"/>
          <w:right w:val="none" w:sz="0" w:space="0" w:color="auto"/>
        </w:tblBorders>
        <w:tblLayout w:type="fixed"/>
        <w:tblLook w:val="04A0" w:firstRow="1" w:lastRow="0" w:firstColumn="1" w:lastColumn="0" w:noHBand="0" w:noVBand="1"/>
      </w:tblPr>
      <w:tblGrid>
        <w:gridCol w:w="4962"/>
        <w:gridCol w:w="850"/>
        <w:gridCol w:w="992"/>
        <w:gridCol w:w="851"/>
        <w:gridCol w:w="992"/>
        <w:gridCol w:w="851"/>
        <w:gridCol w:w="992"/>
        <w:gridCol w:w="850"/>
        <w:gridCol w:w="993"/>
        <w:gridCol w:w="850"/>
        <w:gridCol w:w="858"/>
      </w:tblGrid>
      <w:tr w:rsidR="006247ED" w:rsidRPr="0016620E" w14:paraId="0693EC88" w14:textId="77777777" w:rsidTr="0083335C">
        <w:tc>
          <w:tcPr>
            <w:tcW w:w="4962" w:type="dxa"/>
            <w:vMerge w:val="restart"/>
            <w:tcBorders>
              <w:right w:val="nil"/>
            </w:tcBorders>
            <w:shd w:val="clear" w:color="auto" w:fill="78DED9" w:themeFill="accent1"/>
            <w:vAlign w:val="bottom"/>
          </w:tcPr>
          <w:p w14:paraId="300CFF78" w14:textId="77777777" w:rsidR="006247ED" w:rsidRPr="00454174" w:rsidRDefault="006247ED" w:rsidP="002F5837">
            <w:pPr>
              <w:spacing w:after="120" w:line="240" w:lineRule="auto"/>
              <w:rPr>
                <w:rFonts w:eastAsiaTheme="majorEastAsia" w:cs="Arial"/>
                <w:b/>
                <w:bCs/>
                <w:color w:val="351C26" w:themeColor="text1"/>
                <w14:ligatures w14:val="none"/>
              </w:rPr>
            </w:pPr>
          </w:p>
        </w:tc>
        <w:tc>
          <w:tcPr>
            <w:tcW w:w="1842" w:type="dxa"/>
            <w:gridSpan w:val="2"/>
            <w:tcBorders>
              <w:left w:val="nil"/>
              <w:bottom w:val="single" w:sz="4" w:space="0" w:color="auto"/>
              <w:right w:val="nil"/>
            </w:tcBorders>
            <w:shd w:val="clear" w:color="auto" w:fill="78DED9" w:themeFill="accent1"/>
          </w:tcPr>
          <w:p w14:paraId="7DB173A2" w14:textId="77777777" w:rsidR="006247ED" w:rsidRPr="00D75CF3" w:rsidRDefault="006247ED" w:rsidP="002F5837">
            <w:pPr>
              <w:spacing w:after="120" w:line="240" w:lineRule="auto"/>
              <w:rPr>
                <w:rFonts w:eastAsiaTheme="majorEastAsia" w:cs="Arial"/>
                <w:b/>
                <w:bCs/>
                <w:color w:val="351C26" w:themeColor="text1"/>
                <w:lang w:val="en-US"/>
                <w14:ligatures w14:val="none"/>
              </w:rPr>
            </w:pPr>
            <w:r w:rsidRPr="00D75CF3">
              <w:rPr>
                <w:rFonts w:eastAsiaTheme="majorEastAsia" w:cs="Arial"/>
                <w:b/>
                <w:bCs/>
                <w:color w:val="351C26" w:themeColor="text1"/>
                <w:lang w:val="en-US"/>
                <w14:ligatures w14:val="none"/>
              </w:rPr>
              <w:t>Indigenous</w:t>
            </w:r>
          </w:p>
        </w:tc>
        <w:tc>
          <w:tcPr>
            <w:tcW w:w="1843" w:type="dxa"/>
            <w:gridSpan w:val="2"/>
            <w:tcBorders>
              <w:left w:val="nil"/>
              <w:bottom w:val="single" w:sz="4" w:space="0" w:color="auto"/>
              <w:right w:val="nil"/>
            </w:tcBorders>
            <w:shd w:val="clear" w:color="auto" w:fill="78DED9" w:themeFill="accent1"/>
          </w:tcPr>
          <w:p w14:paraId="1BAE1447" w14:textId="77777777" w:rsidR="006247ED" w:rsidRPr="00D75CF3" w:rsidRDefault="006247ED" w:rsidP="002F5837">
            <w:pPr>
              <w:spacing w:after="120" w:line="240" w:lineRule="auto"/>
              <w:rPr>
                <w:rFonts w:eastAsiaTheme="majorEastAsia" w:cs="Arial"/>
                <w:b/>
                <w:bCs/>
                <w:color w:val="351C26" w:themeColor="text1"/>
                <w:lang w:val="en-US"/>
                <w14:ligatures w14:val="none"/>
              </w:rPr>
            </w:pPr>
            <w:r w:rsidRPr="00D75CF3">
              <w:rPr>
                <w:rFonts w:eastAsiaTheme="majorEastAsia" w:cs="Arial"/>
                <w:b/>
                <w:bCs/>
                <w:color w:val="351C26" w:themeColor="text1"/>
                <w:lang w:val="en-US"/>
                <w14:ligatures w14:val="none"/>
              </w:rPr>
              <w:t>NESB</w:t>
            </w:r>
          </w:p>
        </w:tc>
        <w:tc>
          <w:tcPr>
            <w:tcW w:w="1843" w:type="dxa"/>
            <w:gridSpan w:val="2"/>
            <w:tcBorders>
              <w:left w:val="nil"/>
              <w:bottom w:val="single" w:sz="4" w:space="0" w:color="auto"/>
              <w:right w:val="nil"/>
            </w:tcBorders>
            <w:shd w:val="clear" w:color="auto" w:fill="78DED9" w:themeFill="accent1"/>
          </w:tcPr>
          <w:p w14:paraId="004C962E" w14:textId="239C2ACE" w:rsidR="006247ED" w:rsidRPr="00BF057E" w:rsidRDefault="00BF057E" w:rsidP="002F5837">
            <w:pPr>
              <w:spacing w:after="120" w:line="240" w:lineRule="auto"/>
              <w:rPr>
                <w:rFonts w:eastAsiaTheme="majorEastAsia" w:cs="Arial"/>
                <w:b/>
                <w:bCs/>
                <w:color w:val="351C26" w:themeColor="text1"/>
                <w:lang w:val="en-US"/>
                <w14:ligatures w14:val="none"/>
              </w:rPr>
            </w:pPr>
            <w:r w:rsidRPr="00BF057E">
              <w:rPr>
                <w:rFonts w:eastAsia="Arial" w:cs="Arial"/>
                <w:b/>
                <w:bCs/>
                <w:w w:val="105"/>
                <w14:ligatures w14:val="none"/>
              </w:rPr>
              <w:t>Low SES in childhood</w:t>
            </w:r>
          </w:p>
        </w:tc>
        <w:tc>
          <w:tcPr>
            <w:tcW w:w="1843" w:type="dxa"/>
            <w:gridSpan w:val="2"/>
            <w:tcBorders>
              <w:left w:val="nil"/>
              <w:bottom w:val="single" w:sz="4" w:space="0" w:color="auto"/>
              <w:right w:val="nil"/>
            </w:tcBorders>
            <w:shd w:val="clear" w:color="auto" w:fill="78DED9" w:themeFill="accent1"/>
          </w:tcPr>
          <w:p w14:paraId="152A0089" w14:textId="77777777" w:rsidR="006247ED" w:rsidRPr="00D75CF3" w:rsidRDefault="006247ED" w:rsidP="002F5837">
            <w:pPr>
              <w:spacing w:after="120" w:line="240" w:lineRule="auto"/>
              <w:rPr>
                <w:rFonts w:eastAsiaTheme="majorEastAsia" w:cs="Arial"/>
                <w:b/>
                <w:bCs/>
                <w:color w:val="351C26" w:themeColor="text1"/>
                <w:lang w:val="en-US"/>
                <w14:ligatures w14:val="none"/>
              </w:rPr>
            </w:pPr>
            <w:r w:rsidRPr="00D75CF3">
              <w:rPr>
                <w:rFonts w:eastAsiaTheme="majorEastAsia" w:cs="Arial"/>
                <w:b/>
                <w:bCs/>
                <w:color w:val="351C26" w:themeColor="text1"/>
                <w:lang w:val="en-US"/>
                <w14:ligatures w14:val="none"/>
              </w:rPr>
              <w:t xml:space="preserve">Father unemployed for 6+ months </w:t>
            </w:r>
          </w:p>
        </w:tc>
        <w:tc>
          <w:tcPr>
            <w:tcW w:w="1708" w:type="dxa"/>
            <w:gridSpan w:val="2"/>
            <w:tcBorders>
              <w:left w:val="nil"/>
              <w:bottom w:val="single" w:sz="4" w:space="0" w:color="auto"/>
            </w:tcBorders>
            <w:shd w:val="clear" w:color="auto" w:fill="78DED9" w:themeFill="accent1"/>
          </w:tcPr>
          <w:p w14:paraId="0763467D" w14:textId="77777777" w:rsidR="006247ED" w:rsidRPr="00D75CF3" w:rsidRDefault="006247ED" w:rsidP="002F5837">
            <w:pPr>
              <w:spacing w:after="120" w:line="240" w:lineRule="auto"/>
              <w:rPr>
                <w:rFonts w:eastAsiaTheme="majorEastAsia" w:cs="Arial"/>
                <w:b/>
                <w:bCs/>
                <w:color w:val="351C26" w:themeColor="text1"/>
                <w:lang w:val="en-US"/>
                <w14:ligatures w14:val="none"/>
              </w:rPr>
            </w:pPr>
            <w:r w:rsidRPr="00D75CF3">
              <w:rPr>
                <w:rFonts w:eastAsiaTheme="majorEastAsia" w:cs="Arial"/>
                <w:b/>
                <w:bCs/>
                <w:color w:val="351C26" w:themeColor="text1"/>
                <w:lang w:val="en-US"/>
                <w14:ligatures w14:val="none"/>
              </w:rPr>
              <w:t>Single-parent family</w:t>
            </w:r>
          </w:p>
        </w:tc>
      </w:tr>
      <w:tr w:rsidR="006247ED" w:rsidRPr="0016620E" w14:paraId="365D0757" w14:textId="77777777" w:rsidTr="0083335C">
        <w:tc>
          <w:tcPr>
            <w:tcW w:w="4962" w:type="dxa"/>
            <w:vMerge/>
            <w:tcBorders>
              <w:bottom w:val="single" w:sz="4" w:space="0" w:color="auto"/>
              <w:right w:val="nil"/>
            </w:tcBorders>
            <w:shd w:val="clear" w:color="auto" w:fill="78DED9" w:themeFill="accent1"/>
          </w:tcPr>
          <w:p w14:paraId="73E5CF23" w14:textId="77777777" w:rsidR="006247ED" w:rsidRPr="00D75CF3" w:rsidRDefault="006247ED" w:rsidP="002F5837">
            <w:pPr>
              <w:spacing w:after="120" w:line="240" w:lineRule="auto"/>
              <w:rPr>
                <w:rFonts w:eastAsiaTheme="majorEastAsia" w:cs="Arial"/>
                <w:b/>
                <w:bCs/>
                <w:color w:val="351C26" w:themeColor="text1"/>
                <w:lang w:val="en-US"/>
                <w14:ligatures w14:val="none"/>
              </w:rPr>
            </w:pPr>
          </w:p>
        </w:tc>
        <w:tc>
          <w:tcPr>
            <w:tcW w:w="850" w:type="dxa"/>
            <w:tcBorders>
              <w:left w:val="nil"/>
              <w:bottom w:val="single" w:sz="4" w:space="0" w:color="auto"/>
              <w:right w:val="nil"/>
            </w:tcBorders>
            <w:shd w:val="clear" w:color="auto" w:fill="78DED9" w:themeFill="accent1"/>
          </w:tcPr>
          <w:p w14:paraId="52486AC8" w14:textId="77777777" w:rsidR="006247ED" w:rsidRPr="00D75CF3" w:rsidRDefault="006247ED" w:rsidP="002F5837">
            <w:pPr>
              <w:spacing w:after="120" w:line="240" w:lineRule="auto"/>
              <w:rPr>
                <w:rFonts w:eastAsiaTheme="majorEastAsia" w:cs="Arial"/>
                <w:b/>
                <w:bCs/>
                <w:color w:val="351C26" w:themeColor="text1"/>
                <w:lang w:val="en-US"/>
                <w14:ligatures w14:val="none"/>
              </w:rPr>
            </w:pPr>
            <w:r w:rsidRPr="00D75CF3">
              <w:rPr>
                <w:rFonts w:eastAsiaTheme="majorEastAsia" w:cs="Arial"/>
                <w:b/>
                <w:bCs/>
                <w:color w:val="351C26" w:themeColor="text1"/>
                <w:lang w:val="en-US"/>
                <w14:ligatures w14:val="none"/>
              </w:rPr>
              <w:t>Yes</w:t>
            </w:r>
          </w:p>
        </w:tc>
        <w:tc>
          <w:tcPr>
            <w:tcW w:w="992" w:type="dxa"/>
            <w:tcBorders>
              <w:left w:val="nil"/>
              <w:bottom w:val="single" w:sz="4" w:space="0" w:color="auto"/>
              <w:right w:val="nil"/>
            </w:tcBorders>
            <w:shd w:val="clear" w:color="auto" w:fill="78DED9" w:themeFill="accent1"/>
          </w:tcPr>
          <w:p w14:paraId="3F354A75" w14:textId="77777777" w:rsidR="006247ED" w:rsidRPr="00D75CF3" w:rsidRDefault="006247ED" w:rsidP="002F5837">
            <w:pPr>
              <w:spacing w:after="120" w:line="240" w:lineRule="auto"/>
              <w:rPr>
                <w:rFonts w:eastAsiaTheme="majorEastAsia" w:cs="Arial"/>
                <w:b/>
                <w:bCs/>
                <w:color w:val="351C26" w:themeColor="text1"/>
                <w:lang w:val="en-US"/>
                <w14:ligatures w14:val="none"/>
              </w:rPr>
            </w:pPr>
            <w:r w:rsidRPr="00D75CF3">
              <w:rPr>
                <w:rFonts w:eastAsiaTheme="majorEastAsia" w:cs="Arial"/>
                <w:b/>
                <w:bCs/>
                <w:color w:val="351C26" w:themeColor="text1"/>
                <w:lang w:val="en-US"/>
                <w14:ligatures w14:val="none"/>
              </w:rPr>
              <w:t>No</w:t>
            </w:r>
          </w:p>
        </w:tc>
        <w:tc>
          <w:tcPr>
            <w:tcW w:w="851" w:type="dxa"/>
            <w:tcBorders>
              <w:left w:val="nil"/>
              <w:bottom w:val="single" w:sz="4" w:space="0" w:color="auto"/>
              <w:right w:val="nil"/>
            </w:tcBorders>
            <w:shd w:val="clear" w:color="auto" w:fill="78DED9" w:themeFill="accent1"/>
          </w:tcPr>
          <w:p w14:paraId="7A762F23" w14:textId="77777777" w:rsidR="006247ED" w:rsidRPr="00D75CF3" w:rsidRDefault="006247ED" w:rsidP="002F5837">
            <w:pPr>
              <w:spacing w:after="120" w:line="240" w:lineRule="auto"/>
              <w:rPr>
                <w:rFonts w:eastAsiaTheme="majorEastAsia" w:cs="Arial"/>
                <w:b/>
                <w:bCs/>
                <w:color w:val="351C26" w:themeColor="text1"/>
                <w:lang w:val="en-US"/>
                <w14:ligatures w14:val="none"/>
              </w:rPr>
            </w:pPr>
            <w:r w:rsidRPr="00D75CF3">
              <w:rPr>
                <w:rFonts w:eastAsiaTheme="majorEastAsia" w:cs="Arial"/>
                <w:b/>
                <w:bCs/>
                <w:color w:val="351C26" w:themeColor="text1"/>
                <w:lang w:val="en-US"/>
                <w14:ligatures w14:val="none"/>
              </w:rPr>
              <w:t>Yes</w:t>
            </w:r>
          </w:p>
        </w:tc>
        <w:tc>
          <w:tcPr>
            <w:tcW w:w="992" w:type="dxa"/>
            <w:tcBorders>
              <w:left w:val="nil"/>
              <w:bottom w:val="single" w:sz="4" w:space="0" w:color="auto"/>
              <w:right w:val="nil"/>
            </w:tcBorders>
            <w:shd w:val="clear" w:color="auto" w:fill="78DED9" w:themeFill="accent1"/>
          </w:tcPr>
          <w:p w14:paraId="22FB3A3E" w14:textId="77777777" w:rsidR="006247ED" w:rsidRPr="00D75CF3" w:rsidRDefault="006247ED" w:rsidP="002F5837">
            <w:pPr>
              <w:spacing w:after="120" w:line="240" w:lineRule="auto"/>
              <w:rPr>
                <w:rFonts w:eastAsiaTheme="majorEastAsia" w:cs="Arial"/>
                <w:b/>
                <w:bCs/>
                <w:color w:val="351C26" w:themeColor="text1"/>
                <w:lang w:val="en-US"/>
                <w14:ligatures w14:val="none"/>
              </w:rPr>
            </w:pPr>
            <w:r w:rsidRPr="00D75CF3">
              <w:rPr>
                <w:rFonts w:eastAsiaTheme="majorEastAsia" w:cs="Arial"/>
                <w:b/>
                <w:bCs/>
                <w:color w:val="351C26" w:themeColor="text1"/>
                <w:lang w:val="en-US"/>
                <w14:ligatures w14:val="none"/>
              </w:rPr>
              <w:t>No</w:t>
            </w:r>
          </w:p>
        </w:tc>
        <w:tc>
          <w:tcPr>
            <w:tcW w:w="851" w:type="dxa"/>
            <w:tcBorders>
              <w:left w:val="nil"/>
              <w:bottom w:val="single" w:sz="4" w:space="0" w:color="auto"/>
              <w:right w:val="nil"/>
            </w:tcBorders>
            <w:shd w:val="clear" w:color="auto" w:fill="78DED9" w:themeFill="accent1"/>
          </w:tcPr>
          <w:p w14:paraId="1AF61EFD" w14:textId="77777777" w:rsidR="006247ED" w:rsidRPr="00D75CF3" w:rsidRDefault="006247ED" w:rsidP="002F5837">
            <w:pPr>
              <w:spacing w:after="120" w:line="240" w:lineRule="auto"/>
              <w:rPr>
                <w:rFonts w:eastAsiaTheme="majorEastAsia" w:cs="Arial"/>
                <w:b/>
                <w:bCs/>
                <w:color w:val="351C26" w:themeColor="text1"/>
                <w:lang w:val="en-US"/>
                <w14:ligatures w14:val="none"/>
              </w:rPr>
            </w:pPr>
            <w:r w:rsidRPr="00D75CF3">
              <w:rPr>
                <w:rFonts w:eastAsiaTheme="majorEastAsia" w:cs="Arial"/>
                <w:b/>
                <w:bCs/>
                <w:color w:val="351C26" w:themeColor="text1"/>
                <w:lang w:val="en-US"/>
                <w14:ligatures w14:val="none"/>
              </w:rPr>
              <w:t>Yes</w:t>
            </w:r>
          </w:p>
        </w:tc>
        <w:tc>
          <w:tcPr>
            <w:tcW w:w="992" w:type="dxa"/>
            <w:tcBorders>
              <w:left w:val="nil"/>
              <w:bottom w:val="single" w:sz="4" w:space="0" w:color="auto"/>
              <w:right w:val="nil"/>
            </w:tcBorders>
            <w:shd w:val="clear" w:color="auto" w:fill="78DED9" w:themeFill="accent1"/>
          </w:tcPr>
          <w:p w14:paraId="6F0F87CE" w14:textId="77777777" w:rsidR="006247ED" w:rsidRPr="00D75CF3" w:rsidRDefault="006247ED" w:rsidP="002F5837">
            <w:pPr>
              <w:spacing w:after="120" w:line="240" w:lineRule="auto"/>
              <w:rPr>
                <w:rFonts w:eastAsiaTheme="majorEastAsia" w:cs="Arial"/>
                <w:b/>
                <w:bCs/>
                <w:color w:val="351C26" w:themeColor="text1"/>
                <w:lang w:val="en-US"/>
                <w14:ligatures w14:val="none"/>
              </w:rPr>
            </w:pPr>
            <w:r w:rsidRPr="00D75CF3">
              <w:rPr>
                <w:rFonts w:eastAsiaTheme="majorEastAsia" w:cs="Arial"/>
                <w:b/>
                <w:bCs/>
                <w:color w:val="351C26" w:themeColor="text1"/>
                <w:lang w:val="en-US"/>
                <w14:ligatures w14:val="none"/>
              </w:rPr>
              <w:t>No</w:t>
            </w:r>
          </w:p>
        </w:tc>
        <w:tc>
          <w:tcPr>
            <w:tcW w:w="850" w:type="dxa"/>
            <w:tcBorders>
              <w:left w:val="nil"/>
              <w:bottom w:val="single" w:sz="4" w:space="0" w:color="auto"/>
              <w:right w:val="nil"/>
            </w:tcBorders>
            <w:shd w:val="clear" w:color="auto" w:fill="78DED9" w:themeFill="accent1"/>
          </w:tcPr>
          <w:p w14:paraId="41D9D702" w14:textId="77777777" w:rsidR="006247ED" w:rsidRPr="00D75CF3" w:rsidRDefault="006247ED" w:rsidP="002F5837">
            <w:pPr>
              <w:spacing w:after="120" w:line="240" w:lineRule="auto"/>
              <w:rPr>
                <w:rFonts w:eastAsiaTheme="majorEastAsia" w:cs="Arial"/>
                <w:b/>
                <w:bCs/>
                <w:color w:val="351C26" w:themeColor="text1"/>
                <w:lang w:val="en-US"/>
                <w14:ligatures w14:val="none"/>
              </w:rPr>
            </w:pPr>
            <w:r w:rsidRPr="00D75CF3">
              <w:rPr>
                <w:rFonts w:eastAsiaTheme="majorEastAsia" w:cs="Arial"/>
                <w:b/>
                <w:bCs/>
                <w:color w:val="351C26" w:themeColor="text1"/>
                <w:lang w:val="en-US"/>
                <w14:ligatures w14:val="none"/>
              </w:rPr>
              <w:t>Yes</w:t>
            </w:r>
          </w:p>
        </w:tc>
        <w:tc>
          <w:tcPr>
            <w:tcW w:w="993" w:type="dxa"/>
            <w:tcBorders>
              <w:left w:val="nil"/>
              <w:bottom w:val="single" w:sz="4" w:space="0" w:color="auto"/>
              <w:right w:val="nil"/>
            </w:tcBorders>
            <w:shd w:val="clear" w:color="auto" w:fill="78DED9" w:themeFill="accent1"/>
          </w:tcPr>
          <w:p w14:paraId="5D1A343A" w14:textId="77777777" w:rsidR="006247ED" w:rsidRPr="00D75CF3" w:rsidRDefault="006247ED" w:rsidP="002F5837">
            <w:pPr>
              <w:spacing w:after="120" w:line="240" w:lineRule="auto"/>
              <w:rPr>
                <w:rFonts w:eastAsiaTheme="majorEastAsia" w:cs="Arial"/>
                <w:b/>
                <w:bCs/>
                <w:color w:val="351C26" w:themeColor="text1"/>
                <w:lang w:val="en-US"/>
                <w14:ligatures w14:val="none"/>
              </w:rPr>
            </w:pPr>
            <w:r w:rsidRPr="00D75CF3">
              <w:rPr>
                <w:rFonts w:eastAsiaTheme="majorEastAsia" w:cs="Arial"/>
                <w:b/>
                <w:bCs/>
                <w:color w:val="351C26" w:themeColor="text1"/>
                <w:lang w:val="en-US"/>
                <w14:ligatures w14:val="none"/>
              </w:rPr>
              <w:t>No</w:t>
            </w:r>
          </w:p>
        </w:tc>
        <w:tc>
          <w:tcPr>
            <w:tcW w:w="850" w:type="dxa"/>
            <w:tcBorders>
              <w:left w:val="nil"/>
              <w:bottom w:val="single" w:sz="4" w:space="0" w:color="auto"/>
              <w:right w:val="nil"/>
            </w:tcBorders>
            <w:shd w:val="clear" w:color="auto" w:fill="78DED9" w:themeFill="accent1"/>
          </w:tcPr>
          <w:p w14:paraId="5152805E" w14:textId="77777777" w:rsidR="006247ED" w:rsidRPr="00D75CF3" w:rsidRDefault="006247ED" w:rsidP="002F5837">
            <w:pPr>
              <w:spacing w:after="120" w:line="240" w:lineRule="auto"/>
              <w:rPr>
                <w:rFonts w:eastAsiaTheme="majorEastAsia" w:cs="Arial"/>
                <w:b/>
                <w:bCs/>
                <w:color w:val="351C26" w:themeColor="text1"/>
                <w:lang w:val="en-US"/>
                <w14:ligatures w14:val="none"/>
              </w:rPr>
            </w:pPr>
            <w:r w:rsidRPr="00D75CF3">
              <w:rPr>
                <w:rFonts w:eastAsiaTheme="majorEastAsia" w:cs="Arial"/>
                <w:b/>
                <w:bCs/>
                <w:color w:val="351C26" w:themeColor="text1"/>
                <w:lang w:val="en-US"/>
                <w14:ligatures w14:val="none"/>
              </w:rPr>
              <w:t>Yes</w:t>
            </w:r>
          </w:p>
        </w:tc>
        <w:tc>
          <w:tcPr>
            <w:tcW w:w="858" w:type="dxa"/>
            <w:tcBorders>
              <w:left w:val="nil"/>
              <w:bottom w:val="single" w:sz="4" w:space="0" w:color="auto"/>
            </w:tcBorders>
            <w:shd w:val="clear" w:color="auto" w:fill="78DED9" w:themeFill="accent1"/>
          </w:tcPr>
          <w:p w14:paraId="6513742E" w14:textId="77777777" w:rsidR="006247ED" w:rsidRPr="00D75CF3" w:rsidRDefault="006247ED" w:rsidP="002F5837">
            <w:pPr>
              <w:spacing w:after="120" w:line="240" w:lineRule="auto"/>
              <w:rPr>
                <w:rFonts w:eastAsiaTheme="majorEastAsia" w:cs="Arial"/>
                <w:b/>
                <w:bCs/>
                <w:color w:val="351C26" w:themeColor="text1"/>
                <w:lang w:val="en-US"/>
                <w14:ligatures w14:val="none"/>
              </w:rPr>
            </w:pPr>
            <w:r w:rsidRPr="00D75CF3">
              <w:rPr>
                <w:rFonts w:eastAsiaTheme="majorEastAsia" w:cs="Arial"/>
                <w:b/>
                <w:bCs/>
                <w:color w:val="351C26" w:themeColor="text1"/>
                <w:lang w:val="en-US"/>
                <w14:ligatures w14:val="none"/>
              </w:rPr>
              <w:t>No</w:t>
            </w:r>
          </w:p>
        </w:tc>
      </w:tr>
      <w:tr w:rsidR="006247ED" w:rsidRPr="0016620E" w14:paraId="00872D64" w14:textId="77777777" w:rsidTr="0083335C">
        <w:tc>
          <w:tcPr>
            <w:tcW w:w="4962" w:type="dxa"/>
            <w:tcBorders>
              <w:bottom w:val="nil"/>
              <w:right w:val="nil"/>
            </w:tcBorders>
            <w:vAlign w:val="center"/>
          </w:tcPr>
          <w:p w14:paraId="29EF6D66" w14:textId="77777777" w:rsidR="006247ED" w:rsidRPr="0016620E" w:rsidRDefault="006247ED" w:rsidP="002F5837">
            <w:pPr>
              <w:snapToGrid w:val="0"/>
              <w:spacing w:after="120" w:line="240" w:lineRule="auto"/>
              <w:rPr>
                <w:rFonts w:cs="Arial"/>
              </w:rPr>
            </w:pPr>
            <w:r w:rsidRPr="0016620E">
              <w:rPr>
                <w:rFonts w:cs="Arial"/>
              </w:rPr>
              <w:t>Natural and physical sciences (%)</w:t>
            </w:r>
          </w:p>
        </w:tc>
        <w:tc>
          <w:tcPr>
            <w:tcW w:w="850" w:type="dxa"/>
            <w:tcBorders>
              <w:left w:val="nil"/>
              <w:bottom w:val="nil"/>
              <w:right w:val="nil"/>
            </w:tcBorders>
            <w:vAlign w:val="center"/>
          </w:tcPr>
          <w:p w14:paraId="61449EE5" w14:textId="77777777" w:rsidR="006247ED" w:rsidRPr="0016620E" w:rsidRDefault="006247ED" w:rsidP="002F5837">
            <w:pPr>
              <w:snapToGrid w:val="0"/>
              <w:spacing w:after="120" w:line="240" w:lineRule="auto"/>
              <w:rPr>
                <w:rFonts w:cs="Arial"/>
              </w:rPr>
            </w:pPr>
            <w:r w:rsidRPr="0016620E">
              <w:rPr>
                <w:rFonts w:cs="Arial"/>
              </w:rPr>
              <w:t>7.27</w:t>
            </w:r>
          </w:p>
        </w:tc>
        <w:tc>
          <w:tcPr>
            <w:tcW w:w="992" w:type="dxa"/>
            <w:tcBorders>
              <w:left w:val="nil"/>
              <w:bottom w:val="nil"/>
              <w:right w:val="nil"/>
            </w:tcBorders>
            <w:vAlign w:val="center"/>
          </w:tcPr>
          <w:p w14:paraId="2090A3EA" w14:textId="77777777" w:rsidR="006247ED" w:rsidRPr="0016620E" w:rsidRDefault="006247ED" w:rsidP="002F5837">
            <w:pPr>
              <w:snapToGrid w:val="0"/>
              <w:spacing w:after="120" w:line="240" w:lineRule="auto"/>
              <w:rPr>
                <w:rFonts w:cs="Arial"/>
              </w:rPr>
            </w:pPr>
            <w:r w:rsidRPr="0016620E">
              <w:rPr>
                <w:rFonts w:cs="Arial"/>
              </w:rPr>
              <w:t>5.56</w:t>
            </w:r>
          </w:p>
        </w:tc>
        <w:tc>
          <w:tcPr>
            <w:tcW w:w="851" w:type="dxa"/>
            <w:tcBorders>
              <w:left w:val="nil"/>
              <w:bottom w:val="nil"/>
              <w:right w:val="nil"/>
            </w:tcBorders>
            <w:vAlign w:val="center"/>
          </w:tcPr>
          <w:p w14:paraId="67ED10FC" w14:textId="77777777" w:rsidR="006247ED" w:rsidRPr="0016620E" w:rsidRDefault="006247ED" w:rsidP="002F5837">
            <w:pPr>
              <w:snapToGrid w:val="0"/>
              <w:spacing w:after="120" w:line="240" w:lineRule="auto"/>
              <w:rPr>
                <w:rFonts w:cs="Arial"/>
              </w:rPr>
            </w:pPr>
            <w:r w:rsidRPr="0016620E">
              <w:rPr>
                <w:rFonts w:cs="Arial"/>
              </w:rPr>
              <w:t>3.84</w:t>
            </w:r>
          </w:p>
        </w:tc>
        <w:tc>
          <w:tcPr>
            <w:tcW w:w="992" w:type="dxa"/>
            <w:tcBorders>
              <w:left w:val="nil"/>
              <w:bottom w:val="nil"/>
              <w:right w:val="nil"/>
            </w:tcBorders>
            <w:vAlign w:val="center"/>
          </w:tcPr>
          <w:p w14:paraId="0CB1909B" w14:textId="77777777" w:rsidR="006247ED" w:rsidRPr="0016620E" w:rsidRDefault="006247ED" w:rsidP="002F5837">
            <w:pPr>
              <w:snapToGrid w:val="0"/>
              <w:spacing w:after="120" w:line="240" w:lineRule="auto"/>
              <w:rPr>
                <w:rFonts w:cs="Arial"/>
              </w:rPr>
            </w:pPr>
            <w:r w:rsidRPr="0016620E">
              <w:rPr>
                <w:rFonts w:cs="Arial"/>
              </w:rPr>
              <w:t>5.87</w:t>
            </w:r>
          </w:p>
        </w:tc>
        <w:tc>
          <w:tcPr>
            <w:tcW w:w="851" w:type="dxa"/>
            <w:tcBorders>
              <w:left w:val="nil"/>
              <w:bottom w:val="nil"/>
              <w:right w:val="nil"/>
            </w:tcBorders>
            <w:vAlign w:val="center"/>
          </w:tcPr>
          <w:p w14:paraId="130543DB" w14:textId="77777777" w:rsidR="006247ED" w:rsidRPr="0016620E" w:rsidRDefault="006247ED" w:rsidP="002F5837">
            <w:pPr>
              <w:snapToGrid w:val="0"/>
              <w:spacing w:after="120" w:line="240" w:lineRule="auto"/>
              <w:rPr>
                <w:rFonts w:cs="Arial"/>
              </w:rPr>
            </w:pPr>
            <w:r w:rsidRPr="0016620E">
              <w:rPr>
                <w:rFonts w:cs="Arial"/>
              </w:rPr>
              <w:t>5.46</w:t>
            </w:r>
          </w:p>
        </w:tc>
        <w:tc>
          <w:tcPr>
            <w:tcW w:w="992" w:type="dxa"/>
            <w:tcBorders>
              <w:left w:val="nil"/>
              <w:bottom w:val="nil"/>
              <w:right w:val="nil"/>
            </w:tcBorders>
            <w:vAlign w:val="center"/>
          </w:tcPr>
          <w:p w14:paraId="4C08EF37" w14:textId="77777777" w:rsidR="006247ED" w:rsidRPr="0016620E" w:rsidRDefault="006247ED" w:rsidP="002F5837">
            <w:pPr>
              <w:snapToGrid w:val="0"/>
              <w:spacing w:after="120" w:line="240" w:lineRule="auto"/>
              <w:rPr>
                <w:rFonts w:cs="Arial"/>
              </w:rPr>
            </w:pPr>
            <w:r w:rsidRPr="0016620E">
              <w:rPr>
                <w:rFonts w:cs="Arial"/>
              </w:rPr>
              <w:t>5.64</w:t>
            </w:r>
          </w:p>
        </w:tc>
        <w:tc>
          <w:tcPr>
            <w:tcW w:w="850" w:type="dxa"/>
            <w:tcBorders>
              <w:left w:val="nil"/>
              <w:bottom w:val="nil"/>
              <w:right w:val="nil"/>
            </w:tcBorders>
            <w:vAlign w:val="center"/>
          </w:tcPr>
          <w:p w14:paraId="0DCDF5D6" w14:textId="77777777" w:rsidR="006247ED" w:rsidRPr="0016620E" w:rsidRDefault="006247ED" w:rsidP="002F5837">
            <w:pPr>
              <w:snapToGrid w:val="0"/>
              <w:spacing w:after="120" w:line="240" w:lineRule="auto"/>
              <w:rPr>
                <w:rFonts w:cs="Arial"/>
              </w:rPr>
            </w:pPr>
            <w:r w:rsidRPr="0016620E">
              <w:rPr>
                <w:rFonts w:cs="Arial"/>
              </w:rPr>
              <w:t>4.68</w:t>
            </w:r>
          </w:p>
        </w:tc>
        <w:tc>
          <w:tcPr>
            <w:tcW w:w="993" w:type="dxa"/>
            <w:tcBorders>
              <w:left w:val="nil"/>
              <w:bottom w:val="nil"/>
              <w:right w:val="nil"/>
            </w:tcBorders>
            <w:vAlign w:val="center"/>
          </w:tcPr>
          <w:p w14:paraId="315CD8F4" w14:textId="77777777" w:rsidR="006247ED" w:rsidRPr="0016620E" w:rsidRDefault="006247ED" w:rsidP="002F5837">
            <w:pPr>
              <w:snapToGrid w:val="0"/>
              <w:spacing w:after="120" w:line="240" w:lineRule="auto"/>
              <w:rPr>
                <w:rFonts w:cs="Arial"/>
              </w:rPr>
            </w:pPr>
            <w:r w:rsidRPr="0016620E">
              <w:rPr>
                <w:rFonts w:cs="Arial"/>
              </w:rPr>
              <w:t>5.70</w:t>
            </w:r>
          </w:p>
        </w:tc>
        <w:tc>
          <w:tcPr>
            <w:tcW w:w="850" w:type="dxa"/>
            <w:tcBorders>
              <w:left w:val="nil"/>
              <w:bottom w:val="nil"/>
              <w:right w:val="nil"/>
            </w:tcBorders>
            <w:vAlign w:val="center"/>
          </w:tcPr>
          <w:p w14:paraId="51FBC3AF" w14:textId="77777777" w:rsidR="006247ED" w:rsidRPr="0016620E" w:rsidRDefault="006247ED" w:rsidP="002F5837">
            <w:pPr>
              <w:snapToGrid w:val="0"/>
              <w:spacing w:after="120" w:line="240" w:lineRule="auto"/>
              <w:rPr>
                <w:rFonts w:cs="Arial"/>
              </w:rPr>
            </w:pPr>
            <w:r w:rsidRPr="0016620E">
              <w:rPr>
                <w:rFonts w:cs="Arial"/>
              </w:rPr>
              <w:t>6.70</w:t>
            </w:r>
          </w:p>
        </w:tc>
        <w:tc>
          <w:tcPr>
            <w:tcW w:w="858" w:type="dxa"/>
            <w:tcBorders>
              <w:left w:val="nil"/>
              <w:bottom w:val="nil"/>
            </w:tcBorders>
            <w:vAlign w:val="center"/>
          </w:tcPr>
          <w:p w14:paraId="428EEF82" w14:textId="77777777" w:rsidR="006247ED" w:rsidRPr="0016620E" w:rsidRDefault="006247ED" w:rsidP="002F5837">
            <w:pPr>
              <w:snapToGrid w:val="0"/>
              <w:spacing w:after="120" w:line="240" w:lineRule="auto"/>
              <w:rPr>
                <w:rFonts w:cs="Arial"/>
              </w:rPr>
            </w:pPr>
            <w:r w:rsidRPr="0016620E">
              <w:rPr>
                <w:rFonts w:cs="Arial"/>
              </w:rPr>
              <w:t>5.54</w:t>
            </w:r>
          </w:p>
        </w:tc>
      </w:tr>
      <w:tr w:rsidR="006247ED" w:rsidRPr="0016620E" w14:paraId="6D96F0B6" w14:textId="77777777" w:rsidTr="0083335C">
        <w:tc>
          <w:tcPr>
            <w:tcW w:w="4962" w:type="dxa"/>
            <w:tcBorders>
              <w:top w:val="nil"/>
              <w:bottom w:val="nil"/>
              <w:right w:val="nil"/>
            </w:tcBorders>
            <w:vAlign w:val="center"/>
          </w:tcPr>
          <w:p w14:paraId="5CE4FCAA" w14:textId="77777777" w:rsidR="006247ED" w:rsidRPr="0016620E" w:rsidRDefault="006247ED" w:rsidP="002F5837">
            <w:pPr>
              <w:snapToGrid w:val="0"/>
              <w:spacing w:after="120" w:line="240" w:lineRule="auto"/>
              <w:rPr>
                <w:rFonts w:cs="Arial"/>
              </w:rPr>
            </w:pPr>
            <w:r w:rsidRPr="0016620E">
              <w:rPr>
                <w:rFonts w:cs="Arial"/>
              </w:rPr>
              <w:t>Information technology (%)</w:t>
            </w:r>
          </w:p>
        </w:tc>
        <w:tc>
          <w:tcPr>
            <w:tcW w:w="850" w:type="dxa"/>
            <w:tcBorders>
              <w:top w:val="nil"/>
              <w:left w:val="nil"/>
              <w:bottom w:val="nil"/>
              <w:right w:val="nil"/>
            </w:tcBorders>
            <w:vAlign w:val="center"/>
          </w:tcPr>
          <w:p w14:paraId="57BDED75" w14:textId="77777777" w:rsidR="006247ED" w:rsidRPr="0016620E" w:rsidRDefault="006247ED" w:rsidP="002F5837">
            <w:pPr>
              <w:snapToGrid w:val="0"/>
              <w:spacing w:after="120" w:line="240" w:lineRule="auto"/>
              <w:rPr>
                <w:rFonts w:cs="Arial"/>
              </w:rPr>
            </w:pPr>
            <w:r w:rsidRPr="0016620E">
              <w:rPr>
                <w:rFonts w:cs="Arial"/>
              </w:rPr>
              <w:t>5.45</w:t>
            </w:r>
          </w:p>
        </w:tc>
        <w:tc>
          <w:tcPr>
            <w:tcW w:w="992" w:type="dxa"/>
            <w:tcBorders>
              <w:top w:val="nil"/>
              <w:left w:val="nil"/>
              <w:bottom w:val="nil"/>
              <w:right w:val="nil"/>
            </w:tcBorders>
            <w:vAlign w:val="center"/>
          </w:tcPr>
          <w:p w14:paraId="2C4B95CB" w14:textId="77777777" w:rsidR="006247ED" w:rsidRPr="0016620E" w:rsidRDefault="006247ED" w:rsidP="002F5837">
            <w:pPr>
              <w:snapToGrid w:val="0"/>
              <w:spacing w:after="120" w:line="240" w:lineRule="auto"/>
              <w:rPr>
                <w:rFonts w:cs="Arial"/>
              </w:rPr>
            </w:pPr>
            <w:r w:rsidRPr="0016620E">
              <w:rPr>
                <w:rFonts w:cs="Arial"/>
              </w:rPr>
              <w:t>4.59</w:t>
            </w:r>
          </w:p>
        </w:tc>
        <w:tc>
          <w:tcPr>
            <w:tcW w:w="851" w:type="dxa"/>
            <w:tcBorders>
              <w:top w:val="nil"/>
              <w:left w:val="nil"/>
              <w:bottom w:val="nil"/>
              <w:right w:val="nil"/>
            </w:tcBorders>
            <w:vAlign w:val="center"/>
          </w:tcPr>
          <w:p w14:paraId="6ABE62FC" w14:textId="77777777" w:rsidR="006247ED" w:rsidRPr="0016620E" w:rsidRDefault="006247ED" w:rsidP="002F5837">
            <w:pPr>
              <w:snapToGrid w:val="0"/>
              <w:spacing w:after="120" w:line="240" w:lineRule="auto"/>
              <w:rPr>
                <w:rFonts w:cs="Arial"/>
              </w:rPr>
            </w:pPr>
            <w:r w:rsidRPr="0016620E">
              <w:rPr>
                <w:rFonts w:cs="Arial"/>
              </w:rPr>
              <w:t>10.65</w:t>
            </w:r>
          </w:p>
        </w:tc>
        <w:tc>
          <w:tcPr>
            <w:tcW w:w="992" w:type="dxa"/>
            <w:tcBorders>
              <w:top w:val="nil"/>
              <w:left w:val="nil"/>
              <w:bottom w:val="nil"/>
              <w:right w:val="nil"/>
            </w:tcBorders>
            <w:vAlign w:val="center"/>
          </w:tcPr>
          <w:p w14:paraId="24E86060" w14:textId="77777777" w:rsidR="006247ED" w:rsidRPr="0016620E" w:rsidRDefault="006247ED" w:rsidP="002F5837">
            <w:pPr>
              <w:snapToGrid w:val="0"/>
              <w:spacing w:after="120" w:line="240" w:lineRule="auto"/>
              <w:rPr>
                <w:rFonts w:cs="Arial"/>
              </w:rPr>
            </w:pPr>
            <w:r w:rsidRPr="0016620E">
              <w:rPr>
                <w:rFonts w:cs="Arial"/>
              </w:rPr>
              <w:t>3.59</w:t>
            </w:r>
          </w:p>
        </w:tc>
        <w:tc>
          <w:tcPr>
            <w:tcW w:w="851" w:type="dxa"/>
            <w:tcBorders>
              <w:top w:val="nil"/>
              <w:left w:val="nil"/>
              <w:bottom w:val="nil"/>
              <w:right w:val="nil"/>
            </w:tcBorders>
            <w:vAlign w:val="center"/>
          </w:tcPr>
          <w:p w14:paraId="01C5FBE6" w14:textId="77777777" w:rsidR="006247ED" w:rsidRPr="0016620E" w:rsidRDefault="006247ED" w:rsidP="002F5837">
            <w:pPr>
              <w:snapToGrid w:val="0"/>
              <w:spacing w:after="120" w:line="240" w:lineRule="auto"/>
              <w:rPr>
                <w:rFonts w:cs="Arial"/>
              </w:rPr>
            </w:pPr>
            <w:r w:rsidRPr="0016620E">
              <w:rPr>
                <w:rFonts w:cs="Arial"/>
              </w:rPr>
              <w:t>4.24</w:t>
            </w:r>
          </w:p>
        </w:tc>
        <w:tc>
          <w:tcPr>
            <w:tcW w:w="992" w:type="dxa"/>
            <w:tcBorders>
              <w:top w:val="nil"/>
              <w:left w:val="nil"/>
              <w:bottom w:val="nil"/>
              <w:right w:val="nil"/>
            </w:tcBorders>
            <w:vAlign w:val="center"/>
          </w:tcPr>
          <w:p w14:paraId="235D62CD" w14:textId="77777777" w:rsidR="006247ED" w:rsidRPr="0016620E" w:rsidRDefault="006247ED" w:rsidP="002F5837">
            <w:pPr>
              <w:snapToGrid w:val="0"/>
              <w:spacing w:after="120" w:line="240" w:lineRule="auto"/>
              <w:rPr>
                <w:rFonts w:cs="Arial"/>
              </w:rPr>
            </w:pPr>
            <w:r w:rsidRPr="0016620E">
              <w:rPr>
                <w:rFonts w:cs="Arial"/>
              </w:rPr>
              <w:t>4.78</w:t>
            </w:r>
          </w:p>
        </w:tc>
        <w:tc>
          <w:tcPr>
            <w:tcW w:w="850" w:type="dxa"/>
            <w:tcBorders>
              <w:top w:val="nil"/>
              <w:left w:val="nil"/>
              <w:bottom w:val="nil"/>
              <w:right w:val="nil"/>
            </w:tcBorders>
            <w:vAlign w:val="center"/>
          </w:tcPr>
          <w:p w14:paraId="50A40773" w14:textId="77777777" w:rsidR="006247ED" w:rsidRPr="0016620E" w:rsidRDefault="006247ED" w:rsidP="002F5837">
            <w:pPr>
              <w:snapToGrid w:val="0"/>
              <w:spacing w:after="120" w:line="240" w:lineRule="auto"/>
              <w:rPr>
                <w:rFonts w:cs="Arial"/>
              </w:rPr>
            </w:pPr>
            <w:r w:rsidRPr="0016620E">
              <w:rPr>
                <w:rFonts w:cs="Arial"/>
              </w:rPr>
              <w:t>4.32</w:t>
            </w:r>
          </w:p>
        </w:tc>
        <w:tc>
          <w:tcPr>
            <w:tcW w:w="993" w:type="dxa"/>
            <w:tcBorders>
              <w:top w:val="nil"/>
              <w:left w:val="nil"/>
              <w:bottom w:val="nil"/>
              <w:right w:val="nil"/>
            </w:tcBorders>
            <w:vAlign w:val="center"/>
          </w:tcPr>
          <w:p w14:paraId="3FBEA15E" w14:textId="77777777" w:rsidR="006247ED" w:rsidRPr="0016620E" w:rsidRDefault="006247ED" w:rsidP="002F5837">
            <w:pPr>
              <w:snapToGrid w:val="0"/>
              <w:spacing w:after="120" w:line="240" w:lineRule="auto"/>
              <w:rPr>
                <w:rFonts w:cs="Arial"/>
              </w:rPr>
            </w:pPr>
            <w:r w:rsidRPr="0016620E">
              <w:rPr>
                <w:rFonts w:cs="Arial"/>
              </w:rPr>
              <w:t>4.64</w:t>
            </w:r>
          </w:p>
        </w:tc>
        <w:tc>
          <w:tcPr>
            <w:tcW w:w="850" w:type="dxa"/>
            <w:tcBorders>
              <w:top w:val="nil"/>
              <w:left w:val="nil"/>
              <w:bottom w:val="nil"/>
              <w:right w:val="nil"/>
            </w:tcBorders>
            <w:vAlign w:val="center"/>
          </w:tcPr>
          <w:p w14:paraId="0F415DC8" w14:textId="77777777" w:rsidR="006247ED" w:rsidRPr="0016620E" w:rsidRDefault="006247ED" w:rsidP="002F5837">
            <w:pPr>
              <w:snapToGrid w:val="0"/>
              <w:spacing w:after="120" w:line="240" w:lineRule="auto"/>
              <w:rPr>
                <w:rFonts w:cs="Arial"/>
              </w:rPr>
            </w:pPr>
            <w:r w:rsidRPr="0016620E">
              <w:rPr>
                <w:rFonts w:cs="Arial"/>
              </w:rPr>
              <w:t>6.15</w:t>
            </w:r>
          </w:p>
        </w:tc>
        <w:tc>
          <w:tcPr>
            <w:tcW w:w="858" w:type="dxa"/>
            <w:tcBorders>
              <w:top w:val="nil"/>
              <w:left w:val="nil"/>
              <w:bottom w:val="nil"/>
            </w:tcBorders>
            <w:vAlign w:val="center"/>
          </w:tcPr>
          <w:p w14:paraId="59B771D5" w14:textId="77777777" w:rsidR="006247ED" w:rsidRPr="0016620E" w:rsidRDefault="006247ED" w:rsidP="002F5837">
            <w:pPr>
              <w:snapToGrid w:val="0"/>
              <w:spacing w:after="120" w:line="240" w:lineRule="auto"/>
              <w:rPr>
                <w:rFonts w:cs="Arial"/>
              </w:rPr>
            </w:pPr>
            <w:r w:rsidRPr="0016620E">
              <w:rPr>
                <w:rFonts w:cs="Arial"/>
              </w:rPr>
              <w:t>4.54</w:t>
            </w:r>
          </w:p>
        </w:tc>
      </w:tr>
      <w:tr w:rsidR="006247ED" w:rsidRPr="0016620E" w14:paraId="7A9BDCAF" w14:textId="77777777" w:rsidTr="0083335C">
        <w:tc>
          <w:tcPr>
            <w:tcW w:w="4962" w:type="dxa"/>
            <w:tcBorders>
              <w:top w:val="nil"/>
              <w:bottom w:val="nil"/>
              <w:right w:val="nil"/>
            </w:tcBorders>
            <w:vAlign w:val="center"/>
          </w:tcPr>
          <w:p w14:paraId="529D6B61" w14:textId="77777777" w:rsidR="006247ED" w:rsidRPr="0016620E" w:rsidRDefault="006247ED" w:rsidP="002F5837">
            <w:pPr>
              <w:snapToGrid w:val="0"/>
              <w:spacing w:after="120" w:line="240" w:lineRule="auto"/>
              <w:rPr>
                <w:rFonts w:cs="Arial"/>
              </w:rPr>
            </w:pPr>
            <w:r w:rsidRPr="0016620E">
              <w:rPr>
                <w:rFonts w:cs="Arial"/>
              </w:rPr>
              <w:t>Engineering and related technologies (%)</w:t>
            </w:r>
          </w:p>
        </w:tc>
        <w:tc>
          <w:tcPr>
            <w:tcW w:w="850" w:type="dxa"/>
            <w:tcBorders>
              <w:top w:val="nil"/>
              <w:left w:val="nil"/>
              <w:bottom w:val="nil"/>
              <w:right w:val="nil"/>
            </w:tcBorders>
            <w:vAlign w:val="center"/>
          </w:tcPr>
          <w:p w14:paraId="7C2D4C6A" w14:textId="77777777" w:rsidR="006247ED" w:rsidRPr="0016620E" w:rsidRDefault="006247ED" w:rsidP="002F5837">
            <w:pPr>
              <w:snapToGrid w:val="0"/>
              <w:spacing w:after="120" w:line="240" w:lineRule="auto"/>
              <w:rPr>
                <w:rFonts w:cs="Arial"/>
              </w:rPr>
            </w:pPr>
            <w:r w:rsidRPr="0016620E">
              <w:rPr>
                <w:rFonts w:cs="Arial"/>
              </w:rPr>
              <w:t>3.64</w:t>
            </w:r>
          </w:p>
        </w:tc>
        <w:tc>
          <w:tcPr>
            <w:tcW w:w="992" w:type="dxa"/>
            <w:tcBorders>
              <w:top w:val="nil"/>
              <w:left w:val="nil"/>
              <w:bottom w:val="nil"/>
              <w:right w:val="nil"/>
            </w:tcBorders>
            <w:vAlign w:val="center"/>
          </w:tcPr>
          <w:p w14:paraId="70D97916" w14:textId="77777777" w:rsidR="006247ED" w:rsidRPr="0016620E" w:rsidRDefault="006247ED" w:rsidP="002F5837">
            <w:pPr>
              <w:snapToGrid w:val="0"/>
              <w:spacing w:after="120" w:line="240" w:lineRule="auto"/>
              <w:rPr>
                <w:rFonts w:cs="Arial"/>
              </w:rPr>
            </w:pPr>
            <w:r w:rsidRPr="0016620E">
              <w:rPr>
                <w:rFonts w:cs="Arial"/>
              </w:rPr>
              <w:t>7.02</w:t>
            </w:r>
          </w:p>
        </w:tc>
        <w:tc>
          <w:tcPr>
            <w:tcW w:w="851" w:type="dxa"/>
            <w:tcBorders>
              <w:top w:val="nil"/>
              <w:left w:val="nil"/>
              <w:bottom w:val="nil"/>
              <w:right w:val="nil"/>
            </w:tcBorders>
            <w:vAlign w:val="center"/>
          </w:tcPr>
          <w:p w14:paraId="6207477D" w14:textId="77777777" w:rsidR="006247ED" w:rsidRPr="0016620E" w:rsidRDefault="006247ED" w:rsidP="002F5837">
            <w:pPr>
              <w:snapToGrid w:val="0"/>
              <w:spacing w:after="120" w:line="240" w:lineRule="auto"/>
              <w:rPr>
                <w:rFonts w:cs="Arial"/>
              </w:rPr>
            </w:pPr>
            <w:r w:rsidRPr="0016620E">
              <w:rPr>
                <w:rFonts w:cs="Arial"/>
              </w:rPr>
              <w:t>12.93</w:t>
            </w:r>
          </w:p>
        </w:tc>
        <w:tc>
          <w:tcPr>
            <w:tcW w:w="992" w:type="dxa"/>
            <w:tcBorders>
              <w:top w:val="nil"/>
              <w:left w:val="nil"/>
              <w:bottom w:val="nil"/>
              <w:right w:val="nil"/>
            </w:tcBorders>
            <w:vAlign w:val="center"/>
          </w:tcPr>
          <w:p w14:paraId="4C4E620C" w14:textId="77777777" w:rsidR="006247ED" w:rsidRPr="0016620E" w:rsidRDefault="006247ED" w:rsidP="002F5837">
            <w:pPr>
              <w:snapToGrid w:val="0"/>
              <w:spacing w:after="120" w:line="240" w:lineRule="auto"/>
              <w:rPr>
                <w:rFonts w:cs="Arial"/>
              </w:rPr>
            </w:pPr>
            <w:r w:rsidRPr="0016620E">
              <w:rPr>
                <w:rFonts w:cs="Arial"/>
              </w:rPr>
              <w:t>5.99</w:t>
            </w:r>
          </w:p>
        </w:tc>
        <w:tc>
          <w:tcPr>
            <w:tcW w:w="851" w:type="dxa"/>
            <w:tcBorders>
              <w:top w:val="nil"/>
              <w:left w:val="nil"/>
              <w:bottom w:val="nil"/>
              <w:right w:val="nil"/>
            </w:tcBorders>
            <w:vAlign w:val="center"/>
          </w:tcPr>
          <w:p w14:paraId="761445D1" w14:textId="77777777" w:rsidR="006247ED" w:rsidRPr="0016620E" w:rsidRDefault="006247ED" w:rsidP="002F5837">
            <w:pPr>
              <w:snapToGrid w:val="0"/>
              <w:spacing w:after="120" w:line="240" w:lineRule="auto"/>
              <w:rPr>
                <w:rFonts w:cs="Arial"/>
              </w:rPr>
            </w:pPr>
            <w:r w:rsidRPr="0016620E">
              <w:rPr>
                <w:rFonts w:cs="Arial"/>
              </w:rPr>
              <w:t>6.37</w:t>
            </w:r>
          </w:p>
        </w:tc>
        <w:tc>
          <w:tcPr>
            <w:tcW w:w="992" w:type="dxa"/>
            <w:tcBorders>
              <w:top w:val="nil"/>
              <w:left w:val="nil"/>
              <w:bottom w:val="nil"/>
              <w:right w:val="nil"/>
            </w:tcBorders>
            <w:vAlign w:val="center"/>
          </w:tcPr>
          <w:p w14:paraId="02C74C81" w14:textId="77777777" w:rsidR="006247ED" w:rsidRPr="0016620E" w:rsidRDefault="006247ED" w:rsidP="002F5837">
            <w:pPr>
              <w:snapToGrid w:val="0"/>
              <w:spacing w:after="120" w:line="240" w:lineRule="auto"/>
              <w:rPr>
                <w:rFonts w:cs="Arial"/>
              </w:rPr>
            </w:pPr>
            <w:r w:rsidRPr="0016620E">
              <w:rPr>
                <w:rFonts w:cs="Arial"/>
              </w:rPr>
              <w:t>7.30</w:t>
            </w:r>
          </w:p>
        </w:tc>
        <w:tc>
          <w:tcPr>
            <w:tcW w:w="850" w:type="dxa"/>
            <w:tcBorders>
              <w:top w:val="nil"/>
              <w:left w:val="nil"/>
              <w:bottom w:val="nil"/>
              <w:right w:val="nil"/>
            </w:tcBorders>
            <w:vAlign w:val="center"/>
          </w:tcPr>
          <w:p w14:paraId="32CEA1CB" w14:textId="77777777" w:rsidR="006247ED" w:rsidRPr="0016620E" w:rsidRDefault="006247ED" w:rsidP="002F5837">
            <w:pPr>
              <w:snapToGrid w:val="0"/>
              <w:spacing w:after="120" w:line="240" w:lineRule="auto"/>
              <w:rPr>
                <w:rFonts w:cs="Arial"/>
              </w:rPr>
            </w:pPr>
            <w:r w:rsidRPr="0016620E">
              <w:rPr>
                <w:rFonts w:cs="Arial"/>
              </w:rPr>
              <w:t>6.29</w:t>
            </w:r>
          </w:p>
        </w:tc>
        <w:tc>
          <w:tcPr>
            <w:tcW w:w="993" w:type="dxa"/>
            <w:tcBorders>
              <w:top w:val="nil"/>
              <w:left w:val="nil"/>
              <w:bottom w:val="nil"/>
              <w:right w:val="nil"/>
            </w:tcBorders>
            <w:vAlign w:val="center"/>
          </w:tcPr>
          <w:p w14:paraId="3C21B3AD" w14:textId="77777777" w:rsidR="006247ED" w:rsidRPr="0016620E" w:rsidRDefault="006247ED" w:rsidP="002F5837">
            <w:pPr>
              <w:snapToGrid w:val="0"/>
              <w:spacing w:after="120" w:line="240" w:lineRule="auto"/>
              <w:rPr>
                <w:rFonts w:cs="Arial"/>
              </w:rPr>
            </w:pPr>
            <w:r w:rsidRPr="0016620E">
              <w:rPr>
                <w:rFonts w:cs="Arial"/>
              </w:rPr>
              <w:t>7.07</w:t>
            </w:r>
          </w:p>
        </w:tc>
        <w:tc>
          <w:tcPr>
            <w:tcW w:w="850" w:type="dxa"/>
            <w:tcBorders>
              <w:top w:val="nil"/>
              <w:left w:val="nil"/>
              <w:bottom w:val="nil"/>
              <w:right w:val="nil"/>
            </w:tcBorders>
            <w:vAlign w:val="center"/>
          </w:tcPr>
          <w:p w14:paraId="73F6D6E6" w14:textId="77777777" w:rsidR="006247ED" w:rsidRPr="0016620E" w:rsidRDefault="006247ED" w:rsidP="002F5837">
            <w:pPr>
              <w:snapToGrid w:val="0"/>
              <w:spacing w:after="120" w:line="240" w:lineRule="auto"/>
              <w:rPr>
                <w:rFonts w:cs="Arial"/>
              </w:rPr>
            </w:pPr>
            <w:r w:rsidRPr="0016620E">
              <w:rPr>
                <w:rFonts w:cs="Arial"/>
              </w:rPr>
              <w:t>6.70</w:t>
            </w:r>
          </w:p>
        </w:tc>
        <w:tc>
          <w:tcPr>
            <w:tcW w:w="858" w:type="dxa"/>
            <w:tcBorders>
              <w:top w:val="nil"/>
              <w:left w:val="nil"/>
              <w:bottom w:val="nil"/>
            </w:tcBorders>
            <w:vAlign w:val="center"/>
          </w:tcPr>
          <w:p w14:paraId="5F9F3AB3" w14:textId="77777777" w:rsidR="006247ED" w:rsidRPr="0016620E" w:rsidRDefault="006247ED" w:rsidP="002F5837">
            <w:pPr>
              <w:snapToGrid w:val="0"/>
              <w:spacing w:after="120" w:line="240" w:lineRule="auto"/>
              <w:rPr>
                <w:rFonts w:cs="Arial"/>
              </w:rPr>
            </w:pPr>
            <w:r w:rsidRPr="0016620E">
              <w:rPr>
                <w:rFonts w:cs="Arial"/>
              </w:rPr>
              <w:t>7.00</w:t>
            </w:r>
          </w:p>
        </w:tc>
      </w:tr>
      <w:tr w:rsidR="006247ED" w:rsidRPr="0016620E" w14:paraId="2FB1E446" w14:textId="77777777" w:rsidTr="0083335C">
        <w:tc>
          <w:tcPr>
            <w:tcW w:w="4962" w:type="dxa"/>
            <w:tcBorders>
              <w:top w:val="nil"/>
              <w:bottom w:val="nil"/>
              <w:right w:val="nil"/>
            </w:tcBorders>
            <w:vAlign w:val="center"/>
          </w:tcPr>
          <w:p w14:paraId="486E28D9" w14:textId="77777777" w:rsidR="006247ED" w:rsidRPr="0016620E" w:rsidRDefault="006247ED" w:rsidP="002F5837">
            <w:pPr>
              <w:snapToGrid w:val="0"/>
              <w:spacing w:after="120" w:line="240" w:lineRule="auto"/>
              <w:rPr>
                <w:rFonts w:cs="Arial"/>
              </w:rPr>
            </w:pPr>
            <w:r w:rsidRPr="0016620E">
              <w:rPr>
                <w:rFonts w:cs="Arial"/>
              </w:rPr>
              <w:t>Architecture and building (%)</w:t>
            </w:r>
          </w:p>
        </w:tc>
        <w:tc>
          <w:tcPr>
            <w:tcW w:w="850" w:type="dxa"/>
            <w:tcBorders>
              <w:top w:val="nil"/>
              <w:left w:val="nil"/>
              <w:bottom w:val="nil"/>
              <w:right w:val="nil"/>
            </w:tcBorders>
            <w:vAlign w:val="center"/>
          </w:tcPr>
          <w:p w14:paraId="4521EFAA" w14:textId="77777777" w:rsidR="006247ED" w:rsidRPr="0016620E" w:rsidRDefault="006247ED" w:rsidP="002F5837">
            <w:pPr>
              <w:snapToGrid w:val="0"/>
              <w:spacing w:after="120" w:line="240" w:lineRule="auto"/>
              <w:rPr>
                <w:rFonts w:cs="Arial"/>
              </w:rPr>
            </w:pPr>
            <w:r w:rsidRPr="0016620E">
              <w:rPr>
                <w:rFonts w:cs="Arial"/>
              </w:rPr>
              <w:t>0.00</w:t>
            </w:r>
          </w:p>
        </w:tc>
        <w:tc>
          <w:tcPr>
            <w:tcW w:w="992" w:type="dxa"/>
            <w:tcBorders>
              <w:top w:val="nil"/>
              <w:left w:val="nil"/>
              <w:bottom w:val="nil"/>
              <w:right w:val="nil"/>
            </w:tcBorders>
            <w:vAlign w:val="center"/>
          </w:tcPr>
          <w:p w14:paraId="41F416A3" w14:textId="77777777" w:rsidR="006247ED" w:rsidRPr="0016620E" w:rsidRDefault="006247ED" w:rsidP="002F5837">
            <w:pPr>
              <w:snapToGrid w:val="0"/>
              <w:spacing w:after="120" w:line="240" w:lineRule="auto"/>
              <w:rPr>
                <w:rFonts w:cs="Arial"/>
              </w:rPr>
            </w:pPr>
            <w:r w:rsidRPr="0016620E">
              <w:rPr>
                <w:rFonts w:cs="Arial"/>
              </w:rPr>
              <w:t>2.29</w:t>
            </w:r>
          </w:p>
        </w:tc>
        <w:tc>
          <w:tcPr>
            <w:tcW w:w="851" w:type="dxa"/>
            <w:tcBorders>
              <w:top w:val="nil"/>
              <w:left w:val="nil"/>
              <w:bottom w:val="nil"/>
              <w:right w:val="nil"/>
            </w:tcBorders>
            <w:vAlign w:val="center"/>
          </w:tcPr>
          <w:p w14:paraId="4C1548CD" w14:textId="77777777" w:rsidR="006247ED" w:rsidRPr="0016620E" w:rsidRDefault="006247ED" w:rsidP="002F5837">
            <w:pPr>
              <w:snapToGrid w:val="0"/>
              <w:spacing w:after="120" w:line="240" w:lineRule="auto"/>
              <w:rPr>
                <w:rFonts w:cs="Arial"/>
              </w:rPr>
            </w:pPr>
            <w:r w:rsidRPr="0016620E">
              <w:rPr>
                <w:rFonts w:cs="Arial"/>
              </w:rPr>
              <w:t>2.70</w:t>
            </w:r>
          </w:p>
        </w:tc>
        <w:tc>
          <w:tcPr>
            <w:tcW w:w="992" w:type="dxa"/>
            <w:tcBorders>
              <w:top w:val="nil"/>
              <w:left w:val="nil"/>
              <w:bottom w:val="nil"/>
              <w:right w:val="nil"/>
            </w:tcBorders>
            <w:vAlign w:val="center"/>
          </w:tcPr>
          <w:p w14:paraId="6796B54A" w14:textId="77777777" w:rsidR="006247ED" w:rsidRPr="0016620E" w:rsidRDefault="006247ED" w:rsidP="002F5837">
            <w:pPr>
              <w:snapToGrid w:val="0"/>
              <w:spacing w:after="120" w:line="240" w:lineRule="auto"/>
              <w:rPr>
                <w:rFonts w:cs="Arial"/>
              </w:rPr>
            </w:pPr>
            <w:r w:rsidRPr="0016620E">
              <w:rPr>
                <w:rFonts w:cs="Arial"/>
              </w:rPr>
              <w:t>2.19</w:t>
            </w:r>
          </w:p>
        </w:tc>
        <w:tc>
          <w:tcPr>
            <w:tcW w:w="851" w:type="dxa"/>
            <w:tcBorders>
              <w:top w:val="nil"/>
              <w:left w:val="nil"/>
              <w:bottom w:val="nil"/>
              <w:right w:val="nil"/>
            </w:tcBorders>
            <w:vAlign w:val="center"/>
          </w:tcPr>
          <w:p w14:paraId="1BB5C967" w14:textId="77777777" w:rsidR="006247ED" w:rsidRPr="0016620E" w:rsidRDefault="006247ED" w:rsidP="002F5837">
            <w:pPr>
              <w:snapToGrid w:val="0"/>
              <w:spacing w:after="120" w:line="240" w:lineRule="auto"/>
              <w:rPr>
                <w:rFonts w:cs="Arial"/>
              </w:rPr>
            </w:pPr>
            <w:r w:rsidRPr="0016620E">
              <w:rPr>
                <w:rFonts w:cs="Arial"/>
              </w:rPr>
              <w:t>1.88</w:t>
            </w:r>
          </w:p>
        </w:tc>
        <w:tc>
          <w:tcPr>
            <w:tcW w:w="992" w:type="dxa"/>
            <w:tcBorders>
              <w:top w:val="nil"/>
              <w:left w:val="nil"/>
              <w:bottom w:val="nil"/>
              <w:right w:val="nil"/>
            </w:tcBorders>
            <w:vAlign w:val="center"/>
          </w:tcPr>
          <w:p w14:paraId="27FC2F04" w14:textId="77777777" w:rsidR="006247ED" w:rsidRPr="0016620E" w:rsidRDefault="006247ED" w:rsidP="002F5837">
            <w:pPr>
              <w:snapToGrid w:val="0"/>
              <w:spacing w:after="120" w:line="240" w:lineRule="auto"/>
              <w:rPr>
                <w:rFonts w:cs="Arial"/>
              </w:rPr>
            </w:pPr>
            <w:r w:rsidRPr="0016620E">
              <w:rPr>
                <w:rFonts w:cs="Arial"/>
              </w:rPr>
              <w:t>2.45</w:t>
            </w:r>
          </w:p>
        </w:tc>
        <w:tc>
          <w:tcPr>
            <w:tcW w:w="850" w:type="dxa"/>
            <w:tcBorders>
              <w:top w:val="nil"/>
              <w:left w:val="nil"/>
              <w:bottom w:val="nil"/>
              <w:right w:val="nil"/>
            </w:tcBorders>
            <w:vAlign w:val="center"/>
          </w:tcPr>
          <w:p w14:paraId="10A46195" w14:textId="77777777" w:rsidR="006247ED" w:rsidRPr="0016620E" w:rsidRDefault="006247ED" w:rsidP="002F5837">
            <w:pPr>
              <w:snapToGrid w:val="0"/>
              <w:spacing w:after="120" w:line="240" w:lineRule="auto"/>
              <w:rPr>
                <w:rFonts w:cs="Arial"/>
              </w:rPr>
            </w:pPr>
            <w:r w:rsidRPr="0016620E">
              <w:rPr>
                <w:rFonts w:cs="Arial"/>
              </w:rPr>
              <w:t>2.16</w:t>
            </w:r>
          </w:p>
        </w:tc>
        <w:tc>
          <w:tcPr>
            <w:tcW w:w="993" w:type="dxa"/>
            <w:tcBorders>
              <w:top w:val="nil"/>
              <w:left w:val="nil"/>
              <w:bottom w:val="nil"/>
              <w:right w:val="nil"/>
            </w:tcBorders>
            <w:vAlign w:val="center"/>
          </w:tcPr>
          <w:p w14:paraId="0D403C4B" w14:textId="77777777" w:rsidR="006247ED" w:rsidRPr="0016620E" w:rsidRDefault="006247ED" w:rsidP="002F5837">
            <w:pPr>
              <w:snapToGrid w:val="0"/>
              <w:spacing w:after="120" w:line="240" w:lineRule="auto"/>
              <w:rPr>
                <w:rFonts w:cs="Arial"/>
              </w:rPr>
            </w:pPr>
            <w:r w:rsidRPr="0016620E">
              <w:rPr>
                <w:rFonts w:cs="Arial"/>
              </w:rPr>
              <w:t>2.27</w:t>
            </w:r>
          </w:p>
        </w:tc>
        <w:tc>
          <w:tcPr>
            <w:tcW w:w="850" w:type="dxa"/>
            <w:tcBorders>
              <w:top w:val="nil"/>
              <w:left w:val="nil"/>
              <w:bottom w:val="nil"/>
              <w:right w:val="nil"/>
            </w:tcBorders>
            <w:vAlign w:val="center"/>
          </w:tcPr>
          <w:p w14:paraId="7455AE55" w14:textId="77777777" w:rsidR="006247ED" w:rsidRPr="0016620E" w:rsidRDefault="006247ED" w:rsidP="002F5837">
            <w:pPr>
              <w:snapToGrid w:val="0"/>
              <w:spacing w:after="120" w:line="240" w:lineRule="auto"/>
              <w:rPr>
                <w:rFonts w:cs="Arial"/>
              </w:rPr>
            </w:pPr>
            <w:r w:rsidRPr="0016620E">
              <w:rPr>
                <w:rFonts w:cs="Arial"/>
              </w:rPr>
              <w:t>1.68</w:t>
            </w:r>
          </w:p>
        </w:tc>
        <w:tc>
          <w:tcPr>
            <w:tcW w:w="858" w:type="dxa"/>
            <w:tcBorders>
              <w:top w:val="nil"/>
              <w:left w:val="nil"/>
              <w:bottom w:val="nil"/>
            </w:tcBorders>
            <w:vAlign w:val="center"/>
          </w:tcPr>
          <w:p w14:paraId="160DEFB6" w14:textId="77777777" w:rsidR="006247ED" w:rsidRPr="0016620E" w:rsidRDefault="006247ED" w:rsidP="002F5837">
            <w:pPr>
              <w:snapToGrid w:val="0"/>
              <w:spacing w:after="120" w:line="240" w:lineRule="auto"/>
              <w:rPr>
                <w:rFonts w:cs="Arial"/>
              </w:rPr>
            </w:pPr>
            <w:r w:rsidRPr="0016620E">
              <w:rPr>
                <w:rFonts w:cs="Arial"/>
              </w:rPr>
              <w:t>2.28</w:t>
            </w:r>
          </w:p>
        </w:tc>
      </w:tr>
      <w:tr w:rsidR="006247ED" w:rsidRPr="0016620E" w14:paraId="49CDDB05" w14:textId="77777777" w:rsidTr="0083335C">
        <w:tc>
          <w:tcPr>
            <w:tcW w:w="4962" w:type="dxa"/>
            <w:tcBorders>
              <w:top w:val="nil"/>
              <w:bottom w:val="nil"/>
              <w:right w:val="nil"/>
            </w:tcBorders>
            <w:vAlign w:val="center"/>
          </w:tcPr>
          <w:p w14:paraId="568F0C06" w14:textId="77777777" w:rsidR="006247ED" w:rsidRPr="0016620E" w:rsidRDefault="006247ED" w:rsidP="002F5837">
            <w:pPr>
              <w:snapToGrid w:val="0"/>
              <w:spacing w:after="120" w:line="240" w:lineRule="auto"/>
              <w:rPr>
                <w:rFonts w:cs="Arial"/>
              </w:rPr>
            </w:pPr>
            <w:r w:rsidRPr="0016620E">
              <w:rPr>
                <w:rFonts w:cs="Arial"/>
              </w:rPr>
              <w:t>Agriculture, environment, and relate studies (%)</w:t>
            </w:r>
          </w:p>
        </w:tc>
        <w:tc>
          <w:tcPr>
            <w:tcW w:w="850" w:type="dxa"/>
            <w:tcBorders>
              <w:top w:val="nil"/>
              <w:left w:val="nil"/>
              <w:bottom w:val="nil"/>
              <w:right w:val="nil"/>
            </w:tcBorders>
            <w:vAlign w:val="center"/>
          </w:tcPr>
          <w:p w14:paraId="48CD1DAB" w14:textId="77777777" w:rsidR="006247ED" w:rsidRPr="0016620E" w:rsidRDefault="006247ED" w:rsidP="002F5837">
            <w:pPr>
              <w:snapToGrid w:val="0"/>
              <w:spacing w:after="120" w:line="240" w:lineRule="auto"/>
              <w:rPr>
                <w:rFonts w:cs="Arial"/>
              </w:rPr>
            </w:pPr>
            <w:r w:rsidRPr="0016620E">
              <w:rPr>
                <w:rFonts w:cs="Arial"/>
              </w:rPr>
              <w:t>1.82</w:t>
            </w:r>
          </w:p>
        </w:tc>
        <w:tc>
          <w:tcPr>
            <w:tcW w:w="992" w:type="dxa"/>
            <w:tcBorders>
              <w:top w:val="nil"/>
              <w:left w:val="nil"/>
              <w:bottom w:val="nil"/>
              <w:right w:val="nil"/>
            </w:tcBorders>
            <w:vAlign w:val="center"/>
          </w:tcPr>
          <w:p w14:paraId="7FF7FAA4" w14:textId="77777777" w:rsidR="006247ED" w:rsidRPr="0016620E" w:rsidRDefault="006247ED" w:rsidP="002F5837">
            <w:pPr>
              <w:snapToGrid w:val="0"/>
              <w:spacing w:after="120" w:line="240" w:lineRule="auto"/>
              <w:rPr>
                <w:rFonts w:cs="Arial"/>
              </w:rPr>
            </w:pPr>
            <w:r w:rsidRPr="0016620E">
              <w:rPr>
                <w:rFonts w:cs="Arial"/>
              </w:rPr>
              <w:t>2.16</w:t>
            </w:r>
          </w:p>
        </w:tc>
        <w:tc>
          <w:tcPr>
            <w:tcW w:w="851" w:type="dxa"/>
            <w:tcBorders>
              <w:top w:val="nil"/>
              <w:left w:val="nil"/>
              <w:bottom w:val="nil"/>
              <w:right w:val="nil"/>
            </w:tcBorders>
            <w:vAlign w:val="center"/>
          </w:tcPr>
          <w:p w14:paraId="67575764" w14:textId="77777777" w:rsidR="006247ED" w:rsidRPr="0016620E" w:rsidRDefault="006247ED" w:rsidP="002F5837">
            <w:pPr>
              <w:snapToGrid w:val="0"/>
              <w:spacing w:after="120" w:line="240" w:lineRule="auto"/>
              <w:rPr>
                <w:rFonts w:cs="Arial"/>
              </w:rPr>
            </w:pPr>
            <w:r w:rsidRPr="0016620E">
              <w:rPr>
                <w:rFonts w:cs="Arial"/>
              </w:rPr>
              <w:t>1.28</w:t>
            </w:r>
          </w:p>
        </w:tc>
        <w:tc>
          <w:tcPr>
            <w:tcW w:w="992" w:type="dxa"/>
            <w:tcBorders>
              <w:top w:val="nil"/>
              <w:left w:val="nil"/>
              <w:bottom w:val="nil"/>
              <w:right w:val="nil"/>
            </w:tcBorders>
            <w:vAlign w:val="center"/>
          </w:tcPr>
          <w:p w14:paraId="1CC0943C" w14:textId="77777777" w:rsidR="006247ED" w:rsidRPr="0016620E" w:rsidRDefault="006247ED" w:rsidP="002F5837">
            <w:pPr>
              <w:snapToGrid w:val="0"/>
              <w:spacing w:after="120" w:line="240" w:lineRule="auto"/>
              <w:rPr>
                <w:rFonts w:cs="Arial"/>
              </w:rPr>
            </w:pPr>
            <w:r w:rsidRPr="0016620E">
              <w:rPr>
                <w:rFonts w:cs="Arial"/>
              </w:rPr>
              <w:t>2.31</w:t>
            </w:r>
          </w:p>
        </w:tc>
        <w:tc>
          <w:tcPr>
            <w:tcW w:w="851" w:type="dxa"/>
            <w:tcBorders>
              <w:top w:val="nil"/>
              <w:left w:val="nil"/>
              <w:bottom w:val="nil"/>
              <w:right w:val="nil"/>
            </w:tcBorders>
            <w:vAlign w:val="center"/>
          </w:tcPr>
          <w:p w14:paraId="230393C5" w14:textId="77777777" w:rsidR="006247ED" w:rsidRPr="0016620E" w:rsidRDefault="006247ED" w:rsidP="002F5837">
            <w:pPr>
              <w:snapToGrid w:val="0"/>
              <w:spacing w:after="120" w:line="240" w:lineRule="auto"/>
              <w:rPr>
                <w:rFonts w:cs="Arial"/>
              </w:rPr>
            </w:pPr>
            <w:r w:rsidRPr="0016620E">
              <w:rPr>
                <w:rFonts w:cs="Arial"/>
              </w:rPr>
              <w:t>1.52</w:t>
            </w:r>
          </w:p>
        </w:tc>
        <w:tc>
          <w:tcPr>
            <w:tcW w:w="992" w:type="dxa"/>
            <w:tcBorders>
              <w:top w:val="nil"/>
              <w:left w:val="nil"/>
              <w:bottom w:val="nil"/>
              <w:right w:val="nil"/>
            </w:tcBorders>
            <w:vAlign w:val="center"/>
          </w:tcPr>
          <w:p w14:paraId="5B48BB77" w14:textId="77777777" w:rsidR="006247ED" w:rsidRPr="0016620E" w:rsidRDefault="006247ED" w:rsidP="002F5837">
            <w:pPr>
              <w:snapToGrid w:val="0"/>
              <w:spacing w:after="120" w:line="240" w:lineRule="auto"/>
              <w:rPr>
                <w:rFonts w:cs="Arial"/>
              </w:rPr>
            </w:pPr>
            <w:r w:rsidRPr="0016620E">
              <w:rPr>
                <w:rFonts w:cs="Arial"/>
              </w:rPr>
              <w:t>2.48</w:t>
            </w:r>
          </w:p>
        </w:tc>
        <w:tc>
          <w:tcPr>
            <w:tcW w:w="850" w:type="dxa"/>
            <w:tcBorders>
              <w:top w:val="nil"/>
              <w:left w:val="nil"/>
              <w:bottom w:val="nil"/>
              <w:right w:val="nil"/>
            </w:tcBorders>
            <w:vAlign w:val="center"/>
          </w:tcPr>
          <w:p w14:paraId="104CA857" w14:textId="77777777" w:rsidR="006247ED" w:rsidRPr="0016620E" w:rsidRDefault="006247ED" w:rsidP="002F5837">
            <w:pPr>
              <w:snapToGrid w:val="0"/>
              <w:spacing w:after="120" w:line="240" w:lineRule="auto"/>
              <w:rPr>
                <w:rFonts w:cs="Arial"/>
              </w:rPr>
            </w:pPr>
            <w:r w:rsidRPr="0016620E">
              <w:rPr>
                <w:rFonts w:cs="Arial"/>
              </w:rPr>
              <w:t>2.34</w:t>
            </w:r>
          </w:p>
        </w:tc>
        <w:tc>
          <w:tcPr>
            <w:tcW w:w="993" w:type="dxa"/>
            <w:tcBorders>
              <w:top w:val="nil"/>
              <w:left w:val="nil"/>
              <w:bottom w:val="nil"/>
              <w:right w:val="nil"/>
            </w:tcBorders>
            <w:vAlign w:val="center"/>
          </w:tcPr>
          <w:p w14:paraId="67E2B87E" w14:textId="77777777" w:rsidR="006247ED" w:rsidRPr="0016620E" w:rsidRDefault="006247ED" w:rsidP="002F5837">
            <w:pPr>
              <w:snapToGrid w:val="0"/>
              <w:spacing w:after="120" w:line="240" w:lineRule="auto"/>
              <w:rPr>
                <w:rFonts w:cs="Arial"/>
              </w:rPr>
            </w:pPr>
            <w:r w:rsidRPr="0016620E">
              <w:rPr>
                <w:rFonts w:cs="Arial"/>
              </w:rPr>
              <w:t>2.14</w:t>
            </w:r>
          </w:p>
        </w:tc>
        <w:tc>
          <w:tcPr>
            <w:tcW w:w="850" w:type="dxa"/>
            <w:tcBorders>
              <w:top w:val="nil"/>
              <w:left w:val="nil"/>
              <w:bottom w:val="nil"/>
              <w:right w:val="nil"/>
            </w:tcBorders>
            <w:vAlign w:val="center"/>
          </w:tcPr>
          <w:p w14:paraId="7FCC9E06" w14:textId="77777777" w:rsidR="006247ED" w:rsidRPr="0016620E" w:rsidRDefault="006247ED" w:rsidP="002F5837">
            <w:pPr>
              <w:snapToGrid w:val="0"/>
              <w:spacing w:after="120" w:line="240" w:lineRule="auto"/>
              <w:rPr>
                <w:rFonts w:cs="Arial"/>
              </w:rPr>
            </w:pPr>
            <w:r w:rsidRPr="0016620E">
              <w:rPr>
                <w:rFonts w:cs="Arial"/>
              </w:rPr>
              <w:t>2.79</w:t>
            </w:r>
          </w:p>
        </w:tc>
        <w:tc>
          <w:tcPr>
            <w:tcW w:w="858" w:type="dxa"/>
            <w:tcBorders>
              <w:top w:val="nil"/>
              <w:left w:val="nil"/>
              <w:bottom w:val="nil"/>
            </w:tcBorders>
            <w:vAlign w:val="center"/>
          </w:tcPr>
          <w:p w14:paraId="67D74DBB" w14:textId="77777777" w:rsidR="006247ED" w:rsidRPr="0016620E" w:rsidRDefault="006247ED" w:rsidP="002F5837">
            <w:pPr>
              <w:snapToGrid w:val="0"/>
              <w:spacing w:after="120" w:line="240" w:lineRule="auto"/>
              <w:rPr>
                <w:rFonts w:cs="Arial"/>
              </w:rPr>
            </w:pPr>
            <w:r w:rsidRPr="0016620E">
              <w:rPr>
                <w:rFonts w:cs="Arial"/>
              </w:rPr>
              <w:t>2.13</w:t>
            </w:r>
          </w:p>
        </w:tc>
      </w:tr>
      <w:tr w:rsidR="006247ED" w:rsidRPr="0016620E" w14:paraId="6BD858B6" w14:textId="77777777" w:rsidTr="0083335C">
        <w:tc>
          <w:tcPr>
            <w:tcW w:w="4962" w:type="dxa"/>
            <w:tcBorders>
              <w:top w:val="nil"/>
              <w:bottom w:val="nil"/>
              <w:right w:val="nil"/>
            </w:tcBorders>
            <w:vAlign w:val="center"/>
          </w:tcPr>
          <w:p w14:paraId="795831B8" w14:textId="77777777" w:rsidR="006247ED" w:rsidRPr="0016620E" w:rsidRDefault="006247ED" w:rsidP="002F5837">
            <w:pPr>
              <w:snapToGrid w:val="0"/>
              <w:spacing w:after="120" w:line="240" w:lineRule="auto"/>
              <w:rPr>
                <w:rFonts w:cs="Arial"/>
              </w:rPr>
            </w:pPr>
            <w:r w:rsidRPr="0016620E">
              <w:rPr>
                <w:rFonts w:cs="Arial"/>
              </w:rPr>
              <w:t>Medicine (%)</w:t>
            </w:r>
          </w:p>
        </w:tc>
        <w:tc>
          <w:tcPr>
            <w:tcW w:w="850" w:type="dxa"/>
            <w:tcBorders>
              <w:top w:val="nil"/>
              <w:left w:val="nil"/>
              <w:bottom w:val="nil"/>
              <w:right w:val="nil"/>
            </w:tcBorders>
            <w:vAlign w:val="center"/>
          </w:tcPr>
          <w:p w14:paraId="4778570E" w14:textId="77777777" w:rsidR="006247ED" w:rsidRPr="0016620E" w:rsidRDefault="006247ED" w:rsidP="002F5837">
            <w:pPr>
              <w:snapToGrid w:val="0"/>
              <w:spacing w:after="120" w:line="240" w:lineRule="auto"/>
              <w:rPr>
                <w:rFonts w:cs="Arial"/>
              </w:rPr>
            </w:pPr>
            <w:r w:rsidRPr="0016620E">
              <w:rPr>
                <w:rFonts w:cs="Arial"/>
              </w:rPr>
              <w:t>1.82</w:t>
            </w:r>
          </w:p>
        </w:tc>
        <w:tc>
          <w:tcPr>
            <w:tcW w:w="992" w:type="dxa"/>
            <w:tcBorders>
              <w:top w:val="nil"/>
              <w:left w:val="nil"/>
              <w:bottom w:val="nil"/>
              <w:right w:val="nil"/>
            </w:tcBorders>
            <w:vAlign w:val="center"/>
          </w:tcPr>
          <w:p w14:paraId="6EB08D9F" w14:textId="77777777" w:rsidR="006247ED" w:rsidRPr="0016620E" w:rsidRDefault="006247ED" w:rsidP="002F5837">
            <w:pPr>
              <w:snapToGrid w:val="0"/>
              <w:spacing w:after="120" w:line="240" w:lineRule="auto"/>
              <w:rPr>
                <w:rFonts w:cs="Arial"/>
              </w:rPr>
            </w:pPr>
            <w:r w:rsidRPr="0016620E">
              <w:rPr>
                <w:rFonts w:cs="Arial"/>
              </w:rPr>
              <w:t>2.78</w:t>
            </w:r>
          </w:p>
        </w:tc>
        <w:tc>
          <w:tcPr>
            <w:tcW w:w="851" w:type="dxa"/>
            <w:tcBorders>
              <w:top w:val="nil"/>
              <w:left w:val="nil"/>
              <w:bottom w:val="nil"/>
              <w:right w:val="nil"/>
            </w:tcBorders>
            <w:vAlign w:val="center"/>
          </w:tcPr>
          <w:p w14:paraId="06360F4A" w14:textId="77777777" w:rsidR="006247ED" w:rsidRPr="0016620E" w:rsidRDefault="006247ED" w:rsidP="002F5837">
            <w:pPr>
              <w:snapToGrid w:val="0"/>
              <w:spacing w:after="120" w:line="240" w:lineRule="auto"/>
              <w:rPr>
                <w:rFonts w:cs="Arial"/>
              </w:rPr>
            </w:pPr>
            <w:r w:rsidRPr="0016620E">
              <w:rPr>
                <w:rFonts w:cs="Arial"/>
              </w:rPr>
              <w:t>4.69</w:t>
            </w:r>
          </w:p>
        </w:tc>
        <w:tc>
          <w:tcPr>
            <w:tcW w:w="992" w:type="dxa"/>
            <w:tcBorders>
              <w:top w:val="nil"/>
              <w:left w:val="nil"/>
              <w:bottom w:val="nil"/>
              <w:right w:val="nil"/>
            </w:tcBorders>
            <w:vAlign w:val="center"/>
          </w:tcPr>
          <w:p w14:paraId="62F54D8B" w14:textId="77777777" w:rsidR="006247ED" w:rsidRPr="0016620E" w:rsidRDefault="006247ED" w:rsidP="002F5837">
            <w:pPr>
              <w:snapToGrid w:val="0"/>
              <w:spacing w:after="120" w:line="240" w:lineRule="auto"/>
              <w:rPr>
                <w:rFonts w:cs="Arial"/>
              </w:rPr>
            </w:pPr>
            <w:r w:rsidRPr="0016620E">
              <w:rPr>
                <w:rFonts w:cs="Arial"/>
              </w:rPr>
              <w:t>2.45</w:t>
            </w:r>
          </w:p>
        </w:tc>
        <w:tc>
          <w:tcPr>
            <w:tcW w:w="851" w:type="dxa"/>
            <w:tcBorders>
              <w:top w:val="nil"/>
              <w:left w:val="nil"/>
              <w:bottom w:val="nil"/>
              <w:right w:val="nil"/>
            </w:tcBorders>
            <w:vAlign w:val="center"/>
          </w:tcPr>
          <w:p w14:paraId="77ACA828" w14:textId="77777777" w:rsidR="006247ED" w:rsidRPr="0016620E" w:rsidRDefault="006247ED" w:rsidP="002F5837">
            <w:pPr>
              <w:snapToGrid w:val="0"/>
              <w:spacing w:after="120" w:line="240" w:lineRule="auto"/>
              <w:rPr>
                <w:rFonts w:cs="Arial"/>
              </w:rPr>
            </w:pPr>
            <w:r w:rsidRPr="0016620E">
              <w:rPr>
                <w:rFonts w:cs="Arial"/>
              </w:rPr>
              <w:t>2.18</w:t>
            </w:r>
          </w:p>
        </w:tc>
        <w:tc>
          <w:tcPr>
            <w:tcW w:w="992" w:type="dxa"/>
            <w:tcBorders>
              <w:top w:val="nil"/>
              <w:left w:val="nil"/>
              <w:bottom w:val="nil"/>
              <w:right w:val="nil"/>
            </w:tcBorders>
            <w:vAlign w:val="center"/>
          </w:tcPr>
          <w:p w14:paraId="35BBFE7E" w14:textId="77777777" w:rsidR="006247ED" w:rsidRPr="0016620E" w:rsidRDefault="006247ED" w:rsidP="002F5837">
            <w:pPr>
              <w:snapToGrid w:val="0"/>
              <w:spacing w:after="120" w:line="240" w:lineRule="auto"/>
              <w:rPr>
                <w:rFonts w:cs="Arial"/>
              </w:rPr>
            </w:pPr>
            <w:r w:rsidRPr="0016620E">
              <w:rPr>
                <w:rFonts w:cs="Arial"/>
              </w:rPr>
              <w:t>3.07</w:t>
            </w:r>
          </w:p>
        </w:tc>
        <w:tc>
          <w:tcPr>
            <w:tcW w:w="850" w:type="dxa"/>
            <w:tcBorders>
              <w:top w:val="nil"/>
              <w:left w:val="nil"/>
              <w:bottom w:val="nil"/>
              <w:right w:val="nil"/>
            </w:tcBorders>
            <w:vAlign w:val="center"/>
          </w:tcPr>
          <w:p w14:paraId="081EFA46" w14:textId="77777777" w:rsidR="006247ED" w:rsidRPr="0016620E" w:rsidRDefault="006247ED" w:rsidP="002F5837">
            <w:pPr>
              <w:snapToGrid w:val="0"/>
              <w:spacing w:after="120" w:line="240" w:lineRule="auto"/>
              <w:rPr>
                <w:rFonts w:cs="Arial"/>
              </w:rPr>
            </w:pPr>
            <w:r w:rsidRPr="0016620E">
              <w:rPr>
                <w:rFonts w:cs="Arial"/>
              </w:rPr>
              <w:t>2.88</w:t>
            </w:r>
          </w:p>
        </w:tc>
        <w:tc>
          <w:tcPr>
            <w:tcW w:w="993" w:type="dxa"/>
            <w:tcBorders>
              <w:top w:val="nil"/>
              <w:left w:val="nil"/>
              <w:bottom w:val="nil"/>
              <w:right w:val="nil"/>
            </w:tcBorders>
            <w:vAlign w:val="center"/>
          </w:tcPr>
          <w:p w14:paraId="27740262" w14:textId="77777777" w:rsidR="006247ED" w:rsidRPr="0016620E" w:rsidRDefault="006247ED" w:rsidP="002F5837">
            <w:pPr>
              <w:snapToGrid w:val="0"/>
              <w:spacing w:after="120" w:line="240" w:lineRule="auto"/>
              <w:rPr>
                <w:rFonts w:cs="Arial"/>
              </w:rPr>
            </w:pPr>
            <w:r w:rsidRPr="0016620E">
              <w:rPr>
                <w:rFonts w:cs="Arial"/>
              </w:rPr>
              <w:t>2.76</w:t>
            </w:r>
          </w:p>
        </w:tc>
        <w:tc>
          <w:tcPr>
            <w:tcW w:w="850" w:type="dxa"/>
            <w:tcBorders>
              <w:top w:val="nil"/>
              <w:left w:val="nil"/>
              <w:bottom w:val="nil"/>
              <w:right w:val="nil"/>
            </w:tcBorders>
            <w:vAlign w:val="center"/>
          </w:tcPr>
          <w:p w14:paraId="288C30DC" w14:textId="77777777" w:rsidR="006247ED" w:rsidRPr="0016620E" w:rsidRDefault="006247ED" w:rsidP="002F5837">
            <w:pPr>
              <w:snapToGrid w:val="0"/>
              <w:spacing w:after="120" w:line="240" w:lineRule="auto"/>
              <w:rPr>
                <w:rFonts w:cs="Arial"/>
              </w:rPr>
            </w:pPr>
            <w:r w:rsidRPr="0016620E">
              <w:rPr>
                <w:rFonts w:cs="Arial"/>
              </w:rPr>
              <w:t>0.56</w:t>
            </w:r>
          </w:p>
        </w:tc>
        <w:tc>
          <w:tcPr>
            <w:tcW w:w="858" w:type="dxa"/>
            <w:tcBorders>
              <w:top w:val="nil"/>
              <w:left w:val="nil"/>
              <w:bottom w:val="nil"/>
            </w:tcBorders>
            <w:vAlign w:val="center"/>
          </w:tcPr>
          <w:p w14:paraId="253B37CC" w14:textId="77777777" w:rsidR="006247ED" w:rsidRPr="0016620E" w:rsidRDefault="006247ED" w:rsidP="002F5837">
            <w:pPr>
              <w:snapToGrid w:val="0"/>
              <w:spacing w:after="120" w:line="240" w:lineRule="auto"/>
              <w:rPr>
                <w:rFonts w:cs="Arial"/>
              </w:rPr>
            </w:pPr>
            <w:r w:rsidRPr="0016620E">
              <w:rPr>
                <w:rFonts w:cs="Arial"/>
              </w:rPr>
              <w:t>2.85</w:t>
            </w:r>
          </w:p>
        </w:tc>
      </w:tr>
      <w:tr w:rsidR="006247ED" w:rsidRPr="0016620E" w14:paraId="3A1C7E67" w14:textId="77777777" w:rsidTr="0083335C">
        <w:tc>
          <w:tcPr>
            <w:tcW w:w="4962" w:type="dxa"/>
            <w:tcBorders>
              <w:top w:val="nil"/>
              <w:bottom w:val="nil"/>
              <w:right w:val="nil"/>
            </w:tcBorders>
            <w:vAlign w:val="center"/>
          </w:tcPr>
          <w:p w14:paraId="65D02285" w14:textId="77777777" w:rsidR="006247ED" w:rsidRPr="0016620E" w:rsidRDefault="006247ED" w:rsidP="002F5837">
            <w:pPr>
              <w:snapToGrid w:val="0"/>
              <w:spacing w:after="120" w:line="240" w:lineRule="auto"/>
              <w:rPr>
                <w:rFonts w:cs="Arial"/>
              </w:rPr>
            </w:pPr>
            <w:r w:rsidRPr="0016620E">
              <w:rPr>
                <w:rFonts w:cs="Arial"/>
              </w:rPr>
              <w:t>Nursing (%)</w:t>
            </w:r>
          </w:p>
        </w:tc>
        <w:tc>
          <w:tcPr>
            <w:tcW w:w="850" w:type="dxa"/>
            <w:tcBorders>
              <w:top w:val="nil"/>
              <w:left w:val="nil"/>
              <w:bottom w:val="nil"/>
              <w:right w:val="nil"/>
            </w:tcBorders>
            <w:vAlign w:val="center"/>
          </w:tcPr>
          <w:p w14:paraId="7CC93170" w14:textId="77777777" w:rsidR="006247ED" w:rsidRPr="0016620E" w:rsidRDefault="006247ED" w:rsidP="002F5837">
            <w:pPr>
              <w:snapToGrid w:val="0"/>
              <w:spacing w:after="120" w:line="240" w:lineRule="auto"/>
              <w:rPr>
                <w:rFonts w:cs="Arial"/>
              </w:rPr>
            </w:pPr>
            <w:r w:rsidRPr="0016620E">
              <w:rPr>
                <w:rFonts w:cs="Arial"/>
              </w:rPr>
              <w:t>10.91</w:t>
            </w:r>
          </w:p>
        </w:tc>
        <w:tc>
          <w:tcPr>
            <w:tcW w:w="992" w:type="dxa"/>
            <w:tcBorders>
              <w:top w:val="nil"/>
              <w:left w:val="nil"/>
              <w:bottom w:val="nil"/>
              <w:right w:val="nil"/>
            </w:tcBorders>
            <w:vAlign w:val="center"/>
          </w:tcPr>
          <w:p w14:paraId="4D7A8FD2" w14:textId="77777777" w:rsidR="006247ED" w:rsidRPr="0016620E" w:rsidRDefault="006247ED" w:rsidP="002F5837">
            <w:pPr>
              <w:snapToGrid w:val="0"/>
              <w:spacing w:after="120" w:line="240" w:lineRule="auto"/>
              <w:rPr>
                <w:rFonts w:cs="Arial"/>
              </w:rPr>
            </w:pPr>
            <w:r w:rsidRPr="0016620E">
              <w:rPr>
                <w:rFonts w:cs="Arial"/>
              </w:rPr>
              <w:t>7.77</w:t>
            </w:r>
          </w:p>
        </w:tc>
        <w:tc>
          <w:tcPr>
            <w:tcW w:w="851" w:type="dxa"/>
            <w:tcBorders>
              <w:top w:val="nil"/>
              <w:left w:val="nil"/>
              <w:bottom w:val="nil"/>
              <w:right w:val="nil"/>
            </w:tcBorders>
            <w:vAlign w:val="center"/>
          </w:tcPr>
          <w:p w14:paraId="71EC481F" w14:textId="77777777" w:rsidR="006247ED" w:rsidRPr="0016620E" w:rsidRDefault="006247ED" w:rsidP="002F5837">
            <w:pPr>
              <w:snapToGrid w:val="0"/>
              <w:spacing w:after="120" w:line="240" w:lineRule="auto"/>
              <w:rPr>
                <w:rFonts w:cs="Arial"/>
              </w:rPr>
            </w:pPr>
            <w:r w:rsidRPr="0016620E">
              <w:rPr>
                <w:rFonts w:cs="Arial"/>
              </w:rPr>
              <w:t>6.39</w:t>
            </w:r>
          </w:p>
        </w:tc>
        <w:tc>
          <w:tcPr>
            <w:tcW w:w="992" w:type="dxa"/>
            <w:tcBorders>
              <w:top w:val="nil"/>
              <w:left w:val="nil"/>
              <w:bottom w:val="nil"/>
              <w:right w:val="nil"/>
            </w:tcBorders>
            <w:vAlign w:val="center"/>
          </w:tcPr>
          <w:p w14:paraId="1097CF7E" w14:textId="77777777" w:rsidR="006247ED" w:rsidRPr="0016620E" w:rsidRDefault="006247ED" w:rsidP="002F5837">
            <w:pPr>
              <w:snapToGrid w:val="0"/>
              <w:spacing w:after="120" w:line="240" w:lineRule="auto"/>
              <w:rPr>
                <w:rFonts w:cs="Arial"/>
              </w:rPr>
            </w:pPr>
            <w:r w:rsidRPr="0016620E">
              <w:rPr>
                <w:rFonts w:cs="Arial"/>
              </w:rPr>
              <w:t>8.04</w:t>
            </w:r>
          </w:p>
        </w:tc>
        <w:tc>
          <w:tcPr>
            <w:tcW w:w="851" w:type="dxa"/>
            <w:tcBorders>
              <w:top w:val="nil"/>
              <w:left w:val="nil"/>
              <w:bottom w:val="nil"/>
              <w:right w:val="nil"/>
            </w:tcBorders>
            <w:vAlign w:val="center"/>
          </w:tcPr>
          <w:p w14:paraId="2AFFBC90" w14:textId="77777777" w:rsidR="006247ED" w:rsidRPr="0016620E" w:rsidRDefault="006247ED" w:rsidP="002F5837">
            <w:pPr>
              <w:snapToGrid w:val="0"/>
              <w:spacing w:after="120" w:line="240" w:lineRule="auto"/>
              <w:rPr>
                <w:rFonts w:cs="Arial"/>
              </w:rPr>
            </w:pPr>
            <w:r w:rsidRPr="0016620E">
              <w:rPr>
                <w:rFonts w:cs="Arial"/>
              </w:rPr>
              <w:t>9.40</w:t>
            </w:r>
          </w:p>
        </w:tc>
        <w:tc>
          <w:tcPr>
            <w:tcW w:w="992" w:type="dxa"/>
            <w:tcBorders>
              <w:top w:val="nil"/>
              <w:left w:val="nil"/>
              <w:bottom w:val="nil"/>
              <w:right w:val="nil"/>
            </w:tcBorders>
            <w:vAlign w:val="center"/>
          </w:tcPr>
          <w:p w14:paraId="2FF1A519" w14:textId="77777777" w:rsidR="006247ED" w:rsidRPr="0016620E" w:rsidRDefault="006247ED" w:rsidP="002F5837">
            <w:pPr>
              <w:snapToGrid w:val="0"/>
              <w:spacing w:after="120" w:line="240" w:lineRule="auto"/>
              <w:rPr>
                <w:rFonts w:cs="Arial"/>
              </w:rPr>
            </w:pPr>
            <w:r w:rsidRPr="0016620E">
              <w:rPr>
                <w:rFonts w:cs="Arial"/>
              </w:rPr>
              <w:t>6.99</w:t>
            </w:r>
          </w:p>
        </w:tc>
        <w:tc>
          <w:tcPr>
            <w:tcW w:w="850" w:type="dxa"/>
            <w:tcBorders>
              <w:top w:val="nil"/>
              <w:left w:val="nil"/>
              <w:bottom w:val="nil"/>
              <w:right w:val="nil"/>
            </w:tcBorders>
            <w:vAlign w:val="center"/>
          </w:tcPr>
          <w:p w14:paraId="6457802E" w14:textId="77777777" w:rsidR="006247ED" w:rsidRPr="0016620E" w:rsidRDefault="006247ED" w:rsidP="002F5837">
            <w:pPr>
              <w:snapToGrid w:val="0"/>
              <w:spacing w:after="120" w:line="240" w:lineRule="auto"/>
              <w:rPr>
                <w:rFonts w:cs="Arial"/>
              </w:rPr>
            </w:pPr>
            <w:r w:rsidRPr="0016620E">
              <w:rPr>
                <w:rFonts w:cs="Arial"/>
              </w:rPr>
              <w:t>7.19</w:t>
            </w:r>
          </w:p>
        </w:tc>
        <w:tc>
          <w:tcPr>
            <w:tcW w:w="993" w:type="dxa"/>
            <w:tcBorders>
              <w:top w:val="nil"/>
              <w:left w:val="nil"/>
              <w:bottom w:val="nil"/>
              <w:right w:val="nil"/>
            </w:tcBorders>
            <w:vAlign w:val="center"/>
          </w:tcPr>
          <w:p w14:paraId="0BDD4539" w14:textId="77777777" w:rsidR="006247ED" w:rsidRPr="0016620E" w:rsidRDefault="006247ED" w:rsidP="002F5837">
            <w:pPr>
              <w:snapToGrid w:val="0"/>
              <w:spacing w:after="120" w:line="240" w:lineRule="auto"/>
              <w:rPr>
                <w:rFonts w:cs="Arial"/>
              </w:rPr>
            </w:pPr>
            <w:r w:rsidRPr="0016620E">
              <w:rPr>
                <w:rFonts w:cs="Arial"/>
              </w:rPr>
              <w:t>7.88</w:t>
            </w:r>
          </w:p>
        </w:tc>
        <w:tc>
          <w:tcPr>
            <w:tcW w:w="850" w:type="dxa"/>
            <w:tcBorders>
              <w:top w:val="nil"/>
              <w:left w:val="nil"/>
              <w:bottom w:val="nil"/>
              <w:right w:val="nil"/>
            </w:tcBorders>
            <w:vAlign w:val="center"/>
          </w:tcPr>
          <w:p w14:paraId="42B54D62" w14:textId="77777777" w:rsidR="006247ED" w:rsidRPr="0016620E" w:rsidRDefault="006247ED" w:rsidP="002F5837">
            <w:pPr>
              <w:snapToGrid w:val="0"/>
              <w:spacing w:after="120" w:line="240" w:lineRule="auto"/>
              <w:rPr>
                <w:rFonts w:cs="Arial"/>
              </w:rPr>
            </w:pPr>
            <w:r w:rsidRPr="0016620E">
              <w:rPr>
                <w:rFonts w:cs="Arial"/>
              </w:rPr>
              <w:t>7.82</w:t>
            </w:r>
          </w:p>
        </w:tc>
        <w:tc>
          <w:tcPr>
            <w:tcW w:w="858" w:type="dxa"/>
            <w:tcBorders>
              <w:top w:val="nil"/>
              <w:left w:val="nil"/>
              <w:bottom w:val="nil"/>
            </w:tcBorders>
            <w:vAlign w:val="center"/>
          </w:tcPr>
          <w:p w14:paraId="406692DA" w14:textId="77777777" w:rsidR="006247ED" w:rsidRPr="0016620E" w:rsidRDefault="006247ED" w:rsidP="002F5837">
            <w:pPr>
              <w:snapToGrid w:val="0"/>
              <w:spacing w:after="120" w:line="240" w:lineRule="auto"/>
              <w:rPr>
                <w:rFonts w:cs="Arial"/>
              </w:rPr>
            </w:pPr>
            <w:r w:rsidRPr="0016620E">
              <w:rPr>
                <w:rFonts w:cs="Arial"/>
              </w:rPr>
              <w:t>7.80</w:t>
            </w:r>
          </w:p>
        </w:tc>
      </w:tr>
      <w:tr w:rsidR="006247ED" w:rsidRPr="0016620E" w14:paraId="47798031" w14:textId="77777777" w:rsidTr="0083335C">
        <w:tc>
          <w:tcPr>
            <w:tcW w:w="4962" w:type="dxa"/>
            <w:tcBorders>
              <w:top w:val="nil"/>
              <w:bottom w:val="nil"/>
              <w:right w:val="nil"/>
            </w:tcBorders>
            <w:vAlign w:val="center"/>
          </w:tcPr>
          <w:p w14:paraId="7229FAA6" w14:textId="77777777" w:rsidR="006247ED" w:rsidRPr="0016620E" w:rsidRDefault="006247ED" w:rsidP="002F5837">
            <w:pPr>
              <w:snapToGrid w:val="0"/>
              <w:spacing w:after="120" w:line="240" w:lineRule="auto"/>
              <w:rPr>
                <w:rFonts w:cs="Arial"/>
              </w:rPr>
            </w:pPr>
            <w:r w:rsidRPr="0016620E">
              <w:rPr>
                <w:rFonts w:cs="Arial"/>
              </w:rPr>
              <w:t>Other health-related (%)</w:t>
            </w:r>
          </w:p>
        </w:tc>
        <w:tc>
          <w:tcPr>
            <w:tcW w:w="850" w:type="dxa"/>
            <w:tcBorders>
              <w:top w:val="nil"/>
              <w:left w:val="nil"/>
              <w:bottom w:val="nil"/>
              <w:right w:val="nil"/>
            </w:tcBorders>
            <w:vAlign w:val="center"/>
          </w:tcPr>
          <w:p w14:paraId="4F81AC36" w14:textId="77777777" w:rsidR="006247ED" w:rsidRPr="0016620E" w:rsidRDefault="006247ED" w:rsidP="002F5837">
            <w:pPr>
              <w:snapToGrid w:val="0"/>
              <w:spacing w:after="120" w:line="240" w:lineRule="auto"/>
              <w:rPr>
                <w:rFonts w:cs="Arial"/>
              </w:rPr>
            </w:pPr>
            <w:r w:rsidRPr="0016620E">
              <w:rPr>
                <w:rFonts w:cs="Arial"/>
              </w:rPr>
              <w:t>5.45</w:t>
            </w:r>
          </w:p>
        </w:tc>
        <w:tc>
          <w:tcPr>
            <w:tcW w:w="992" w:type="dxa"/>
            <w:tcBorders>
              <w:top w:val="nil"/>
              <w:left w:val="nil"/>
              <w:bottom w:val="nil"/>
              <w:right w:val="nil"/>
            </w:tcBorders>
            <w:vAlign w:val="center"/>
          </w:tcPr>
          <w:p w14:paraId="3CB881D6" w14:textId="77777777" w:rsidR="006247ED" w:rsidRPr="0016620E" w:rsidRDefault="006247ED" w:rsidP="002F5837">
            <w:pPr>
              <w:snapToGrid w:val="0"/>
              <w:spacing w:after="120" w:line="240" w:lineRule="auto"/>
              <w:rPr>
                <w:rFonts w:cs="Arial"/>
              </w:rPr>
            </w:pPr>
            <w:r w:rsidRPr="0016620E">
              <w:rPr>
                <w:rFonts w:cs="Arial"/>
              </w:rPr>
              <w:t>7.87</w:t>
            </w:r>
          </w:p>
        </w:tc>
        <w:tc>
          <w:tcPr>
            <w:tcW w:w="851" w:type="dxa"/>
            <w:tcBorders>
              <w:top w:val="nil"/>
              <w:left w:val="nil"/>
              <w:bottom w:val="nil"/>
              <w:right w:val="nil"/>
            </w:tcBorders>
            <w:vAlign w:val="center"/>
          </w:tcPr>
          <w:p w14:paraId="0D59D001" w14:textId="77777777" w:rsidR="006247ED" w:rsidRPr="0016620E" w:rsidRDefault="006247ED" w:rsidP="002F5837">
            <w:pPr>
              <w:snapToGrid w:val="0"/>
              <w:spacing w:after="120" w:line="240" w:lineRule="auto"/>
              <w:rPr>
                <w:rFonts w:cs="Arial"/>
              </w:rPr>
            </w:pPr>
            <w:r w:rsidRPr="0016620E">
              <w:rPr>
                <w:rFonts w:cs="Arial"/>
              </w:rPr>
              <w:t>5.26</w:t>
            </w:r>
          </w:p>
        </w:tc>
        <w:tc>
          <w:tcPr>
            <w:tcW w:w="992" w:type="dxa"/>
            <w:tcBorders>
              <w:top w:val="nil"/>
              <w:left w:val="nil"/>
              <w:bottom w:val="nil"/>
              <w:right w:val="nil"/>
            </w:tcBorders>
            <w:vAlign w:val="center"/>
          </w:tcPr>
          <w:p w14:paraId="498D60FF" w14:textId="77777777" w:rsidR="006247ED" w:rsidRPr="0016620E" w:rsidRDefault="006247ED" w:rsidP="002F5837">
            <w:pPr>
              <w:snapToGrid w:val="0"/>
              <w:spacing w:after="120" w:line="240" w:lineRule="auto"/>
              <w:rPr>
                <w:rFonts w:cs="Arial"/>
              </w:rPr>
            </w:pPr>
            <w:r w:rsidRPr="0016620E">
              <w:rPr>
                <w:rFonts w:cs="Arial"/>
              </w:rPr>
              <w:t>8.27</w:t>
            </w:r>
          </w:p>
        </w:tc>
        <w:tc>
          <w:tcPr>
            <w:tcW w:w="851" w:type="dxa"/>
            <w:tcBorders>
              <w:top w:val="nil"/>
              <w:left w:val="nil"/>
              <w:bottom w:val="nil"/>
              <w:right w:val="nil"/>
            </w:tcBorders>
            <w:vAlign w:val="center"/>
          </w:tcPr>
          <w:p w14:paraId="4FCEFE0A" w14:textId="77777777" w:rsidR="006247ED" w:rsidRPr="0016620E" w:rsidRDefault="006247ED" w:rsidP="002F5837">
            <w:pPr>
              <w:snapToGrid w:val="0"/>
              <w:spacing w:after="120" w:line="240" w:lineRule="auto"/>
              <w:rPr>
                <w:rFonts w:cs="Arial"/>
              </w:rPr>
            </w:pPr>
            <w:r w:rsidRPr="0016620E">
              <w:rPr>
                <w:rFonts w:cs="Arial"/>
              </w:rPr>
              <w:t>7.16</w:t>
            </w:r>
          </w:p>
        </w:tc>
        <w:tc>
          <w:tcPr>
            <w:tcW w:w="992" w:type="dxa"/>
            <w:tcBorders>
              <w:top w:val="nil"/>
              <w:left w:val="nil"/>
              <w:bottom w:val="nil"/>
              <w:right w:val="nil"/>
            </w:tcBorders>
            <w:vAlign w:val="center"/>
          </w:tcPr>
          <w:p w14:paraId="52F49295" w14:textId="77777777" w:rsidR="006247ED" w:rsidRPr="0016620E" w:rsidRDefault="006247ED" w:rsidP="002F5837">
            <w:pPr>
              <w:snapToGrid w:val="0"/>
              <w:spacing w:after="120" w:line="240" w:lineRule="auto"/>
              <w:rPr>
                <w:rFonts w:cs="Arial"/>
              </w:rPr>
            </w:pPr>
            <w:r w:rsidRPr="0016620E">
              <w:rPr>
                <w:rFonts w:cs="Arial"/>
              </w:rPr>
              <w:t>8.19</w:t>
            </w:r>
          </w:p>
        </w:tc>
        <w:tc>
          <w:tcPr>
            <w:tcW w:w="850" w:type="dxa"/>
            <w:tcBorders>
              <w:top w:val="nil"/>
              <w:left w:val="nil"/>
              <w:bottom w:val="nil"/>
              <w:right w:val="nil"/>
            </w:tcBorders>
            <w:vAlign w:val="center"/>
          </w:tcPr>
          <w:p w14:paraId="0BA84CE0" w14:textId="77777777" w:rsidR="006247ED" w:rsidRPr="0016620E" w:rsidRDefault="006247ED" w:rsidP="002F5837">
            <w:pPr>
              <w:snapToGrid w:val="0"/>
              <w:spacing w:after="120" w:line="240" w:lineRule="auto"/>
              <w:rPr>
                <w:rFonts w:cs="Arial"/>
              </w:rPr>
            </w:pPr>
            <w:r w:rsidRPr="0016620E">
              <w:rPr>
                <w:rFonts w:cs="Arial"/>
              </w:rPr>
              <w:t>7.91</w:t>
            </w:r>
          </w:p>
        </w:tc>
        <w:tc>
          <w:tcPr>
            <w:tcW w:w="993" w:type="dxa"/>
            <w:tcBorders>
              <w:top w:val="nil"/>
              <w:left w:val="nil"/>
              <w:bottom w:val="nil"/>
              <w:right w:val="nil"/>
            </w:tcBorders>
            <w:vAlign w:val="center"/>
          </w:tcPr>
          <w:p w14:paraId="5299F2AF" w14:textId="77777777" w:rsidR="006247ED" w:rsidRPr="0016620E" w:rsidRDefault="006247ED" w:rsidP="002F5837">
            <w:pPr>
              <w:snapToGrid w:val="0"/>
              <w:spacing w:after="120" w:line="240" w:lineRule="auto"/>
              <w:rPr>
                <w:rFonts w:cs="Arial"/>
              </w:rPr>
            </w:pPr>
            <w:r w:rsidRPr="0016620E">
              <w:rPr>
                <w:rFonts w:cs="Arial"/>
              </w:rPr>
              <w:t>7.83</w:t>
            </w:r>
          </w:p>
        </w:tc>
        <w:tc>
          <w:tcPr>
            <w:tcW w:w="850" w:type="dxa"/>
            <w:tcBorders>
              <w:top w:val="nil"/>
              <w:left w:val="nil"/>
              <w:bottom w:val="nil"/>
              <w:right w:val="nil"/>
            </w:tcBorders>
            <w:vAlign w:val="center"/>
          </w:tcPr>
          <w:p w14:paraId="76FFFE16" w14:textId="77777777" w:rsidR="006247ED" w:rsidRPr="0016620E" w:rsidRDefault="006247ED" w:rsidP="002F5837">
            <w:pPr>
              <w:snapToGrid w:val="0"/>
              <w:spacing w:after="120" w:line="240" w:lineRule="auto"/>
              <w:rPr>
                <w:rFonts w:cs="Arial"/>
              </w:rPr>
            </w:pPr>
            <w:r w:rsidRPr="0016620E">
              <w:rPr>
                <w:rFonts w:cs="Arial"/>
              </w:rPr>
              <w:t>4.47</w:t>
            </w:r>
          </w:p>
        </w:tc>
        <w:tc>
          <w:tcPr>
            <w:tcW w:w="858" w:type="dxa"/>
            <w:tcBorders>
              <w:top w:val="nil"/>
              <w:left w:val="nil"/>
              <w:bottom w:val="nil"/>
            </w:tcBorders>
            <w:vAlign w:val="center"/>
          </w:tcPr>
          <w:p w14:paraId="55C37C04" w14:textId="77777777" w:rsidR="006247ED" w:rsidRPr="0016620E" w:rsidRDefault="006247ED" w:rsidP="002F5837">
            <w:pPr>
              <w:snapToGrid w:val="0"/>
              <w:spacing w:after="120" w:line="240" w:lineRule="auto"/>
              <w:rPr>
                <w:rFonts w:cs="Arial"/>
              </w:rPr>
            </w:pPr>
            <w:r w:rsidRPr="0016620E">
              <w:rPr>
                <w:rFonts w:cs="Arial"/>
              </w:rPr>
              <w:t>7.97</w:t>
            </w:r>
          </w:p>
        </w:tc>
      </w:tr>
      <w:tr w:rsidR="006247ED" w:rsidRPr="0016620E" w14:paraId="46EDC5A9" w14:textId="77777777" w:rsidTr="0083335C">
        <w:tc>
          <w:tcPr>
            <w:tcW w:w="4962" w:type="dxa"/>
            <w:tcBorders>
              <w:top w:val="nil"/>
              <w:bottom w:val="nil"/>
              <w:right w:val="nil"/>
            </w:tcBorders>
            <w:vAlign w:val="center"/>
          </w:tcPr>
          <w:p w14:paraId="1B37B05E" w14:textId="77777777" w:rsidR="006247ED" w:rsidRPr="0016620E" w:rsidRDefault="006247ED" w:rsidP="002F5837">
            <w:pPr>
              <w:snapToGrid w:val="0"/>
              <w:spacing w:after="120" w:line="240" w:lineRule="auto"/>
              <w:rPr>
                <w:rFonts w:cs="Arial"/>
              </w:rPr>
            </w:pPr>
            <w:r w:rsidRPr="0016620E">
              <w:rPr>
                <w:rFonts w:cs="Arial"/>
              </w:rPr>
              <w:t>Education (%)</w:t>
            </w:r>
          </w:p>
        </w:tc>
        <w:tc>
          <w:tcPr>
            <w:tcW w:w="850" w:type="dxa"/>
            <w:tcBorders>
              <w:top w:val="nil"/>
              <w:left w:val="nil"/>
              <w:bottom w:val="nil"/>
              <w:right w:val="nil"/>
            </w:tcBorders>
            <w:vAlign w:val="center"/>
          </w:tcPr>
          <w:p w14:paraId="4275D473" w14:textId="77777777" w:rsidR="006247ED" w:rsidRPr="0016620E" w:rsidRDefault="006247ED" w:rsidP="002F5837">
            <w:pPr>
              <w:snapToGrid w:val="0"/>
              <w:spacing w:after="120" w:line="240" w:lineRule="auto"/>
              <w:rPr>
                <w:rFonts w:cs="Arial"/>
              </w:rPr>
            </w:pPr>
            <w:r w:rsidRPr="0016620E">
              <w:rPr>
                <w:rFonts w:cs="Arial"/>
              </w:rPr>
              <w:t>20.00</w:t>
            </w:r>
          </w:p>
        </w:tc>
        <w:tc>
          <w:tcPr>
            <w:tcW w:w="992" w:type="dxa"/>
            <w:tcBorders>
              <w:top w:val="nil"/>
              <w:left w:val="nil"/>
              <w:bottom w:val="nil"/>
              <w:right w:val="nil"/>
            </w:tcBorders>
            <w:vAlign w:val="center"/>
          </w:tcPr>
          <w:p w14:paraId="3D641280" w14:textId="77777777" w:rsidR="006247ED" w:rsidRPr="0016620E" w:rsidRDefault="006247ED" w:rsidP="002F5837">
            <w:pPr>
              <w:snapToGrid w:val="0"/>
              <w:spacing w:after="120" w:line="240" w:lineRule="auto"/>
              <w:rPr>
                <w:rFonts w:cs="Arial"/>
              </w:rPr>
            </w:pPr>
            <w:r w:rsidRPr="0016620E">
              <w:rPr>
                <w:rFonts w:cs="Arial"/>
              </w:rPr>
              <w:t>15.18</w:t>
            </w:r>
          </w:p>
        </w:tc>
        <w:tc>
          <w:tcPr>
            <w:tcW w:w="851" w:type="dxa"/>
            <w:tcBorders>
              <w:top w:val="nil"/>
              <w:left w:val="nil"/>
              <w:bottom w:val="nil"/>
              <w:right w:val="nil"/>
            </w:tcBorders>
            <w:vAlign w:val="center"/>
          </w:tcPr>
          <w:p w14:paraId="4326805B" w14:textId="77777777" w:rsidR="006247ED" w:rsidRPr="0016620E" w:rsidRDefault="006247ED" w:rsidP="002F5837">
            <w:pPr>
              <w:snapToGrid w:val="0"/>
              <w:spacing w:after="120" w:line="240" w:lineRule="auto"/>
              <w:rPr>
                <w:rFonts w:cs="Arial"/>
              </w:rPr>
            </w:pPr>
            <w:r w:rsidRPr="0016620E">
              <w:rPr>
                <w:rFonts w:cs="Arial"/>
              </w:rPr>
              <w:t>6.96</w:t>
            </w:r>
          </w:p>
        </w:tc>
        <w:tc>
          <w:tcPr>
            <w:tcW w:w="992" w:type="dxa"/>
            <w:tcBorders>
              <w:top w:val="nil"/>
              <w:left w:val="nil"/>
              <w:bottom w:val="nil"/>
              <w:right w:val="nil"/>
            </w:tcBorders>
            <w:vAlign w:val="center"/>
          </w:tcPr>
          <w:p w14:paraId="37170451" w14:textId="77777777" w:rsidR="006247ED" w:rsidRPr="0016620E" w:rsidRDefault="006247ED" w:rsidP="002F5837">
            <w:pPr>
              <w:snapToGrid w:val="0"/>
              <w:spacing w:after="120" w:line="240" w:lineRule="auto"/>
              <w:rPr>
                <w:rFonts w:cs="Arial"/>
              </w:rPr>
            </w:pPr>
            <w:r w:rsidRPr="0016620E">
              <w:rPr>
                <w:rFonts w:cs="Arial"/>
              </w:rPr>
              <w:t>16.62</w:t>
            </w:r>
          </w:p>
        </w:tc>
        <w:tc>
          <w:tcPr>
            <w:tcW w:w="851" w:type="dxa"/>
            <w:tcBorders>
              <w:top w:val="nil"/>
              <w:left w:val="nil"/>
              <w:bottom w:val="nil"/>
              <w:right w:val="nil"/>
            </w:tcBorders>
            <w:vAlign w:val="center"/>
          </w:tcPr>
          <w:p w14:paraId="090D686D" w14:textId="77777777" w:rsidR="006247ED" w:rsidRPr="0016620E" w:rsidRDefault="006247ED" w:rsidP="002F5837">
            <w:pPr>
              <w:snapToGrid w:val="0"/>
              <w:spacing w:after="120" w:line="240" w:lineRule="auto"/>
              <w:rPr>
                <w:rFonts w:cs="Arial"/>
              </w:rPr>
            </w:pPr>
            <w:r w:rsidRPr="0016620E">
              <w:rPr>
                <w:rFonts w:cs="Arial"/>
              </w:rPr>
              <w:t>17.04</w:t>
            </w:r>
          </w:p>
        </w:tc>
        <w:tc>
          <w:tcPr>
            <w:tcW w:w="992" w:type="dxa"/>
            <w:tcBorders>
              <w:top w:val="nil"/>
              <w:left w:val="nil"/>
              <w:bottom w:val="nil"/>
              <w:right w:val="nil"/>
            </w:tcBorders>
            <w:vAlign w:val="center"/>
          </w:tcPr>
          <w:p w14:paraId="626BDEA2" w14:textId="77777777" w:rsidR="006247ED" w:rsidRPr="0016620E" w:rsidRDefault="006247ED" w:rsidP="002F5837">
            <w:pPr>
              <w:snapToGrid w:val="0"/>
              <w:spacing w:after="120" w:line="240" w:lineRule="auto"/>
              <w:rPr>
                <w:rFonts w:cs="Arial"/>
              </w:rPr>
            </w:pPr>
            <w:r w:rsidRPr="0016620E">
              <w:rPr>
                <w:rFonts w:cs="Arial"/>
              </w:rPr>
              <w:t>14.32</w:t>
            </w:r>
          </w:p>
        </w:tc>
        <w:tc>
          <w:tcPr>
            <w:tcW w:w="850" w:type="dxa"/>
            <w:tcBorders>
              <w:top w:val="nil"/>
              <w:left w:val="nil"/>
              <w:bottom w:val="nil"/>
              <w:right w:val="nil"/>
            </w:tcBorders>
            <w:vAlign w:val="center"/>
          </w:tcPr>
          <w:p w14:paraId="5F48E02A" w14:textId="77777777" w:rsidR="006247ED" w:rsidRPr="0016620E" w:rsidRDefault="006247ED" w:rsidP="002F5837">
            <w:pPr>
              <w:snapToGrid w:val="0"/>
              <w:spacing w:after="120" w:line="240" w:lineRule="auto"/>
              <w:rPr>
                <w:rFonts w:cs="Arial"/>
              </w:rPr>
            </w:pPr>
            <w:r w:rsidRPr="0016620E">
              <w:rPr>
                <w:rFonts w:cs="Arial"/>
              </w:rPr>
              <w:t>16.19</w:t>
            </w:r>
          </w:p>
        </w:tc>
        <w:tc>
          <w:tcPr>
            <w:tcW w:w="993" w:type="dxa"/>
            <w:tcBorders>
              <w:top w:val="nil"/>
              <w:left w:val="nil"/>
              <w:bottom w:val="nil"/>
              <w:right w:val="nil"/>
            </w:tcBorders>
            <w:vAlign w:val="center"/>
          </w:tcPr>
          <w:p w14:paraId="09CC9A01" w14:textId="77777777" w:rsidR="006247ED" w:rsidRPr="0016620E" w:rsidRDefault="006247ED" w:rsidP="002F5837">
            <w:pPr>
              <w:snapToGrid w:val="0"/>
              <w:spacing w:after="120" w:line="240" w:lineRule="auto"/>
              <w:rPr>
                <w:rFonts w:cs="Arial"/>
              </w:rPr>
            </w:pPr>
            <w:r w:rsidRPr="0016620E">
              <w:rPr>
                <w:rFonts w:cs="Arial"/>
              </w:rPr>
              <w:t>15.11</w:t>
            </w:r>
          </w:p>
        </w:tc>
        <w:tc>
          <w:tcPr>
            <w:tcW w:w="850" w:type="dxa"/>
            <w:tcBorders>
              <w:top w:val="nil"/>
              <w:left w:val="nil"/>
              <w:bottom w:val="nil"/>
              <w:right w:val="nil"/>
            </w:tcBorders>
            <w:vAlign w:val="center"/>
          </w:tcPr>
          <w:p w14:paraId="093CDDAD" w14:textId="77777777" w:rsidR="006247ED" w:rsidRPr="0016620E" w:rsidRDefault="006247ED" w:rsidP="002F5837">
            <w:pPr>
              <w:snapToGrid w:val="0"/>
              <w:spacing w:after="120" w:line="240" w:lineRule="auto"/>
              <w:rPr>
                <w:rFonts w:cs="Arial"/>
              </w:rPr>
            </w:pPr>
            <w:r w:rsidRPr="0016620E">
              <w:rPr>
                <w:rFonts w:cs="Arial"/>
              </w:rPr>
              <w:t>16.20</w:t>
            </w:r>
          </w:p>
        </w:tc>
        <w:tc>
          <w:tcPr>
            <w:tcW w:w="858" w:type="dxa"/>
            <w:tcBorders>
              <w:top w:val="nil"/>
              <w:left w:val="nil"/>
              <w:bottom w:val="nil"/>
            </w:tcBorders>
            <w:vAlign w:val="center"/>
          </w:tcPr>
          <w:p w14:paraId="7F10E9FF" w14:textId="77777777" w:rsidR="006247ED" w:rsidRPr="0016620E" w:rsidRDefault="006247ED" w:rsidP="002F5837">
            <w:pPr>
              <w:snapToGrid w:val="0"/>
              <w:spacing w:after="120" w:line="240" w:lineRule="auto"/>
              <w:rPr>
                <w:rFonts w:cs="Arial"/>
              </w:rPr>
            </w:pPr>
            <w:r w:rsidRPr="0016620E">
              <w:rPr>
                <w:rFonts w:cs="Arial"/>
              </w:rPr>
              <w:t>15.20</w:t>
            </w:r>
          </w:p>
        </w:tc>
      </w:tr>
      <w:tr w:rsidR="006247ED" w:rsidRPr="0016620E" w14:paraId="043FD5D5" w14:textId="77777777" w:rsidTr="0083335C">
        <w:tc>
          <w:tcPr>
            <w:tcW w:w="4962" w:type="dxa"/>
            <w:tcBorders>
              <w:top w:val="nil"/>
              <w:bottom w:val="nil"/>
              <w:right w:val="nil"/>
            </w:tcBorders>
            <w:vAlign w:val="center"/>
          </w:tcPr>
          <w:p w14:paraId="2AC4BF22" w14:textId="77777777" w:rsidR="006247ED" w:rsidRPr="0016620E" w:rsidRDefault="006247ED" w:rsidP="002F5837">
            <w:pPr>
              <w:snapToGrid w:val="0"/>
              <w:spacing w:after="120" w:line="240" w:lineRule="auto"/>
              <w:rPr>
                <w:rFonts w:cs="Arial"/>
              </w:rPr>
            </w:pPr>
            <w:r w:rsidRPr="0016620E">
              <w:rPr>
                <w:rFonts w:cs="Arial"/>
              </w:rPr>
              <w:t>Management and commerce (%)</w:t>
            </w:r>
          </w:p>
        </w:tc>
        <w:tc>
          <w:tcPr>
            <w:tcW w:w="850" w:type="dxa"/>
            <w:tcBorders>
              <w:top w:val="nil"/>
              <w:left w:val="nil"/>
              <w:bottom w:val="nil"/>
              <w:right w:val="nil"/>
            </w:tcBorders>
            <w:vAlign w:val="center"/>
          </w:tcPr>
          <w:p w14:paraId="58E553EA" w14:textId="77777777" w:rsidR="006247ED" w:rsidRPr="0016620E" w:rsidRDefault="006247ED" w:rsidP="002F5837">
            <w:pPr>
              <w:snapToGrid w:val="0"/>
              <w:spacing w:after="120" w:line="240" w:lineRule="auto"/>
              <w:rPr>
                <w:rFonts w:cs="Arial"/>
              </w:rPr>
            </w:pPr>
            <w:r w:rsidRPr="0016620E">
              <w:rPr>
                <w:rFonts w:cs="Arial"/>
              </w:rPr>
              <w:t>12.73</w:t>
            </w:r>
          </w:p>
        </w:tc>
        <w:tc>
          <w:tcPr>
            <w:tcW w:w="992" w:type="dxa"/>
            <w:tcBorders>
              <w:top w:val="nil"/>
              <w:left w:val="nil"/>
              <w:bottom w:val="nil"/>
              <w:right w:val="nil"/>
            </w:tcBorders>
            <w:vAlign w:val="center"/>
          </w:tcPr>
          <w:p w14:paraId="70D12CAB" w14:textId="77777777" w:rsidR="006247ED" w:rsidRPr="0016620E" w:rsidRDefault="006247ED" w:rsidP="002F5837">
            <w:pPr>
              <w:snapToGrid w:val="0"/>
              <w:spacing w:after="120" w:line="240" w:lineRule="auto"/>
              <w:rPr>
                <w:rFonts w:cs="Arial"/>
              </w:rPr>
            </w:pPr>
            <w:r w:rsidRPr="0016620E">
              <w:rPr>
                <w:rFonts w:cs="Arial"/>
              </w:rPr>
              <w:t>20.33</w:t>
            </w:r>
          </w:p>
        </w:tc>
        <w:tc>
          <w:tcPr>
            <w:tcW w:w="851" w:type="dxa"/>
            <w:tcBorders>
              <w:top w:val="nil"/>
              <w:left w:val="nil"/>
              <w:bottom w:val="nil"/>
              <w:right w:val="nil"/>
            </w:tcBorders>
            <w:vAlign w:val="center"/>
          </w:tcPr>
          <w:p w14:paraId="23AB9535" w14:textId="77777777" w:rsidR="006247ED" w:rsidRPr="0016620E" w:rsidRDefault="006247ED" w:rsidP="002F5837">
            <w:pPr>
              <w:snapToGrid w:val="0"/>
              <w:spacing w:after="120" w:line="240" w:lineRule="auto"/>
              <w:rPr>
                <w:rFonts w:cs="Arial"/>
              </w:rPr>
            </w:pPr>
            <w:r w:rsidRPr="0016620E">
              <w:rPr>
                <w:rFonts w:cs="Arial"/>
              </w:rPr>
              <w:t>25.71</w:t>
            </w:r>
          </w:p>
        </w:tc>
        <w:tc>
          <w:tcPr>
            <w:tcW w:w="992" w:type="dxa"/>
            <w:tcBorders>
              <w:top w:val="nil"/>
              <w:left w:val="nil"/>
              <w:bottom w:val="nil"/>
              <w:right w:val="nil"/>
            </w:tcBorders>
            <w:vAlign w:val="center"/>
          </w:tcPr>
          <w:p w14:paraId="0887DA1D" w14:textId="77777777" w:rsidR="006247ED" w:rsidRPr="0016620E" w:rsidRDefault="006247ED" w:rsidP="002F5837">
            <w:pPr>
              <w:snapToGrid w:val="0"/>
              <w:spacing w:after="120" w:line="240" w:lineRule="auto"/>
              <w:rPr>
                <w:rFonts w:cs="Arial"/>
              </w:rPr>
            </w:pPr>
            <w:r w:rsidRPr="0016620E">
              <w:rPr>
                <w:rFonts w:cs="Arial"/>
              </w:rPr>
              <w:t>19.33</w:t>
            </w:r>
          </w:p>
        </w:tc>
        <w:tc>
          <w:tcPr>
            <w:tcW w:w="851" w:type="dxa"/>
            <w:tcBorders>
              <w:top w:val="nil"/>
              <w:left w:val="nil"/>
              <w:bottom w:val="nil"/>
              <w:right w:val="nil"/>
            </w:tcBorders>
            <w:vAlign w:val="center"/>
          </w:tcPr>
          <w:p w14:paraId="5EC7456D" w14:textId="77777777" w:rsidR="006247ED" w:rsidRPr="0016620E" w:rsidRDefault="006247ED" w:rsidP="002F5837">
            <w:pPr>
              <w:snapToGrid w:val="0"/>
              <w:spacing w:after="120" w:line="240" w:lineRule="auto"/>
              <w:rPr>
                <w:rFonts w:cs="Arial"/>
              </w:rPr>
            </w:pPr>
            <w:r w:rsidRPr="0016620E">
              <w:rPr>
                <w:rFonts w:cs="Arial"/>
              </w:rPr>
              <w:t>21.47</w:t>
            </w:r>
          </w:p>
        </w:tc>
        <w:tc>
          <w:tcPr>
            <w:tcW w:w="992" w:type="dxa"/>
            <w:tcBorders>
              <w:top w:val="nil"/>
              <w:left w:val="nil"/>
              <w:bottom w:val="nil"/>
              <w:right w:val="nil"/>
            </w:tcBorders>
            <w:vAlign w:val="center"/>
          </w:tcPr>
          <w:p w14:paraId="1DBF5DF6" w14:textId="77777777" w:rsidR="006247ED" w:rsidRPr="0016620E" w:rsidRDefault="006247ED" w:rsidP="002F5837">
            <w:pPr>
              <w:snapToGrid w:val="0"/>
              <w:spacing w:after="120" w:line="240" w:lineRule="auto"/>
              <w:rPr>
                <w:rFonts w:cs="Arial"/>
              </w:rPr>
            </w:pPr>
            <w:r w:rsidRPr="0016620E">
              <w:rPr>
                <w:rFonts w:cs="Arial"/>
              </w:rPr>
              <w:t>19.63</w:t>
            </w:r>
          </w:p>
        </w:tc>
        <w:tc>
          <w:tcPr>
            <w:tcW w:w="850" w:type="dxa"/>
            <w:tcBorders>
              <w:top w:val="nil"/>
              <w:left w:val="nil"/>
              <w:bottom w:val="nil"/>
              <w:right w:val="nil"/>
            </w:tcBorders>
            <w:vAlign w:val="center"/>
          </w:tcPr>
          <w:p w14:paraId="51846767" w14:textId="77777777" w:rsidR="006247ED" w:rsidRPr="0016620E" w:rsidRDefault="006247ED" w:rsidP="002F5837">
            <w:pPr>
              <w:snapToGrid w:val="0"/>
              <w:spacing w:after="120" w:line="240" w:lineRule="auto"/>
              <w:rPr>
                <w:rFonts w:cs="Arial"/>
              </w:rPr>
            </w:pPr>
            <w:r w:rsidRPr="0016620E">
              <w:rPr>
                <w:rFonts w:cs="Arial"/>
              </w:rPr>
              <w:t>20.50</w:t>
            </w:r>
          </w:p>
        </w:tc>
        <w:tc>
          <w:tcPr>
            <w:tcW w:w="993" w:type="dxa"/>
            <w:tcBorders>
              <w:top w:val="nil"/>
              <w:left w:val="nil"/>
              <w:bottom w:val="nil"/>
              <w:right w:val="nil"/>
            </w:tcBorders>
            <w:vAlign w:val="center"/>
          </w:tcPr>
          <w:p w14:paraId="5F7FCDBB" w14:textId="77777777" w:rsidR="006247ED" w:rsidRPr="0016620E" w:rsidRDefault="006247ED" w:rsidP="002F5837">
            <w:pPr>
              <w:snapToGrid w:val="0"/>
              <w:spacing w:after="120" w:line="240" w:lineRule="auto"/>
              <w:rPr>
                <w:rFonts w:cs="Arial"/>
              </w:rPr>
            </w:pPr>
            <w:r w:rsidRPr="0016620E">
              <w:rPr>
                <w:rFonts w:cs="Arial"/>
              </w:rPr>
              <w:t>20.21</w:t>
            </w:r>
          </w:p>
        </w:tc>
        <w:tc>
          <w:tcPr>
            <w:tcW w:w="850" w:type="dxa"/>
            <w:tcBorders>
              <w:top w:val="nil"/>
              <w:left w:val="nil"/>
              <w:bottom w:val="nil"/>
              <w:right w:val="nil"/>
            </w:tcBorders>
            <w:vAlign w:val="center"/>
          </w:tcPr>
          <w:p w14:paraId="45046DAD" w14:textId="77777777" w:rsidR="006247ED" w:rsidRPr="0016620E" w:rsidRDefault="006247ED" w:rsidP="002F5837">
            <w:pPr>
              <w:snapToGrid w:val="0"/>
              <w:spacing w:after="120" w:line="240" w:lineRule="auto"/>
              <w:rPr>
                <w:rFonts w:cs="Arial"/>
              </w:rPr>
            </w:pPr>
            <w:r w:rsidRPr="0016620E">
              <w:rPr>
                <w:rFonts w:cs="Arial"/>
              </w:rPr>
              <w:t>16.76</w:t>
            </w:r>
          </w:p>
        </w:tc>
        <w:tc>
          <w:tcPr>
            <w:tcW w:w="858" w:type="dxa"/>
            <w:tcBorders>
              <w:top w:val="nil"/>
              <w:left w:val="nil"/>
              <w:bottom w:val="nil"/>
            </w:tcBorders>
            <w:vAlign w:val="center"/>
          </w:tcPr>
          <w:p w14:paraId="55F07185" w14:textId="77777777" w:rsidR="006247ED" w:rsidRPr="0016620E" w:rsidRDefault="006247ED" w:rsidP="002F5837">
            <w:pPr>
              <w:snapToGrid w:val="0"/>
              <w:spacing w:after="120" w:line="240" w:lineRule="auto"/>
              <w:rPr>
                <w:rFonts w:cs="Arial"/>
              </w:rPr>
            </w:pPr>
            <w:r w:rsidRPr="0016620E">
              <w:rPr>
                <w:rFonts w:cs="Arial"/>
              </w:rPr>
              <w:t>20.38</w:t>
            </w:r>
          </w:p>
        </w:tc>
      </w:tr>
      <w:tr w:rsidR="006247ED" w:rsidRPr="0016620E" w14:paraId="74C79E9C" w14:textId="77777777" w:rsidTr="0083335C">
        <w:tc>
          <w:tcPr>
            <w:tcW w:w="4962" w:type="dxa"/>
            <w:tcBorders>
              <w:top w:val="nil"/>
              <w:bottom w:val="nil"/>
              <w:right w:val="nil"/>
            </w:tcBorders>
            <w:vAlign w:val="center"/>
          </w:tcPr>
          <w:p w14:paraId="1FFB100B" w14:textId="77777777" w:rsidR="006247ED" w:rsidRPr="0016620E" w:rsidRDefault="006247ED" w:rsidP="002F5837">
            <w:pPr>
              <w:snapToGrid w:val="0"/>
              <w:spacing w:after="120" w:line="240" w:lineRule="auto"/>
              <w:rPr>
                <w:rFonts w:cs="Arial"/>
              </w:rPr>
            </w:pPr>
            <w:r w:rsidRPr="0016620E">
              <w:rPr>
                <w:rFonts w:cs="Arial"/>
              </w:rPr>
              <w:t>Law (%)</w:t>
            </w:r>
          </w:p>
        </w:tc>
        <w:tc>
          <w:tcPr>
            <w:tcW w:w="850" w:type="dxa"/>
            <w:tcBorders>
              <w:top w:val="nil"/>
              <w:left w:val="nil"/>
              <w:bottom w:val="nil"/>
              <w:right w:val="nil"/>
            </w:tcBorders>
            <w:vAlign w:val="center"/>
          </w:tcPr>
          <w:p w14:paraId="7DA32A4B" w14:textId="77777777" w:rsidR="006247ED" w:rsidRPr="0016620E" w:rsidRDefault="006247ED" w:rsidP="002F5837">
            <w:pPr>
              <w:snapToGrid w:val="0"/>
              <w:spacing w:after="120" w:line="240" w:lineRule="auto"/>
              <w:rPr>
                <w:rFonts w:cs="Arial"/>
              </w:rPr>
            </w:pPr>
            <w:r w:rsidRPr="0016620E">
              <w:rPr>
                <w:rFonts w:cs="Arial"/>
              </w:rPr>
              <w:t>7.27</w:t>
            </w:r>
          </w:p>
        </w:tc>
        <w:tc>
          <w:tcPr>
            <w:tcW w:w="992" w:type="dxa"/>
            <w:tcBorders>
              <w:top w:val="nil"/>
              <w:left w:val="nil"/>
              <w:bottom w:val="nil"/>
              <w:right w:val="nil"/>
            </w:tcBorders>
            <w:vAlign w:val="center"/>
          </w:tcPr>
          <w:p w14:paraId="779A7734" w14:textId="77777777" w:rsidR="006247ED" w:rsidRPr="0016620E" w:rsidRDefault="006247ED" w:rsidP="002F5837">
            <w:pPr>
              <w:snapToGrid w:val="0"/>
              <w:spacing w:after="120" w:line="240" w:lineRule="auto"/>
              <w:rPr>
                <w:rFonts w:cs="Arial"/>
              </w:rPr>
            </w:pPr>
            <w:r w:rsidRPr="0016620E">
              <w:rPr>
                <w:rFonts w:cs="Arial"/>
              </w:rPr>
              <w:t>4.57</w:t>
            </w:r>
          </w:p>
        </w:tc>
        <w:tc>
          <w:tcPr>
            <w:tcW w:w="851" w:type="dxa"/>
            <w:tcBorders>
              <w:top w:val="nil"/>
              <w:left w:val="nil"/>
              <w:bottom w:val="nil"/>
              <w:right w:val="nil"/>
            </w:tcBorders>
            <w:vAlign w:val="center"/>
          </w:tcPr>
          <w:p w14:paraId="7BDBFEBF" w14:textId="77777777" w:rsidR="006247ED" w:rsidRPr="0016620E" w:rsidRDefault="006247ED" w:rsidP="002F5837">
            <w:pPr>
              <w:snapToGrid w:val="0"/>
              <w:spacing w:after="120" w:line="240" w:lineRule="auto"/>
              <w:rPr>
                <w:rFonts w:cs="Arial"/>
              </w:rPr>
            </w:pPr>
            <w:r w:rsidRPr="0016620E">
              <w:rPr>
                <w:rFonts w:cs="Arial"/>
              </w:rPr>
              <w:t>4.12</w:t>
            </w:r>
          </w:p>
        </w:tc>
        <w:tc>
          <w:tcPr>
            <w:tcW w:w="992" w:type="dxa"/>
            <w:tcBorders>
              <w:top w:val="nil"/>
              <w:left w:val="nil"/>
              <w:bottom w:val="nil"/>
              <w:right w:val="nil"/>
            </w:tcBorders>
            <w:vAlign w:val="center"/>
          </w:tcPr>
          <w:p w14:paraId="41C8E524" w14:textId="77777777" w:rsidR="006247ED" w:rsidRPr="0016620E" w:rsidRDefault="006247ED" w:rsidP="002F5837">
            <w:pPr>
              <w:snapToGrid w:val="0"/>
              <w:spacing w:after="120" w:line="240" w:lineRule="auto"/>
              <w:rPr>
                <w:rFonts w:cs="Arial"/>
              </w:rPr>
            </w:pPr>
            <w:r w:rsidRPr="0016620E">
              <w:rPr>
                <w:rFonts w:cs="Arial"/>
              </w:rPr>
              <w:t>4.68</w:t>
            </w:r>
          </w:p>
        </w:tc>
        <w:tc>
          <w:tcPr>
            <w:tcW w:w="851" w:type="dxa"/>
            <w:tcBorders>
              <w:top w:val="nil"/>
              <w:left w:val="nil"/>
              <w:bottom w:val="nil"/>
              <w:right w:val="nil"/>
            </w:tcBorders>
            <w:vAlign w:val="center"/>
          </w:tcPr>
          <w:p w14:paraId="530B6461" w14:textId="77777777" w:rsidR="006247ED" w:rsidRPr="0016620E" w:rsidRDefault="006247ED" w:rsidP="002F5837">
            <w:pPr>
              <w:snapToGrid w:val="0"/>
              <w:spacing w:after="120" w:line="240" w:lineRule="auto"/>
              <w:rPr>
                <w:rFonts w:cs="Arial"/>
              </w:rPr>
            </w:pPr>
            <w:r w:rsidRPr="0016620E">
              <w:rPr>
                <w:rFonts w:cs="Arial"/>
              </w:rPr>
              <w:t>3.34</w:t>
            </w:r>
          </w:p>
        </w:tc>
        <w:tc>
          <w:tcPr>
            <w:tcW w:w="992" w:type="dxa"/>
            <w:tcBorders>
              <w:top w:val="nil"/>
              <w:left w:val="nil"/>
              <w:bottom w:val="nil"/>
              <w:right w:val="nil"/>
            </w:tcBorders>
            <w:vAlign w:val="center"/>
          </w:tcPr>
          <w:p w14:paraId="7716AFF5" w14:textId="77777777" w:rsidR="006247ED" w:rsidRPr="0016620E" w:rsidRDefault="006247ED" w:rsidP="002F5837">
            <w:pPr>
              <w:snapToGrid w:val="0"/>
              <w:spacing w:after="120" w:line="240" w:lineRule="auto"/>
              <w:rPr>
                <w:rFonts w:cs="Arial"/>
              </w:rPr>
            </w:pPr>
            <w:r w:rsidRPr="0016620E">
              <w:rPr>
                <w:rFonts w:cs="Arial"/>
              </w:rPr>
              <w:t>5.24</w:t>
            </w:r>
          </w:p>
        </w:tc>
        <w:tc>
          <w:tcPr>
            <w:tcW w:w="850" w:type="dxa"/>
            <w:tcBorders>
              <w:top w:val="nil"/>
              <w:left w:val="nil"/>
              <w:bottom w:val="nil"/>
              <w:right w:val="nil"/>
            </w:tcBorders>
            <w:vAlign w:val="center"/>
          </w:tcPr>
          <w:p w14:paraId="3C693839" w14:textId="77777777" w:rsidR="006247ED" w:rsidRPr="0016620E" w:rsidRDefault="006247ED" w:rsidP="002F5837">
            <w:pPr>
              <w:snapToGrid w:val="0"/>
              <w:spacing w:after="120" w:line="240" w:lineRule="auto"/>
              <w:rPr>
                <w:rFonts w:cs="Arial"/>
              </w:rPr>
            </w:pPr>
            <w:r w:rsidRPr="0016620E">
              <w:rPr>
                <w:rFonts w:cs="Arial"/>
              </w:rPr>
              <w:t>4.14</w:t>
            </w:r>
          </w:p>
        </w:tc>
        <w:tc>
          <w:tcPr>
            <w:tcW w:w="993" w:type="dxa"/>
            <w:tcBorders>
              <w:top w:val="nil"/>
              <w:left w:val="nil"/>
              <w:bottom w:val="nil"/>
              <w:right w:val="nil"/>
            </w:tcBorders>
            <w:vAlign w:val="center"/>
          </w:tcPr>
          <w:p w14:paraId="2B9EC40A" w14:textId="77777777" w:rsidR="006247ED" w:rsidRPr="0016620E" w:rsidRDefault="006247ED" w:rsidP="002F5837">
            <w:pPr>
              <w:snapToGrid w:val="0"/>
              <w:spacing w:after="120" w:line="240" w:lineRule="auto"/>
              <w:rPr>
                <w:rFonts w:cs="Arial"/>
              </w:rPr>
            </w:pPr>
            <w:r w:rsidRPr="0016620E">
              <w:rPr>
                <w:rFonts w:cs="Arial"/>
              </w:rPr>
              <w:t>4.66</w:t>
            </w:r>
          </w:p>
        </w:tc>
        <w:tc>
          <w:tcPr>
            <w:tcW w:w="850" w:type="dxa"/>
            <w:tcBorders>
              <w:top w:val="nil"/>
              <w:left w:val="nil"/>
              <w:bottom w:val="nil"/>
              <w:right w:val="nil"/>
            </w:tcBorders>
            <w:vAlign w:val="center"/>
          </w:tcPr>
          <w:p w14:paraId="04D38B9A" w14:textId="77777777" w:rsidR="006247ED" w:rsidRPr="0016620E" w:rsidRDefault="006247ED" w:rsidP="002F5837">
            <w:pPr>
              <w:snapToGrid w:val="0"/>
              <w:spacing w:after="120" w:line="240" w:lineRule="auto"/>
              <w:rPr>
                <w:rFonts w:cs="Arial"/>
              </w:rPr>
            </w:pPr>
            <w:r w:rsidRPr="0016620E">
              <w:rPr>
                <w:rFonts w:cs="Arial"/>
              </w:rPr>
              <w:t>6.15</w:t>
            </w:r>
          </w:p>
        </w:tc>
        <w:tc>
          <w:tcPr>
            <w:tcW w:w="858" w:type="dxa"/>
            <w:tcBorders>
              <w:top w:val="nil"/>
              <w:left w:val="nil"/>
              <w:bottom w:val="nil"/>
            </w:tcBorders>
            <w:vAlign w:val="center"/>
          </w:tcPr>
          <w:p w14:paraId="429F4FDD" w14:textId="77777777" w:rsidR="006247ED" w:rsidRPr="0016620E" w:rsidRDefault="006247ED" w:rsidP="002F5837">
            <w:pPr>
              <w:snapToGrid w:val="0"/>
              <w:spacing w:after="120" w:line="240" w:lineRule="auto"/>
              <w:rPr>
                <w:rFonts w:cs="Arial"/>
              </w:rPr>
            </w:pPr>
            <w:r w:rsidRPr="0016620E">
              <w:rPr>
                <w:rFonts w:cs="Arial"/>
              </w:rPr>
              <w:t>4.54</w:t>
            </w:r>
          </w:p>
        </w:tc>
      </w:tr>
      <w:tr w:rsidR="006247ED" w:rsidRPr="0016620E" w14:paraId="4223F23F" w14:textId="77777777" w:rsidTr="0083335C">
        <w:tc>
          <w:tcPr>
            <w:tcW w:w="4962" w:type="dxa"/>
            <w:tcBorders>
              <w:top w:val="nil"/>
              <w:bottom w:val="nil"/>
              <w:right w:val="nil"/>
            </w:tcBorders>
            <w:vAlign w:val="center"/>
          </w:tcPr>
          <w:p w14:paraId="291CB1E5" w14:textId="77777777" w:rsidR="006247ED" w:rsidRPr="0016620E" w:rsidRDefault="006247ED" w:rsidP="002F5837">
            <w:pPr>
              <w:snapToGrid w:val="0"/>
              <w:spacing w:after="120" w:line="240" w:lineRule="auto"/>
              <w:rPr>
                <w:rFonts w:cs="Arial"/>
              </w:rPr>
            </w:pPr>
            <w:r w:rsidRPr="0016620E">
              <w:rPr>
                <w:rFonts w:cs="Arial"/>
              </w:rPr>
              <w:t>Society and culture (%)</w:t>
            </w:r>
          </w:p>
        </w:tc>
        <w:tc>
          <w:tcPr>
            <w:tcW w:w="850" w:type="dxa"/>
            <w:tcBorders>
              <w:top w:val="nil"/>
              <w:left w:val="nil"/>
              <w:bottom w:val="nil"/>
              <w:right w:val="nil"/>
            </w:tcBorders>
            <w:vAlign w:val="center"/>
          </w:tcPr>
          <w:p w14:paraId="4CE17555" w14:textId="77777777" w:rsidR="006247ED" w:rsidRPr="0016620E" w:rsidRDefault="006247ED" w:rsidP="002F5837">
            <w:pPr>
              <w:snapToGrid w:val="0"/>
              <w:spacing w:after="120" w:line="240" w:lineRule="auto"/>
              <w:rPr>
                <w:rFonts w:cs="Arial"/>
              </w:rPr>
            </w:pPr>
            <w:r w:rsidRPr="0016620E">
              <w:rPr>
                <w:rFonts w:cs="Arial"/>
              </w:rPr>
              <w:t>16.36</w:t>
            </w:r>
          </w:p>
        </w:tc>
        <w:tc>
          <w:tcPr>
            <w:tcW w:w="992" w:type="dxa"/>
            <w:tcBorders>
              <w:top w:val="nil"/>
              <w:left w:val="nil"/>
              <w:bottom w:val="nil"/>
              <w:right w:val="nil"/>
            </w:tcBorders>
            <w:vAlign w:val="center"/>
          </w:tcPr>
          <w:p w14:paraId="005F213D" w14:textId="77777777" w:rsidR="006247ED" w:rsidRPr="0016620E" w:rsidRDefault="006247ED" w:rsidP="002F5837">
            <w:pPr>
              <w:snapToGrid w:val="0"/>
              <w:spacing w:after="120" w:line="240" w:lineRule="auto"/>
              <w:rPr>
                <w:rFonts w:cs="Arial"/>
              </w:rPr>
            </w:pPr>
            <w:r w:rsidRPr="0016620E">
              <w:rPr>
                <w:rFonts w:cs="Arial"/>
              </w:rPr>
              <w:t>13.51</w:t>
            </w:r>
          </w:p>
        </w:tc>
        <w:tc>
          <w:tcPr>
            <w:tcW w:w="851" w:type="dxa"/>
            <w:tcBorders>
              <w:top w:val="nil"/>
              <w:left w:val="nil"/>
              <w:bottom w:val="nil"/>
              <w:right w:val="nil"/>
            </w:tcBorders>
            <w:vAlign w:val="center"/>
          </w:tcPr>
          <w:p w14:paraId="5C8ACF17" w14:textId="77777777" w:rsidR="006247ED" w:rsidRPr="0016620E" w:rsidRDefault="006247ED" w:rsidP="002F5837">
            <w:pPr>
              <w:snapToGrid w:val="0"/>
              <w:spacing w:after="120" w:line="240" w:lineRule="auto"/>
              <w:rPr>
                <w:rFonts w:cs="Arial"/>
              </w:rPr>
            </w:pPr>
            <w:r w:rsidRPr="0016620E">
              <w:rPr>
                <w:rFonts w:cs="Arial"/>
              </w:rPr>
              <w:t>11.08</w:t>
            </w:r>
          </w:p>
        </w:tc>
        <w:tc>
          <w:tcPr>
            <w:tcW w:w="992" w:type="dxa"/>
            <w:tcBorders>
              <w:top w:val="nil"/>
              <w:left w:val="nil"/>
              <w:bottom w:val="nil"/>
              <w:right w:val="nil"/>
            </w:tcBorders>
            <w:vAlign w:val="center"/>
          </w:tcPr>
          <w:p w14:paraId="54378C75" w14:textId="77777777" w:rsidR="006247ED" w:rsidRPr="0016620E" w:rsidRDefault="006247ED" w:rsidP="002F5837">
            <w:pPr>
              <w:snapToGrid w:val="0"/>
              <w:spacing w:after="120" w:line="240" w:lineRule="auto"/>
              <w:rPr>
                <w:rFonts w:cs="Arial"/>
              </w:rPr>
            </w:pPr>
            <w:r w:rsidRPr="0016620E">
              <w:rPr>
                <w:rFonts w:cs="Arial"/>
              </w:rPr>
              <w:t>13.96</w:t>
            </w:r>
          </w:p>
        </w:tc>
        <w:tc>
          <w:tcPr>
            <w:tcW w:w="851" w:type="dxa"/>
            <w:tcBorders>
              <w:top w:val="nil"/>
              <w:left w:val="nil"/>
              <w:bottom w:val="nil"/>
              <w:right w:val="nil"/>
            </w:tcBorders>
            <w:vAlign w:val="center"/>
          </w:tcPr>
          <w:p w14:paraId="72144A54" w14:textId="77777777" w:rsidR="006247ED" w:rsidRPr="0016620E" w:rsidRDefault="006247ED" w:rsidP="002F5837">
            <w:pPr>
              <w:snapToGrid w:val="0"/>
              <w:spacing w:after="120" w:line="240" w:lineRule="auto"/>
              <w:rPr>
                <w:rFonts w:cs="Arial"/>
              </w:rPr>
            </w:pPr>
            <w:r w:rsidRPr="0016620E">
              <w:rPr>
                <w:rFonts w:cs="Arial"/>
              </w:rPr>
              <w:t>13.16</w:t>
            </w:r>
          </w:p>
        </w:tc>
        <w:tc>
          <w:tcPr>
            <w:tcW w:w="992" w:type="dxa"/>
            <w:tcBorders>
              <w:top w:val="nil"/>
              <w:left w:val="nil"/>
              <w:bottom w:val="nil"/>
              <w:right w:val="nil"/>
            </w:tcBorders>
            <w:vAlign w:val="center"/>
          </w:tcPr>
          <w:p w14:paraId="0F7472F4" w14:textId="77777777" w:rsidR="006247ED" w:rsidRPr="0016620E" w:rsidRDefault="006247ED" w:rsidP="002F5837">
            <w:pPr>
              <w:snapToGrid w:val="0"/>
              <w:spacing w:after="120" w:line="240" w:lineRule="auto"/>
              <w:rPr>
                <w:rFonts w:cs="Arial"/>
              </w:rPr>
            </w:pPr>
            <w:r w:rsidRPr="0016620E">
              <w:rPr>
                <w:rFonts w:cs="Arial"/>
              </w:rPr>
              <w:t>13.74</w:t>
            </w:r>
          </w:p>
        </w:tc>
        <w:tc>
          <w:tcPr>
            <w:tcW w:w="850" w:type="dxa"/>
            <w:tcBorders>
              <w:top w:val="nil"/>
              <w:left w:val="nil"/>
              <w:bottom w:val="nil"/>
              <w:right w:val="nil"/>
            </w:tcBorders>
            <w:vAlign w:val="center"/>
          </w:tcPr>
          <w:p w14:paraId="016AA6A1" w14:textId="77777777" w:rsidR="006247ED" w:rsidRPr="0016620E" w:rsidRDefault="006247ED" w:rsidP="002F5837">
            <w:pPr>
              <w:snapToGrid w:val="0"/>
              <w:spacing w:after="120" w:line="240" w:lineRule="auto"/>
              <w:rPr>
                <w:rFonts w:cs="Arial"/>
              </w:rPr>
            </w:pPr>
            <w:r w:rsidRPr="0016620E">
              <w:rPr>
                <w:rFonts w:cs="Arial"/>
              </w:rPr>
              <w:t>14.75</w:t>
            </w:r>
          </w:p>
        </w:tc>
        <w:tc>
          <w:tcPr>
            <w:tcW w:w="993" w:type="dxa"/>
            <w:tcBorders>
              <w:top w:val="nil"/>
              <w:left w:val="nil"/>
              <w:bottom w:val="nil"/>
              <w:right w:val="nil"/>
            </w:tcBorders>
            <w:vAlign w:val="center"/>
          </w:tcPr>
          <w:p w14:paraId="73871380" w14:textId="77777777" w:rsidR="006247ED" w:rsidRPr="0016620E" w:rsidRDefault="006247ED" w:rsidP="002F5837">
            <w:pPr>
              <w:snapToGrid w:val="0"/>
              <w:spacing w:after="120" w:line="240" w:lineRule="auto"/>
              <w:rPr>
                <w:rFonts w:cs="Arial"/>
              </w:rPr>
            </w:pPr>
            <w:r w:rsidRPr="0016620E">
              <w:rPr>
                <w:rFonts w:cs="Arial"/>
              </w:rPr>
              <w:t>13.39</w:t>
            </w:r>
          </w:p>
        </w:tc>
        <w:tc>
          <w:tcPr>
            <w:tcW w:w="850" w:type="dxa"/>
            <w:tcBorders>
              <w:top w:val="nil"/>
              <w:left w:val="nil"/>
              <w:bottom w:val="nil"/>
              <w:right w:val="nil"/>
            </w:tcBorders>
            <w:vAlign w:val="center"/>
          </w:tcPr>
          <w:p w14:paraId="20040B5E" w14:textId="77777777" w:rsidR="006247ED" w:rsidRPr="0016620E" w:rsidRDefault="006247ED" w:rsidP="002F5837">
            <w:pPr>
              <w:snapToGrid w:val="0"/>
              <w:spacing w:after="120" w:line="240" w:lineRule="auto"/>
              <w:rPr>
                <w:rFonts w:cs="Arial"/>
              </w:rPr>
            </w:pPr>
            <w:r w:rsidRPr="0016620E">
              <w:rPr>
                <w:rFonts w:cs="Arial"/>
              </w:rPr>
              <w:t>15.64</w:t>
            </w:r>
          </w:p>
        </w:tc>
        <w:tc>
          <w:tcPr>
            <w:tcW w:w="858" w:type="dxa"/>
            <w:tcBorders>
              <w:top w:val="nil"/>
              <w:left w:val="nil"/>
              <w:bottom w:val="nil"/>
            </w:tcBorders>
            <w:vAlign w:val="center"/>
          </w:tcPr>
          <w:p w14:paraId="5634C986" w14:textId="77777777" w:rsidR="006247ED" w:rsidRPr="0016620E" w:rsidRDefault="006247ED" w:rsidP="002F5837">
            <w:pPr>
              <w:snapToGrid w:val="0"/>
              <w:spacing w:after="120" w:line="240" w:lineRule="auto"/>
              <w:rPr>
                <w:rFonts w:cs="Arial"/>
              </w:rPr>
            </w:pPr>
            <w:r w:rsidRPr="0016620E">
              <w:rPr>
                <w:rFonts w:cs="Arial"/>
              </w:rPr>
              <w:t>13.46</w:t>
            </w:r>
          </w:p>
        </w:tc>
      </w:tr>
      <w:tr w:rsidR="006247ED" w:rsidRPr="0016620E" w14:paraId="1C8C1509" w14:textId="77777777" w:rsidTr="0083335C">
        <w:tc>
          <w:tcPr>
            <w:tcW w:w="4962" w:type="dxa"/>
            <w:tcBorders>
              <w:top w:val="nil"/>
              <w:bottom w:val="nil"/>
              <w:right w:val="nil"/>
            </w:tcBorders>
            <w:vAlign w:val="center"/>
          </w:tcPr>
          <w:p w14:paraId="7811292F" w14:textId="77777777" w:rsidR="006247ED" w:rsidRPr="0016620E" w:rsidRDefault="006247ED" w:rsidP="002F5837">
            <w:pPr>
              <w:snapToGrid w:val="0"/>
              <w:spacing w:after="120" w:line="240" w:lineRule="auto"/>
              <w:rPr>
                <w:rFonts w:cs="Arial"/>
              </w:rPr>
            </w:pPr>
            <w:r w:rsidRPr="0016620E">
              <w:rPr>
                <w:rFonts w:cs="Arial"/>
              </w:rPr>
              <w:t>Creative arts (%)</w:t>
            </w:r>
          </w:p>
        </w:tc>
        <w:tc>
          <w:tcPr>
            <w:tcW w:w="850" w:type="dxa"/>
            <w:tcBorders>
              <w:top w:val="nil"/>
              <w:left w:val="nil"/>
              <w:bottom w:val="nil"/>
              <w:right w:val="nil"/>
            </w:tcBorders>
            <w:vAlign w:val="center"/>
          </w:tcPr>
          <w:p w14:paraId="4565E929" w14:textId="77777777" w:rsidR="006247ED" w:rsidRPr="0016620E" w:rsidRDefault="006247ED" w:rsidP="002F5837">
            <w:pPr>
              <w:snapToGrid w:val="0"/>
              <w:spacing w:after="120" w:line="240" w:lineRule="auto"/>
              <w:rPr>
                <w:rFonts w:cs="Arial"/>
              </w:rPr>
            </w:pPr>
            <w:r w:rsidRPr="0016620E">
              <w:rPr>
                <w:rFonts w:cs="Arial"/>
              </w:rPr>
              <w:t>7.27</w:t>
            </w:r>
          </w:p>
        </w:tc>
        <w:tc>
          <w:tcPr>
            <w:tcW w:w="992" w:type="dxa"/>
            <w:tcBorders>
              <w:top w:val="nil"/>
              <w:left w:val="nil"/>
              <w:bottom w:val="nil"/>
              <w:right w:val="nil"/>
            </w:tcBorders>
            <w:vAlign w:val="center"/>
          </w:tcPr>
          <w:p w14:paraId="71AE91C0" w14:textId="77777777" w:rsidR="006247ED" w:rsidRPr="0016620E" w:rsidRDefault="006247ED" w:rsidP="002F5837">
            <w:pPr>
              <w:snapToGrid w:val="0"/>
              <w:spacing w:after="120" w:line="240" w:lineRule="auto"/>
              <w:rPr>
                <w:rFonts w:cs="Arial"/>
              </w:rPr>
            </w:pPr>
            <w:r w:rsidRPr="0016620E">
              <w:rPr>
                <w:rFonts w:cs="Arial"/>
              </w:rPr>
              <w:t>5.15</w:t>
            </w:r>
          </w:p>
        </w:tc>
        <w:tc>
          <w:tcPr>
            <w:tcW w:w="851" w:type="dxa"/>
            <w:tcBorders>
              <w:top w:val="nil"/>
              <w:left w:val="nil"/>
              <w:bottom w:val="nil"/>
              <w:right w:val="nil"/>
            </w:tcBorders>
            <w:vAlign w:val="center"/>
          </w:tcPr>
          <w:p w14:paraId="511A5402" w14:textId="77777777" w:rsidR="006247ED" w:rsidRPr="0016620E" w:rsidRDefault="006247ED" w:rsidP="002F5837">
            <w:pPr>
              <w:snapToGrid w:val="0"/>
              <w:spacing w:after="120" w:line="240" w:lineRule="auto"/>
              <w:rPr>
                <w:rFonts w:cs="Arial"/>
              </w:rPr>
            </w:pPr>
            <w:r w:rsidRPr="0016620E">
              <w:rPr>
                <w:rFonts w:cs="Arial"/>
              </w:rPr>
              <w:t>2.56</w:t>
            </w:r>
          </w:p>
        </w:tc>
        <w:tc>
          <w:tcPr>
            <w:tcW w:w="992" w:type="dxa"/>
            <w:tcBorders>
              <w:top w:val="nil"/>
              <w:left w:val="nil"/>
              <w:bottom w:val="nil"/>
              <w:right w:val="nil"/>
            </w:tcBorders>
            <w:vAlign w:val="center"/>
          </w:tcPr>
          <w:p w14:paraId="7A15A1DF" w14:textId="77777777" w:rsidR="006247ED" w:rsidRPr="0016620E" w:rsidRDefault="006247ED" w:rsidP="002F5837">
            <w:pPr>
              <w:snapToGrid w:val="0"/>
              <w:spacing w:after="120" w:line="240" w:lineRule="auto"/>
              <w:rPr>
                <w:rFonts w:cs="Arial"/>
              </w:rPr>
            </w:pPr>
            <w:r w:rsidRPr="0016620E">
              <w:rPr>
                <w:rFonts w:cs="Arial"/>
              </w:rPr>
              <w:t>5.61</w:t>
            </w:r>
          </w:p>
        </w:tc>
        <w:tc>
          <w:tcPr>
            <w:tcW w:w="851" w:type="dxa"/>
            <w:tcBorders>
              <w:top w:val="nil"/>
              <w:left w:val="nil"/>
              <w:bottom w:val="nil"/>
              <w:right w:val="nil"/>
            </w:tcBorders>
            <w:vAlign w:val="center"/>
          </w:tcPr>
          <w:p w14:paraId="2AEFDD5A" w14:textId="77777777" w:rsidR="006247ED" w:rsidRPr="0016620E" w:rsidRDefault="006247ED" w:rsidP="002F5837">
            <w:pPr>
              <w:snapToGrid w:val="0"/>
              <w:spacing w:after="120" w:line="240" w:lineRule="auto"/>
              <w:rPr>
                <w:rFonts w:cs="Arial"/>
              </w:rPr>
            </w:pPr>
            <w:r w:rsidRPr="0016620E">
              <w:rPr>
                <w:rFonts w:cs="Arial"/>
              </w:rPr>
              <w:t>5.52</w:t>
            </w:r>
          </w:p>
        </w:tc>
        <w:tc>
          <w:tcPr>
            <w:tcW w:w="992" w:type="dxa"/>
            <w:tcBorders>
              <w:top w:val="nil"/>
              <w:left w:val="nil"/>
              <w:bottom w:val="nil"/>
              <w:right w:val="nil"/>
            </w:tcBorders>
            <w:vAlign w:val="center"/>
          </w:tcPr>
          <w:p w14:paraId="4F0B8A8E" w14:textId="77777777" w:rsidR="006247ED" w:rsidRPr="0016620E" w:rsidRDefault="006247ED" w:rsidP="002F5837">
            <w:pPr>
              <w:snapToGrid w:val="0"/>
              <w:spacing w:after="120" w:line="240" w:lineRule="auto"/>
              <w:rPr>
                <w:rFonts w:cs="Arial"/>
              </w:rPr>
            </w:pPr>
            <w:r w:rsidRPr="0016620E">
              <w:rPr>
                <w:rFonts w:cs="Arial"/>
              </w:rPr>
              <w:t>5.00</w:t>
            </w:r>
          </w:p>
        </w:tc>
        <w:tc>
          <w:tcPr>
            <w:tcW w:w="850" w:type="dxa"/>
            <w:tcBorders>
              <w:top w:val="nil"/>
              <w:left w:val="nil"/>
              <w:bottom w:val="nil"/>
              <w:right w:val="nil"/>
            </w:tcBorders>
            <w:vAlign w:val="center"/>
          </w:tcPr>
          <w:p w14:paraId="08CF40A8" w14:textId="77777777" w:rsidR="006247ED" w:rsidRPr="0016620E" w:rsidRDefault="006247ED" w:rsidP="002F5837">
            <w:pPr>
              <w:snapToGrid w:val="0"/>
              <w:spacing w:after="120" w:line="240" w:lineRule="auto"/>
              <w:rPr>
                <w:rFonts w:cs="Arial"/>
              </w:rPr>
            </w:pPr>
            <w:r w:rsidRPr="0016620E">
              <w:rPr>
                <w:rFonts w:cs="Arial"/>
              </w:rPr>
              <w:t>5.22</w:t>
            </w:r>
          </w:p>
        </w:tc>
        <w:tc>
          <w:tcPr>
            <w:tcW w:w="993" w:type="dxa"/>
            <w:tcBorders>
              <w:top w:val="nil"/>
              <w:left w:val="nil"/>
              <w:bottom w:val="nil"/>
              <w:right w:val="nil"/>
            </w:tcBorders>
            <w:vAlign w:val="center"/>
          </w:tcPr>
          <w:p w14:paraId="11F0230F" w14:textId="77777777" w:rsidR="006247ED" w:rsidRPr="0016620E" w:rsidRDefault="006247ED" w:rsidP="002F5837">
            <w:pPr>
              <w:snapToGrid w:val="0"/>
              <w:spacing w:after="120" w:line="240" w:lineRule="auto"/>
              <w:rPr>
                <w:rFonts w:cs="Arial"/>
              </w:rPr>
            </w:pPr>
            <w:r w:rsidRPr="0016620E">
              <w:rPr>
                <w:rFonts w:cs="Arial"/>
              </w:rPr>
              <w:t>5.17</w:t>
            </w:r>
          </w:p>
        </w:tc>
        <w:tc>
          <w:tcPr>
            <w:tcW w:w="850" w:type="dxa"/>
            <w:tcBorders>
              <w:top w:val="nil"/>
              <w:left w:val="nil"/>
              <w:bottom w:val="nil"/>
              <w:right w:val="nil"/>
            </w:tcBorders>
            <w:vAlign w:val="center"/>
          </w:tcPr>
          <w:p w14:paraId="447DA880" w14:textId="77777777" w:rsidR="006247ED" w:rsidRPr="0016620E" w:rsidRDefault="006247ED" w:rsidP="002F5837">
            <w:pPr>
              <w:snapToGrid w:val="0"/>
              <w:spacing w:after="120" w:line="240" w:lineRule="auto"/>
              <w:rPr>
                <w:rFonts w:cs="Arial"/>
              </w:rPr>
            </w:pPr>
            <w:r w:rsidRPr="0016620E">
              <w:rPr>
                <w:rFonts w:cs="Arial"/>
              </w:rPr>
              <w:t>7.82</w:t>
            </w:r>
          </w:p>
        </w:tc>
        <w:tc>
          <w:tcPr>
            <w:tcW w:w="858" w:type="dxa"/>
            <w:tcBorders>
              <w:top w:val="nil"/>
              <w:left w:val="nil"/>
              <w:bottom w:val="nil"/>
            </w:tcBorders>
            <w:vAlign w:val="center"/>
          </w:tcPr>
          <w:p w14:paraId="23B61D3B" w14:textId="77777777" w:rsidR="006247ED" w:rsidRPr="0016620E" w:rsidRDefault="006247ED" w:rsidP="002F5837">
            <w:pPr>
              <w:snapToGrid w:val="0"/>
              <w:spacing w:after="120" w:line="240" w:lineRule="auto"/>
              <w:rPr>
                <w:rFonts w:cs="Arial"/>
              </w:rPr>
            </w:pPr>
            <w:r w:rsidRPr="0016620E">
              <w:rPr>
                <w:rFonts w:cs="Arial"/>
              </w:rPr>
              <w:t>5.07</w:t>
            </w:r>
          </w:p>
        </w:tc>
      </w:tr>
      <w:tr w:rsidR="006247ED" w:rsidRPr="0016620E" w14:paraId="186DA63D" w14:textId="77777777" w:rsidTr="0083335C">
        <w:trPr>
          <w:trHeight w:val="64"/>
        </w:trPr>
        <w:tc>
          <w:tcPr>
            <w:tcW w:w="4962" w:type="dxa"/>
            <w:tcBorders>
              <w:top w:val="nil"/>
              <w:bottom w:val="single" w:sz="4" w:space="0" w:color="auto"/>
              <w:right w:val="nil"/>
            </w:tcBorders>
            <w:vAlign w:val="center"/>
          </w:tcPr>
          <w:p w14:paraId="450FC160" w14:textId="77777777" w:rsidR="006247ED" w:rsidRPr="0016620E" w:rsidRDefault="006247ED" w:rsidP="002F5837">
            <w:pPr>
              <w:snapToGrid w:val="0"/>
              <w:spacing w:after="120" w:line="240" w:lineRule="auto"/>
              <w:rPr>
                <w:rFonts w:cs="Arial"/>
              </w:rPr>
            </w:pPr>
            <w:r w:rsidRPr="0016620E">
              <w:rPr>
                <w:rFonts w:cs="Arial"/>
              </w:rPr>
              <w:t>Food, hospitality, and personal services (%)</w:t>
            </w:r>
          </w:p>
        </w:tc>
        <w:tc>
          <w:tcPr>
            <w:tcW w:w="850" w:type="dxa"/>
            <w:tcBorders>
              <w:top w:val="nil"/>
              <w:left w:val="nil"/>
              <w:bottom w:val="single" w:sz="4" w:space="0" w:color="auto"/>
              <w:right w:val="nil"/>
            </w:tcBorders>
            <w:vAlign w:val="center"/>
          </w:tcPr>
          <w:p w14:paraId="087A682E" w14:textId="77777777" w:rsidR="006247ED" w:rsidRPr="0016620E" w:rsidRDefault="006247ED" w:rsidP="002F5837">
            <w:pPr>
              <w:snapToGrid w:val="0"/>
              <w:spacing w:after="120" w:line="240" w:lineRule="auto"/>
              <w:rPr>
                <w:rFonts w:cs="Arial"/>
              </w:rPr>
            </w:pPr>
            <w:r w:rsidRPr="0016620E">
              <w:rPr>
                <w:rFonts w:cs="Arial"/>
              </w:rPr>
              <w:t>0.00</w:t>
            </w:r>
          </w:p>
        </w:tc>
        <w:tc>
          <w:tcPr>
            <w:tcW w:w="992" w:type="dxa"/>
            <w:tcBorders>
              <w:top w:val="nil"/>
              <w:left w:val="nil"/>
              <w:bottom w:val="single" w:sz="4" w:space="0" w:color="auto"/>
              <w:right w:val="nil"/>
            </w:tcBorders>
            <w:vAlign w:val="center"/>
          </w:tcPr>
          <w:p w14:paraId="5AFB5A31" w14:textId="77777777" w:rsidR="006247ED" w:rsidRPr="0016620E" w:rsidRDefault="006247ED" w:rsidP="002F5837">
            <w:pPr>
              <w:snapToGrid w:val="0"/>
              <w:spacing w:after="120" w:line="240" w:lineRule="auto"/>
              <w:rPr>
                <w:rFonts w:cs="Arial"/>
              </w:rPr>
            </w:pPr>
            <w:r w:rsidRPr="0016620E">
              <w:rPr>
                <w:rFonts w:cs="Arial"/>
              </w:rPr>
              <w:t>0.68</w:t>
            </w:r>
          </w:p>
        </w:tc>
        <w:tc>
          <w:tcPr>
            <w:tcW w:w="851" w:type="dxa"/>
            <w:tcBorders>
              <w:top w:val="nil"/>
              <w:left w:val="nil"/>
              <w:bottom w:val="single" w:sz="4" w:space="0" w:color="auto"/>
              <w:right w:val="nil"/>
            </w:tcBorders>
            <w:vAlign w:val="center"/>
          </w:tcPr>
          <w:p w14:paraId="77BFED74" w14:textId="77777777" w:rsidR="006247ED" w:rsidRPr="0016620E" w:rsidRDefault="006247ED" w:rsidP="002F5837">
            <w:pPr>
              <w:snapToGrid w:val="0"/>
              <w:spacing w:after="120" w:line="240" w:lineRule="auto"/>
              <w:rPr>
                <w:rFonts w:cs="Arial"/>
              </w:rPr>
            </w:pPr>
            <w:r w:rsidRPr="0016620E">
              <w:rPr>
                <w:rFonts w:cs="Arial"/>
              </w:rPr>
              <w:t>1.85</w:t>
            </w:r>
          </w:p>
        </w:tc>
        <w:tc>
          <w:tcPr>
            <w:tcW w:w="992" w:type="dxa"/>
            <w:tcBorders>
              <w:top w:val="nil"/>
              <w:left w:val="nil"/>
              <w:bottom w:val="single" w:sz="4" w:space="0" w:color="auto"/>
              <w:right w:val="nil"/>
            </w:tcBorders>
            <w:vAlign w:val="center"/>
          </w:tcPr>
          <w:p w14:paraId="19056B50" w14:textId="77777777" w:rsidR="006247ED" w:rsidRPr="0016620E" w:rsidRDefault="006247ED" w:rsidP="002F5837">
            <w:pPr>
              <w:snapToGrid w:val="0"/>
              <w:spacing w:after="120" w:line="240" w:lineRule="auto"/>
              <w:rPr>
                <w:rFonts w:cs="Arial"/>
              </w:rPr>
            </w:pPr>
            <w:r w:rsidRPr="0016620E">
              <w:rPr>
                <w:rFonts w:cs="Arial"/>
              </w:rPr>
              <w:t>0.48</w:t>
            </w:r>
          </w:p>
        </w:tc>
        <w:tc>
          <w:tcPr>
            <w:tcW w:w="851" w:type="dxa"/>
            <w:tcBorders>
              <w:top w:val="nil"/>
              <w:left w:val="nil"/>
              <w:bottom w:val="single" w:sz="4" w:space="0" w:color="auto"/>
              <w:right w:val="nil"/>
            </w:tcBorders>
            <w:vAlign w:val="center"/>
          </w:tcPr>
          <w:p w14:paraId="7FF28C63" w14:textId="77777777" w:rsidR="006247ED" w:rsidRPr="0016620E" w:rsidRDefault="006247ED" w:rsidP="002F5837">
            <w:pPr>
              <w:snapToGrid w:val="0"/>
              <w:spacing w:after="120" w:line="240" w:lineRule="auto"/>
              <w:rPr>
                <w:rFonts w:cs="Arial"/>
              </w:rPr>
            </w:pPr>
            <w:r w:rsidRPr="0016620E">
              <w:rPr>
                <w:rFonts w:cs="Arial"/>
              </w:rPr>
              <w:t>0.73</w:t>
            </w:r>
          </w:p>
        </w:tc>
        <w:tc>
          <w:tcPr>
            <w:tcW w:w="992" w:type="dxa"/>
            <w:tcBorders>
              <w:top w:val="nil"/>
              <w:left w:val="nil"/>
              <w:bottom w:val="single" w:sz="4" w:space="0" w:color="auto"/>
              <w:right w:val="nil"/>
            </w:tcBorders>
            <w:vAlign w:val="center"/>
          </w:tcPr>
          <w:p w14:paraId="1700B83D" w14:textId="77777777" w:rsidR="006247ED" w:rsidRPr="0016620E" w:rsidRDefault="006247ED" w:rsidP="002F5837">
            <w:pPr>
              <w:snapToGrid w:val="0"/>
              <w:spacing w:after="120" w:line="240" w:lineRule="auto"/>
              <w:rPr>
                <w:rFonts w:cs="Arial"/>
              </w:rPr>
            </w:pPr>
            <w:r w:rsidRPr="0016620E">
              <w:rPr>
                <w:rFonts w:cs="Arial"/>
              </w:rPr>
              <w:t>0.64</w:t>
            </w:r>
          </w:p>
        </w:tc>
        <w:tc>
          <w:tcPr>
            <w:tcW w:w="850" w:type="dxa"/>
            <w:tcBorders>
              <w:top w:val="nil"/>
              <w:left w:val="nil"/>
              <w:bottom w:val="single" w:sz="4" w:space="0" w:color="auto"/>
              <w:right w:val="nil"/>
            </w:tcBorders>
            <w:vAlign w:val="center"/>
          </w:tcPr>
          <w:p w14:paraId="11A8C2D2" w14:textId="77777777" w:rsidR="006247ED" w:rsidRPr="0016620E" w:rsidRDefault="006247ED" w:rsidP="002F5837">
            <w:pPr>
              <w:snapToGrid w:val="0"/>
              <w:spacing w:after="120" w:line="240" w:lineRule="auto"/>
              <w:rPr>
                <w:rFonts w:cs="Arial"/>
              </w:rPr>
            </w:pPr>
            <w:r w:rsidRPr="0016620E">
              <w:rPr>
                <w:rFonts w:cs="Arial"/>
              </w:rPr>
              <w:t>1.08</w:t>
            </w:r>
          </w:p>
        </w:tc>
        <w:tc>
          <w:tcPr>
            <w:tcW w:w="993" w:type="dxa"/>
            <w:tcBorders>
              <w:top w:val="nil"/>
              <w:left w:val="nil"/>
              <w:bottom w:val="single" w:sz="4" w:space="0" w:color="auto"/>
              <w:right w:val="nil"/>
            </w:tcBorders>
            <w:vAlign w:val="center"/>
          </w:tcPr>
          <w:p w14:paraId="1246B0C8" w14:textId="77777777" w:rsidR="006247ED" w:rsidRPr="0016620E" w:rsidRDefault="006247ED" w:rsidP="002F5837">
            <w:pPr>
              <w:snapToGrid w:val="0"/>
              <w:spacing w:after="120" w:line="240" w:lineRule="auto"/>
              <w:rPr>
                <w:rFonts w:cs="Arial"/>
              </w:rPr>
            </w:pPr>
            <w:r w:rsidRPr="0016620E">
              <w:rPr>
                <w:rFonts w:cs="Arial"/>
              </w:rPr>
              <w:t>0.62</w:t>
            </w:r>
          </w:p>
        </w:tc>
        <w:tc>
          <w:tcPr>
            <w:tcW w:w="850" w:type="dxa"/>
            <w:tcBorders>
              <w:top w:val="nil"/>
              <w:left w:val="nil"/>
              <w:bottom w:val="single" w:sz="4" w:space="0" w:color="auto"/>
              <w:right w:val="nil"/>
            </w:tcBorders>
            <w:vAlign w:val="center"/>
          </w:tcPr>
          <w:p w14:paraId="3CF8AEDD" w14:textId="77777777" w:rsidR="006247ED" w:rsidRPr="0016620E" w:rsidRDefault="006247ED" w:rsidP="002F5837">
            <w:pPr>
              <w:snapToGrid w:val="0"/>
              <w:spacing w:after="120" w:line="240" w:lineRule="auto"/>
              <w:rPr>
                <w:rFonts w:cs="Arial"/>
              </w:rPr>
            </w:pPr>
            <w:r w:rsidRPr="0016620E">
              <w:rPr>
                <w:rFonts w:cs="Arial"/>
              </w:rPr>
              <w:t>0.56</w:t>
            </w:r>
          </w:p>
        </w:tc>
        <w:tc>
          <w:tcPr>
            <w:tcW w:w="858" w:type="dxa"/>
            <w:tcBorders>
              <w:top w:val="nil"/>
              <w:left w:val="nil"/>
              <w:bottom w:val="single" w:sz="4" w:space="0" w:color="auto"/>
            </w:tcBorders>
            <w:vAlign w:val="center"/>
          </w:tcPr>
          <w:p w14:paraId="2B5935B2" w14:textId="77777777" w:rsidR="006247ED" w:rsidRPr="0016620E" w:rsidRDefault="006247ED" w:rsidP="002F5837">
            <w:pPr>
              <w:snapToGrid w:val="0"/>
              <w:spacing w:after="120" w:line="240" w:lineRule="auto"/>
              <w:rPr>
                <w:rFonts w:cs="Arial"/>
              </w:rPr>
            </w:pPr>
            <w:r w:rsidRPr="0016620E">
              <w:rPr>
                <w:rFonts w:cs="Arial"/>
              </w:rPr>
              <w:t>0.68</w:t>
            </w:r>
          </w:p>
        </w:tc>
      </w:tr>
      <w:tr w:rsidR="006247ED" w:rsidRPr="0016620E" w14:paraId="08B1CAA4" w14:textId="77777777" w:rsidTr="0083335C">
        <w:trPr>
          <w:trHeight w:val="64"/>
        </w:trPr>
        <w:tc>
          <w:tcPr>
            <w:tcW w:w="4962" w:type="dxa"/>
            <w:tcBorders>
              <w:top w:val="single" w:sz="4" w:space="0" w:color="auto"/>
              <w:right w:val="nil"/>
            </w:tcBorders>
            <w:vAlign w:val="center"/>
          </w:tcPr>
          <w:p w14:paraId="418F2AF5" w14:textId="77777777" w:rsidR="006247ED" w:rsidRPr="006935A7" w:rsidRDefault="006247ED" w:rsidP="002F5837">
            <w:pPr>
              <w:snapToGrid w:val="0"/>
              <w:spacing w:after="120" w:line="240" w:lineRule="auto"/>
              <w:rPr>
                <w:rFonts w:cs="Arial"/>
              </w:rPr>
            </w:pPr>
            <w:r w:rsidRPr="006935A7">
              <w:rPr>
                <w:rFonts w:cs="Arial"/>
              </w:rPr>
              <w:t>Total (%)</w:t>
            </w:r>
          </w:p>
        </w:tc>
        <w:tc>
          <w:tcPr>
            <w:tcW w:w="850" w:type="dxa"/>
            <w:tcBorders>
              <w:top w:val="single" w:sz="4" w:space="0" w:color="auto"/>
              <w:left w:val="nil"/>
              <w:right w:val="nil"/>
            </w:tcBorders>
            <w:vAlign w:val="center"/>
          </w:tcPr>
          <w:p w14:paraId="2C6FC6B5" w14:textId="77777777" w:rsidR="006247ED" w:rsidRPr="006935A7" w:rsidRDefault="006247ED" w:rsidP="002F5837">
            <w:pPr>
              <w:snapToGrid w:val="0"/>
              <w:spacing w:after="120" w:line="240" w:lineRule="auto"/>
              <w:rPr>
                <w:rFonts w:cs="Arial"/>
              </w:rPr>
            </w:pPr>
            <w:r w:rsidRPr="006935A7">
              <w:rPr>
                <w:rFonts w:cs="Arial"/>
              </w:rPr>
              <w:t>100.0</w:t>
            </w:r>
          </w:p>
        </w:tc>
        <w:tc>
          <w:tcPr>
            <w:tcW w:w="992" w:type="dxa"/>
            <w:tcBorders>
              <w:top w:val="single" w:sz="4" w:space="0" w:color="auto"/>
              <w:left w:val="nil"/>
              <w:right w:val="nil"/>
            </w:tcBorders>
            <w:vAlign w:val="center"/>
          </w:tcPr>
          <w:p w14:paraId="5726CF17" w14:textId="77777777" w:rsidR="006247ED" w:rsidRPr="006935A7" w:rsidRDefault="006247ED" w:rsidP="002F5837">
            <w:pPr>
              <w:snapToGrid w:val="0"/>
              <w:spacing w:after="120" w:line="240" w:lineRule="auto"/>
              <w:rPr>
                <w:rFonts w:cs="Arial"/>
              </w:rPr>
            </w:pPr>
            <w:r w:rsidRPr="006935A7">
              <w:rPr>
                <w:rFonts w:cs="Arial"/>
              </w:rPr>
              <w:t>100.0</w:t>
            </w:r>
          </w:p>
        </w:tc>
        <w:tc>
          <w:tcPr>
            <w:tcW w:w="851" w:type="dxa"/>
            <w:tcBorders>
              <w:top w:val="single" w:sz="4" w:space="0" w:color="auto"/>
              <w:left w:val="nil"/>
              <w:right w:val="nil"/>
            </w:tcBorders>
            <w:vAlign w:val="center"/>
          </w:tcPr>
          <w:p w14:paraId="06E38E2F" w14:textId="77777777" w:rsidR="006247ED" w:rsidRPr="006935A7" w:rsidRDefault="006247ED" w:rsidP="002F5837">
            <w:pPr>
              <w:snapToGrid w:val="0"/>
              <w:spacing w:after="120" w:line="240" w:lineRule="auto"/>
              <w:rPr>
                <w:rFonts w:cs="Arial"/>
              </w:rPr>
            </w:pPr>
            <w:r w:rsidRPr="006935A7">
              <w:rPr>
                <w:rFonts w:cs="Arial"/>
              </w:rPr>
              <w:t>100.0</w:t>
            </w:r>
          </w:p>
        </w:tc>
        <w:tc>
          <w:tcPr>
            <w:tcW w:w="992" w:type="dxa"/>
            <w:tcBorders>
              <w:top w:val="single" w:sz="4" w:space="0" w:color="auto"/>
              <w:left w:val="nil"/>
              <w:right w:val="nil"/>
            </w:tcBorders>
            <w:vAlign w:val="center"/>
          </w:tcPr>
          <w:p w14:paraId="62D258F8" w14:textId="77777777" w:rsidR="006247ED" w:rsidRPr="006935A7" w:rsidRDefault="006247ED" w:rsidP="002F5837">
            <w:pPr>
              <w:snapToGrid w:val="0"/>
              <w:spacing w:after="120" w:line="240" w:lineRule="auto"/>
              <w:rPr>
                <w:rFonts w:cs="Arial"/>
              </w:rPr>
            </w:pPr>
            <w:r w:rsidRPr="006935A7">
              <w:rPr>
                <w:rFonts w:cs="Arial"/>
              </w:rPr>
              <w:t>100.0</w:t>
            </w:r>
          </w:p>
        </w:tc>
        <w:tc>
          <w:tcPr>
            <w:tcW w:w="851" w:type="dxa"/>
            <w:tcBorders>
              <w:top w:val="single" w:sz="4" w:space="0" w:color="auto"/>
              <w:left w:val="nil"/>
              <w:right w:val="nil"/>
            </w:tcBorders>
            <w:vAlign w:val="center"/>
          </w:tcPr>
          <w:p w14:paraId="3AAC0F44" w14:textId="77777777" w:rsidR="006247ED" w:rsidRPr="006935A7" w:rsidRDefault="006247ED" w:rsidP="002F5837">
            <w:pPr>
              <w:snapToGrid w:val="0"/>
              <w:spacing w:after="120" w:line="240" w:lineRule="auto"/>
              <w:rPr>
                <w:rFonts w:cs="Arial"/>
              </w:rPr>
            </w:pPr>
            <w:r w:rsidRPr="006935A7">
              <w:rPr>
                <w:rFonts w:cs="Arial"/>
              </w:rPr>
              <w:t>100.0</w:t>
            </w:r>
          </w:p>
        </w:tc>
        <w:tc>
          <w:tcPr>
            <w:tcW w:w="992" w:type="dxa"/>
            <w:tcBorders>
              <w:top w:val="single" w:sz="4" w:space="0" w:color="auto"/>
              <w:left w:val="nil"/>
              <w:right w:val="nil"/>
            </w:tcBorders>
            <w:vAlign w:val="center"/>
          </w:tcPr>
          <w:p w14:paraId="75D27021" w14:textId="77777777" w:rsidR="006247ED" w:rsidRPr="006935A7" w:rsidRDefault="006247ED" w:rsidP="002F5837">
            <w:pPr>
              <w:snapToGrid w:val="0"/>
              <w:spacing w:after="120" w:line="240" w:lineRule="auto"/>
              <w:rPr>
                <w:rFonts w:cs="Arial"/>
              </w:rPr>
            </w:pPr>
            <w:r w:rsidRPr="006935A7">
              <w:rPr>
                <w:rFonts w:cs="Arial"/>
              </w:rPr>
              <w:t>100.0</w:t>
            </w:r>
          </w:p>
        </w:tc>
        <w:tc>
          <w:tcPr>
            <w:tcW w:w="850" w:type="dxa"/>
            <w:tcBorders>
              <w:top w:val="single" w:sz="4" w:space="0" w:color="auto"/>
              <w:left w:val="nil"/>
              <w:right w:val="nil"/>
            </w:tcBorders>
            <w:vAlign w:val="center"/>
          </w:tcPr>
          <w:p w14:paraId="25248652" w14:textId="77777777" w:rsidR="006247ED" w:rsidRPr="006935A7" w:rsidRDefault="006247ED" w:rsidP="002F5837">
            <w:pPr>
              <w:snapToGrid w:val="0"/>
              <w:spacing w:after="120" w:line="240" w:lineRule="auto"/>
              <w:rPr>
                <w:rFonts w:cs="Arial"/>
              </w:rPr>
            </w:pPr>
            <w:r w:rsidRPr="006935A7">
              <w:rPr>
                <w:rFonts w:cs="Arial"/>
              </w:rPr>
              <w:t>100.0</w:t>
            </w:r>
          </w:p>
        </w:tc>
        <w:tc>
          <w:tcPr>
            <w:tcW w:w="993" w:type="dxa"/>
            <w:tcBorders>
              <w:top w:val="single" w:sz="4" w:space="0" w:color="auto"/>
              <w:left w:val="nil"/>
              <w:right w:val="nil"/>
            </w:tcBorders>
            <w:vAlign w:val="center"/>
          </w:tcPr>
          <w:p w14:paraId="0541B3A9" w14:textId="77777777" w:rsidR="006247ED" w:rsidRPr="006935A7" w:rsidRDefault="006247ED" w:rsidP="002F5837">
            <w:pPr>
              <w:snapToGrid w:val="0"/>
              <w:spacing w:after="120" w:line="240" w:lineRule="auto"/>
              <w:rPr>
                <w:rFonts w:cs="Arial"/>
              </w:rPr>
            </w:pPr>
            <w:r w:rsidRPr="006935A7">
              <w:rPr>
                <w:rFonts w:cs="Arial"/>
              </w:rPr>
              <w:t>100.0</w:t>
            </w:r>
          </w:p>
        </w:tc>
        <w:tc>
          <w:tcPr>
            <w:tcW w:w="850" w:type="dxa"/>
            <w:tcBorders>
              <w:top w:val="single" w:sz="4" w:space="0" w:color="auto"/>
              <w:left w:val="nil"/>
              <w:right w:val="nil"/>
            </w:tcBorders>
            <w:vAlign w:val="center"/>
          </w:tcPr>
          <w:p w14:paraId="449612E4" w14:textId="77777777" w:rsidR="006247ED" w:rsidRPr="006935A7" w:rsidRDefault="006247ED" w:rsidP="002F5837">
            <w:pPr>
              <w:snapToGrid w:val="0"/>
              <w:spacing w:after="120" w:line="240" w:lineRule="auto"/>
              <w:rPr>
                <w:rFonts w:cs="Arial"/>
              </w:rPr>
            </w:pPr>
            <w:r w:rsidRPr="006935A7">
              <w:rPr>
                <w:rFonts w:cs="Arial"/>
              </w:rPr>
              <w:t>100.0</w:t>
            </w:r>
          </w:p>
        </w:tc>
        <w:tc>
          <w:tcPr>
            <w:tcW w:w="858" w:type="dxa"/>
            <w:tcBorders>
              <w:top w:val="single" w:sz="4" w:space="0" w:color="auto"/>
              <w:left w:val="nil"/>
            </w:tcBorders>
            <w:vAlign w:val="center"/>
          </w:tcPr>
          <w:p w14:paraId="4C5F8D05" w14:textId="77777777" w:rsidR="006247ED" w:rsidRPr="006935A7" w:rsidRDefault="006247ED" w:rsidP="002F5837">
            <w:pPr>
              <w:snapToGrid w:val="0"/>
              <w:spacing w:after="120" w:line="240" w:lineRule="auto"/>
              <w:rPr>
                <w:rFonts w:cs="Arial"/>
              </w:rPr>
            </w:pPr>
            <w:r w:rsidRPr="006935A7">
              <w:rPr>
                <w:rFonts w:cs="Arial"/>
              </w:rPr>
              <w:t>100.0</w:t>
            </w:r>
          </w:p>
        </w:tc>
      </w:tr>
    </w:tbl>
    <w:p w14:paraId="27B7B68B" w14:textId="77777777" w:rsidR="006247ED" w:rsidRPr="008A4F2B" w:rsidRDefault="006247ED" w:rsidP="000F54A6">
      <w:pPr>
        <w:spacing w:line="240" w:lineRule="auto"/>
        <w:rPr>
          <w:rFonts w:eastAsia="Arial" w:cs="Arial"/>
          <w:i/>
          <w:iCs/>
          <w:w w:val="105"/>
          <w:kern w:val="0"/>
          <w:sz w:val="18"/>
          <w:szCs w:val="18"/>
          <w14:ligatures w14:val="none"/>
        </w:rPr>
      </w:pPr>
      <w:r w:rsidRPr="008A4F2B">
        <w:rPr>
          <w:rFonts w:eastAsia="Arial" w:cs="Arial"/>
          <w:i/>
          <w:iCs/>
          <w:w w:val="105"/>
          <w:kern w:val="0"/>
          <w:sz w:val="18"/>
          <w:szCs w:val="18"/>
          <w14:ligatures w14:val="none"/>
        </w:rPr>
        <w:t>Note: Source of data: HILDA waves 12, 16, and 20.</w:t>
      </w:r>
    </w:p>
    <w:p w14:paraId="20320B00" w14:textId="77777777" w:rsidR="00A450BD" w:rsidRPr="0016620E" w:rsidRDefault="00A450BD" w:rsidP="003923C1">
      <w:pPr>
        <w:rPr>
          <w:rFonts w:cs="Arial"/>
          <w:lang w:eastAsia="en-AU"/>
        </w:rPr>
      </w:pPr>
    </w:p>
    <w:sectPr w:rsidR="00A450BD" w:rsidRPr="0016620E" w:rsidSect="00304B5A">
      <w:pgSz w:w="16838" w:h="11906" w:orient="landscape"/>
      <w:pgMar w:top="1440" w:right="1440" w:bottom="1440" w:left="144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63E9B" w14:textId="77777777" w:rsidR="00E525BA" w:rsidRDefault="00E525BA" w:rsidP="008C7722">
      <w:pPr>
        <w:spacing w:after="0" w:line="240" w:lineRule="auto"/>
      </w:pPr>
      <w:r>
        <w:separator/>
      </w:r>
    </w:p>
  </w:endnote>
  <w:endnote w:type="continuationSeparator" w:id="0">
    <w:p w14:paraId="4D13FB2B" w14:textId="77777777" w:rsidR="00E525BA" w:rsidRDefault="00E525BA" w:rsidP="008C7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Light">
    <w:altName w:val="Calibri"/>
    <w:panose1 w:val="02000503000000020004"/>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Inter">
    <w:altName w:val="Calibri"/>
    <w:panose1 w:val="02000503000000020004"/>
    <w:charset w:val="00"/>
    <w:family w:val="auto"/>
    <w:pitch w:val="variable"/>
    <w:sig w:usb0="E00002FF" w:usb1="1200A1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Inter Medium">
    <w:altName w:val="Calibri"/>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64410"/>
      <w:docPartObj>
        <w:docPartGallery w:val="Page Numbers (Bottom of Page)"/>
        <w:docPartUnique/>
      </w:docPartObj>
    </w:sdtPr>
    <w:sdtEndPr>
      <w:rPr>
        <w:noProof/>
        <w:sz w:val="18"/>
        <w:szCs w:val="18"/>
      </w:rPr>
    </w:sdtEndPr>
    <w:sdtContent>
      <w:p w14:paraId="646023FC" w14:textId="77777777" w:rsidR="008C7722" w:rsidRPr="00BF48E1" w:rsidRDefault="008C7722">
        <w:pPr>
          <w:pStyle w:val="Footer"/>
          <w:jc w:val="center"/>
          <w:rPr>
            <w:sz w:val="18"/>
            <w:szCs w:val="18"/>
          </w:rPr>
        </w:pPr>
        <w:r w:rsidRPr="00BF48E1">
          <w:rPr>
            <w:sz w:val="18"/>
            <w:szCs w:val="18"/>
          </w:rPr>
          <w:fldChar w:fldCharType="begin"/>
        </w:r>
        <w:r w:rsidRPr="00BF48E1">
          <w:rPr>
            <w:sz w:val="18"/>
            <w:szCs w:val="18"/>
          </w:rPr>
          <w:instrText xml:space="preserve"> PAGE   \* MERGEFORMAT </w:instrText>
        </w:r>
        <w:r w:rsidRPr="00BF48E1">
          <w:rPr>
            <w:sz w:val="18"/>
            <w:szCs w:val="18"/>
          </w:rPr>
          <w:fldChar w:fldCharType="separate"/>
        </w:r>
        <w:r w:rsidRPr="00BF48E1">
          <w:rPr>
            <w:noProof/>
            <w:sz w:val="18"/>
            <w:szCs w:val="18"/>
          </w:rPr>
          <w:t>2</w:t>
        </w:r>
        <w:r w:rsidRPr="00BF48E1">
          <w:rPr>
            <w:noProof/>
            <w:sz w:val="18"/>
            <w:szCs w:val="18"/>
          </w:rPr>
          <w:fldChar w:fldCharType="end"/>
        </w:r>
      </w:p>
    </w:sdtContent>
  </w:sdt>
  <w:p w14:paraId="57516D69" w14:textId="77777777" w:rsidR="008C7722" w:rsidRDefault="008C77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49801"/>
      <w:docPartObj>
        <w:docPartGallery w:val="Page Numbers (Bottom of Page)"/>
        <w:docPartUnique/>
      </w:docPartObj>
    </w:sdtPr>
    <w:sdtEndPr>
      <w:rPr>
        <w:noProof/>
      </w:rPr>
    </w:sdtEndPr>
    <w:sdtContent>
      <w:p w14:paraId="03689EE8" w14:textId="433FA60A" w:rsidR="005A66D9" w:rsidRDefault="005A66D9">
        <w:pPr>
          <w:pStyle w:val="Footer"/>
          <w:jc w:val="center"/>
        </w:pPr>
        <w:r w:rsidRPr="005A66D9">
          <w:rPr>
            <w:sz w:val="18"/>
            <w:szCs w:val="18"/>
          </w:rPr>
          <w:fldChar w:fldCharType="begin"/>
        </w:r>
        <w:r w:rsidRPr="005A66D9">
          <w:rPr>
            <w:sz w:val="18"/>
            <w:szCs w:val="18"/>
          </w:rPr>
          <w:instrText xml:space="preserve"> PAGE   \* MERGEFORMAT </w:instrText>
        </w:r>
        <w:r w:rsidRPr="005A66D9">
          <w:rPr>
            <w:sz w:val="18"/>
            <w:szCs w:val="18"/>
          </w:rPr>
          <w:fldChar w:fldCharType="separate"/>
        </w:r>
        <w:r w:rsidRPr="005A66D9">
          <w:rPr>
            <w:noProof/>
            <w:sz w:val="18"/>
            <w:szCs w:val="18"/>
          </w:rPr>
          <w:t>2</w:t>
        </w:r>
        <w:r w:rsidRPr="005A66D9">
          <w:rPr>
            <w:noProof/>
            <w:sz w:val="18"/>
            <w:szCs w:val="18"/>
          </w:rPr>
          <w:fldChar w:fldCharType="end"/>
        </w:r>
      </w:p>
    </w:sdtContent>
  </w:sdt>
  <w:p w14:paraId="3DCC8507" w14:textId="77777777" w:rsidR="004B00E6" w:rsidRDefault="004B00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6BD45" w14:textId="77777777" w:rsidR="00E525BA" w:rsidRDefault="00E525BA" w:rsidP="008C7722">
      <w:pPr>
        <w:spacing w:after="0" w:line="240" w:lineRule="auto"/>
      </w:pPr>
      <w:r>
        <w:separator/>
      </w:r>
    </w:p>
  </w:footnote>
  <w:footnote w:type="continuationSeparator" w:id="0">
    <w:p w14:paraId="3B3DBBA7" w14:textId="77777777" w:rsidR="00E525BA" w:rsidRDefault="00E525BA" w:rsidP="008C7722">
      <w:pPr>
        <w:spacing w:after="0" w:line="240" w:lineRule="auto"/>
      </w:pPr>
      <w:r>
        <w:continuationSeparator/>
      </w:r>
    </w:p>
  </w:footnote>
  <w:footnote w:id="1">
    <w:p w14:paraId="433DFAF0" w14:textId="29E4DE75" w:rsidR="009D131E" w:rsidRDefault="009D131E" w:rsidP="00C66E6B">
      <w:pPr>
        <w:pStyle w:val="FootnoteText"/>
      </w:pPr>
      <w:r w:rsidRPr="00A3758F">
        <w:rPr>
          <w:rStyle w:val="FootnoteReference"/>
          <w:sz w:val="18"/>
          <w:szCs w:val="18"/>
        </w:rPr>
        <w:footnoteRef/>
      </w:r>
      <w:r w:rsidRPr="00A3758F">
        <w:rPr>
          <w:sz w:val="18"/>
          <w:szCs w:val="18"/>
        </w:rPr>
        <w:t xml:space="preserve"> </w:t>
      </w:r>
      <w:r w:rsidRPr="00A3758F">
        <w:rPr>
          <w:w w:val="105"/>
          <w:sz w:val="18"/>
          <w:szCs w:val="18"/>
        </w:rPr>
        <w:t xml:space="preserve">In the literature, Daly et al. (2015) showed that the private rate of return to a university degree in Australia varied </w:t>
      </w:r>
      <w:r w:rsidR="0048512F" w:rsidRPr="00A3758F">
        <w:rPr>
          <w:w w:val="105"/>
          <w:sz w:val="18"/>
          <w:szCs w:val="18"/>
        </w:rPr>
        <w:t>by</w:t>
      </w:r>
      <w:r w:rsidR="00DC27B3" w:rsidRPr="00A3758F">
        <w:rPr>
          <w:w w:val="105"/>
          <w:sz w:val="18"/>
          <w:szCs w:val="18"/>
        </w:rPr>
        <w:t xml:space="preserve"> </w:t>
      </w:r>
      <w:r w:rsidR="000F12A1" w:rsidRPr="00A3758F">
        <w:rPr>
          <w:w w:val="105"/>
          <w:sz w:val="18"/>
          <w:szCs w:val="18"/>
        </w:rPr>
        <w:t>academic discipline</w:t>
      </w:r>
      <w:r w:rsidRPr="00A3758F">
        <w:rPr>
          <w:w w:val="105"/>
          <w:sz w:val="18"/>
          <w:szCs w:val="18"/>
        </w:rPr>
        <w:t>, with lower returns for those holding degrees in the humanities.</w:t>
      </w:r>
    </w:p>
  </w:footnote>
  <w:footnote w:id="2">
    <w:p w14:paraId="485A5C1A" w14:textId="3B35DB8A" w:rsidR="00501B13" w:rsidRDefault="00501B13">
      <w:pPr>
        <w:pStyle w:val="FootnoteText"/>
      </w:pPr>
      <w:r w:rsidRPr="005E22FB">
        <w:rPr>
          <w:rStyle w:val="FootnoteReference"/>
          <w:sz w:val="18"/>
          <w:szCs w:val="18"/>
        </w:rPr>
        <w:footnoteRef/>
      </w:r>
      <w:r w:rsidRPr="005E22FB">
        <w:rPr>
          <w:sz w:val="18"/>
          <w:szCs w:val="18"/>
        </w:rPr>
        <w:t xml:space="preserve"> </w:t>
      </w:r>
      <w:r w:rsidRPr="005E22FB">
        <w:rPr>
          <w:w w:val="105"/>
          <w:sz w:val="18"/>
          <w:szCs w:val="18"/>
        </w:rPr>
        <w:t>As shown in Sectio</w:t>
      </w:r>
      <w:r w:rsidR="00EB71A9" w:rsidRPr="005E22FB">
        <w:rPr>
          <w:w w:val="105"/>
          <w:sz w:val="18"/>
          <w:szCs w:val="18"/>
        </w:rPr>
        <w:t>n</w:t>
      </w:r>
      <w:r w:rsidR="00222EC8" w:rsidRPr="005E22FB">
        <w:rPr>
          <w:w w:val="105"/>
          <w:sz w:val="18"/>
          <w:szCs w:val="18"/>
        </w:rPr>
        <w:t xml:space="preserve"> </w:t>
      </w:r>
      <w:r w:rsidR="00773F38" w:rsidRPr="005E22FB">
        <w:rPr>
          <w:w w:val="105"/>
          <w:sz w:val="18"/>
          <w:szCs w:val="18"/>
        </w:rPr>
        <w:t>5.1</w:t>
      </w:r>
      <w:r w:rsidRPr="005E22FB">
        <w:rPr>
          <w:w w:val="105"/>
          <w:sz w:val="18"/>
          <w:szCs w:val="18"/>
        </w:rPr>
        <w:t xml:space="preserve">, the average age of university graduates in our HILDA sample is around 41. If a typical Australian graduate enters the workforce at around 22 years of age, </w:t>
      </w:r>
      <w:r w:rsidR="005E22FB">
        <w:rPr>
          <w:w w:val="105"/>
          <w:sz w:val="18"/>
          <w:szCs w:val="18"/>
        </w:rPr>
        <w:t>they</w:t>
      </w:r>
      <w:r w:rsidRPr="005E22FB">
        <w:rPr>
          <w:w w:val="105"/>
          <w:sz w:val="18"/>
          <w:szCs w:val="18"/>
        </w:rPr>
        <w:t xml:space="preserve"> may have up to 19 years of work experience in the labour market</w:t>
      </w:r>
      <w:r w:rsidR="00183708" w:rsidRPr="005E22FB">
        <w:rPr>
          <w:w w:val="105"/>
          <w:sz w:val="18"/>
          <w:szCs w:val="18"/>
        </w:rPr>
        <w:t xml:space="preserve"> by the age of 41</w:t>
      </w:r>
      <w:r w:rsidRPr="005E22FB">
        <w:rPr>
          <w:w w:val="105"/>
          <w:sz w:val="18"/>
          <w:szCs w:val="18"/>
        </w:rPr>
        <w:t>.</w:t>
      </w:r>
    </w:p>
  </w:footnote>
  <w:footnote w:id="3">
    <w:p w14:paraId="00DD7E74" w14:textId="0E01903B" w:rsidR="00DD2326" w:rsidRPr="00811DCA" w:rsidRDefault="00DD2326">
      <w:pPr>
        <w:pStyle w:val="FootnoteText"/>
        <w:rPr>
          <w:sz w:val="18"/>
          <w:szCs w:val="18"/>
        </w:rPr>
      </w:pPr>
      <w:r w:rsidRPr="00811DCA">
        <w:rPr>
          <w:rStyle w:val="FootnoteReference"/>
          <w:sz w:val="18"/>
          <w:szCs w:val="18"/>
        </w:rPr>
        <w:footnoteRef/>
      </w:r>
      <w:r w:rsidRPr="00811DCA">
        <w:rPr>
          <w:sz w:val="18"/>
          <w:szCs w:val="18"/>
        </w:rPr>
        <w:t xml:space="preserve"> </w:t>
      </w:r>
      <w:r w:rsidR="00232775" w:rsidRPr="00811DCA">
        <w:rPr>
          <w:sz w:val="18"/>
          <w:szCs w:val="18"/>
        </w:rPr>
        <w:t xml:space="preserve">Waves 1 to 23 of the </w:t>
      </w:r>
      <w:r w:rsidR="0022106F" w:rsidRPr="00811DCA">
        <w:rPr>
          <w:w w:val="105"/>
          <w:sz w:val="18"/>
          <w:szCs w:val="18"/>
        </w:rPr>
        <w:t xml:space="preserve">HILDA </w:t>
      </w:r>
      <w:r w:rsidR="00232775" w:rsidRPr="00811DCA">
        <w:rPr>
          <w:w w:val="105"/>
          <w:sz w:val="18"/>
          <w:szCs w:val="18"/>
        </w:rPr>
        <w:t>Survey</w:t>
      </w:r>
      <w:r w:rsidR="0022106F" w:rsidRPr="00811DCA">
        <w:rPr>
          <w:w w:val="105"/>
          <w:sz w:val="18"/>
          <w:szCs w:val="18"/>
        </w:rPr>
        <w:t xml:space="preserve"> are currently available, corresponding to </w:t>
      </w:r>
      <w:r w:rsidR="00232775" w:rsidRPr="00811DCA">
        <w:rPr>
          <w:w w:val="105"/>
          <w:sz w:val="18"/>
          <w:szCs w:val="18"/>
        </w:rPr>
        <w:t>the years 2001 to 20</w:t>
      </w:r>
      <w:r w:rsidR="009F6039" w:rsidRPr="00811DCA">
        <w:rPr>
          <w:w w:val="105"/>
          <w:sz w:val="18"/>
          <w:szCs w:val="18"/>
        </w:rPr>
        <w:t>2</w:t>
      </w:r>
      <w:r w:rsidR="00232775" w:rsidRPr="00811DCA">
        <w:rPr>
          <w:w w:val="105"/>
          <w:sz w:val="18"/>
          <w:szCs w:val="18"/>
        </w:rPr>
        <w:t>3</w:t>
      </w:r>
      <w:r w:rsidR="0022106F" w:rsidRPr="00811DCA">
        <w:rPr>
          <w:w w:val="105"/>
          <w:sz w:val="18"/>
          <w:szCs w:val="18"/>
        </w:rPr>
        <w:t>.</w:t>
      </w:r>
    </w:p>
  </w:footnote>
  <w:footnote w:id="4">
    <w:p w14:paraId="5C9A80F4" w14:textId="77777777" w:rsidR="008815A0" w:rsidRDefault="008815A0" w:rsidP="008815A0">
      <w:pPr>
        <w:pStyle w:val="FootnoteText"/>
      </w:pPr>
      <w:r w:rsidRPr="00811DCA">
        <w:rPr>
          <w:rStyle w:val="FootnoteReference"/>
          <w:sz w:val="18"/>
          <w:szCs w:val="18"/>
        </w:rPr>
        <w:footnoteRef/>
      </w:r>
      <w:r w:rsidRPr="00811DCA">
        <w:rPr>
          <w:sz w:val="18"/>
          <w:szCs w:val="18"/>
        </w:rPr>
        <w:t xml:space="preserve"> </w:t>
      </w:r>
      <w:r w:rsidRPr="00811DCA">
        <w:rPr>
          <w:w w:val="105"/>
          <w:sz w:val="18"/>
          <w:szCs w:val="18"/>
        </w:rPr>
        <w:t>In the HILDA Survey, no question was asked about maternal unemployment during the respondent’s childhood.</w:t>
      </w:r>
    </w:p>
  </w:footnote>
  <w:footnote w:id="5">
    <w:p w14:paraId="1580C3A9" w14:textId="441B46CE" w:rsidR="00677622" w:rsidRDefault="00677622">
      <w:pPr>
        <w:pStyle w:val="FootnoteText"/>
      </w:pPr>
      <w:r w:rsidRPr="00D95EAA">
        <w:rPr>
          <w:rStyle w:val="FootnoteReference"/>
          <w:sz w:val="18"/>
          <w:szCs w:val="18"/>
        </w:rPr>
        <w:footnoteRef/>
      </w:r>
      <w:r w:rsidRPr="00D95EAA">
        <w:rPr>
          <w:sz w:val="18"/>
          <w:szCs w:val="18"/>
        </w:rPr>
        <w:t xml:space="preserve"> </w:t>
      </w:r>
      <w:r w:rsidR="00481815" w:rsidRPr="00D95EAA">
        <w:rPr>
          <w:sz w:val="18"/>
          <w:szCs w:val="18"/>
        </w:rPr>
        <w:t xml:space="preserve">In 2011, a general top-up sample was added to </w:t>
      </w:r>
      <w:r w:rsidR="00651D02" w:rsidRPr="00D95EAA">
        <w:rPr>
          <w:sz w:val="18"/>
          <w:szCs w:val="18"/>
        </w:rPr>
        <w:t xml:space="preserve">improve the representativeness of </w:t>
      </w:r>
      <w:r w:rsidR="00481815" w:rsidRPr="00D95EAA">
        <w:rPr>
          <w:sz w:val="18"/>
          <w:szCs w:val="18"/>
        </w:rPr>
        <w:t xml:space="preserve">the HILDA Survey, increasing the sample size to 23,415 in wave 11. The number of observations remains relatively stable across waves 12, 16, and 20, even after applying successive sample restrictions. </w:t>
      </w:r>
      <w:r w:rsidR="00651D02" w:rsidRPr="00D95EAA">
        <w:rPr>
          <w:sz w:val="18"/>
          <w:szCs w:val="18"/>
        </w:rPr>
        <w:t>Given this</w:t>
      </w:r>
      <w:r w:rsidR="00481815" w:rsidRPr="00D95EAA">
        <w:rPr>
          <w:sz w:val="18"/>
          <w:szCs w:val="18"/>
        </w:rPr>
        <w:t xml:space="preserve"> consistency</w:t>
      </w:r>
      <w:r w:rsidR="00651D02" w:rsidRPr="00D95EAA">
        <w:rPr>
          <w:sz w:val="18"/>
          <w:szCs w:val="18"/>
        </w:rPr>
        <w:t>,</w:t>
      </w:r>
      <w:r w:rsidR="00481815" w:rsidRPr="00D95EAA">
        <w:rPr>
          <w:sz w:val="18"/>
          <w:szCs w:val="18"/>
        </w:rPr>
        <w:t xml:space="preserve"> sample attrition </w:t>
      </w:r>
      <w:r w:rsidR="00651D02" w:rsidRPr="00D95EAA">
        <w:rPr>
          <w:sz w:val="18"/>
          <w:szCs w:val="18"/>
        </w:rPr>
        <w:t>seems</w:t>
      </w:r>
      <w:r w:rsidR="00481815" w:rsidRPr="00D95EAA">
        <w:rPr>
          <w:sz w:val="18"/>
          <w:szCs w:val="18"/>
        </w:rPr>
        <w:t xml:space="preserve"> not likely to pose a significant concern in this analysis</w:t>
      </w:r>
      <w:r w:rsidR="00481815" w:rsidRPr="00481815">
        <w:t>.</w:t>
      </w:r>
    </w:p>
  </w:footnote>
  <w:footnote w:id="6">
    <w:p w14:paraId="69B73316" w14:textId="43B38010" w:rsidR="00531254" w:rsidRPr="008867B5" w:rsidRDefault="00531254">
      <w:pPr>
        <w:pStyle w:val="FootnoteText"/>
        <w:rPr>
          <w:sz w:val="18"/>
          <w:szCs w:val="18"/>
        </w:rPr>
      </w:pPr>
      <w:r w:rsidRPr="008867B5">
        <w:rPr>
          <w:rStyle w:val="FootnoteReference"/>
          <w:sz w:val="18"/>
          <w:szCs w:val="18"/>
        </w:rPr>
        <w:footnoteRef/>
      </w:r>
      <w:r w:rsidRPr="008867B5">
        <w:rPr>
          <w:sz w:val="18"/>
          <w:szCs w:val="18"/>
        </w:rPr>
        <w:t xml:space="preserve"> </w:t>
      </w:r>
      <w:r w:rsidR="004D0401" w:rsidRPr="008867B5">
        <w:rPr>
          <w:w w:val="105"/>
          <w:sz w:val="18"/>
          <w:szCs w:val="18"/>
        </w:rPr>
        <w:t xml:space="preserve">Appendix Table A1 </w:t>
      </w:r>
      <w:r w:rsidR="00BD7E68" w:rsidRPr="008867B5">
        <w:rPr>
          <w:w w:val="105"/>
          <w:sz w:val="18"/>
          <w:szCs w:val="18"/>
        </w:rPr>
        <w:t>presents</w:t>
      </w:r>
      <w:r w:rsidR="004D0401" w:rsidRPr="008867B5">
        <w:rPr>
          <w:w w:val="105"/>
          <w:sz w:val="18"/>
          <w:szCs w:val="18"/>
        </w:rPr>
        <w:t xml:space="preserve"> summary statistics on </w:t>
      </w:r>
      <w:r w:rsidR="00A12A25" w:rsidRPr="008867B5">
        <w:rPr>
          <w:w w:val="105"/>
          <w:sz w:val="18"/>
          <w:szCs w:val="18"/>
        </w:rPr>
        <w:t xml:space="preserve">labour market </w:t>
      </w:r>
      <w:r w:rsidR="004D0401" w:rsidRPr="008867B5">
        <w:rPr>
          <w:w w:val="105"/>
          <w:sz w:val="18"/>
          <w:szCs w:val="18"/>
        </w:rPr>
        <w:t xml:space="preserve">outcomes categorised by multidimensional </w:t>
      </w:r>
      <w:r w:rsidR="0097512D" w:rsidRPr="008867B5">
        <w:rPr>
          <w:w w:val="105"/>
          <w:sz w:val="18"/>
          <w:szCs w:val="18"/>
        </w:rPr>
        <w:t>socio-economic</w:t>
      </w:r>
      <w:r w:rsidR="00A876BC" w:rsidRPr="008867B5">
        <w:rPr>
          <w:w w:val="105"/>
          <w:sz w:val="18"/>
          <w:szCs w:val="18"/>
        </w:rPr>
        <w:t xml:space="preserve"> backgrounds</w:t>
      </w:r>
      <w:r w:rsidR="004D0401" w:rsidRPr="008867B5">
        <w:rPr>
          <w:w w:val="105"/>
          <w:sz w:val="18"/>
          <w:szCs w:val="18"/>
        </w:rPr>
        <w:t xml:space="preserve">, </w:t>
      </w:r>
      <w:r w:rsidR="009E3817" w:rsidRPr="008867B5">
        <w:rPr>
          <w:w w:val="105"/>
          <w:sz w:val="18"/>
          <w:szCs w:val="18"/>
        </w:rPr>
        <w:t>showing</w:t>
      </w:r>
      <w:r w:rsidR="004D0401" w:rsidRPr="008867B5">
        <w:rPr>
          <w:w w:val="105"/>
          <w:sz w:val="18"/>
          <w:szCs w:val="18"/>
        </w:rPr>
        <w:t xml:space="preserve"> the crude relationship between different forms of early-life </w:t>
      </w:r>
      <w:r w:rsidR="00A876BC" w:rsidRPr="008867B5">
        <w:rPr>
          <w:w w:val="105"/>
          <w:sz w:val="18"/>
          <w:szCs w:val="18"/>
        </w:rPr>
        <w:t xml:space="preserve">background characteristics </w:t>
      </w:r>
      <w:r w:rsidR="004D0401" w:rsidRPr="008867B5">
        <w:rPr>
          <w:w w:val="105"/>
          <w:sz w:val="18"/>
          <w:szCs w:val="18"/>
        </w:rPr>
        <w:t>and post-university labour market performance.</w:t>
      </w:r>
    </w:p>
  </w:footnote>
  <w:footnote w:id="7">
    <w:p w14:paraId="4D7A2C0C" w14:textId="740361D5" w:rsidR="00C4230F" w:rsidRPr="008867B5" w:rsidRDefault="00C4230F" w:rsidP="003150BE">
      <w:pPr>
        <w:pStyle w:val="FootnoteText"/>
        <w:rPr>
          <w:sz w:val="18"/>
          <w:szCs w:val="18"/>
        </w:rPr>
      </w:pPr>
      <w:r w:rsidRPr="008867B5">
        <w:rPr>
          <w:rStyle w:val="FootnoteReference"/>
          <w:sz w:val="18"/>
          <w:szCs w:val="18"/>
        </w:rPr>
        <w:footnoteRef/>
      </w:r>
      <w:r w:rsidRPr="008867B5">
        <w:rPr>
          <w:sz w:val="18"/>
          <w:szCs w:val="18"/>
        </w:rPr>
        <w:t xml:space="preserve"> </w:t>
      </w:r>
      <w:r w:rsidRPr="008867B5">
        <w:rPr>
          <w:w w:val="105"/>
          <w:sz w:val="18"/>
          <w:szCs w:val="18"/>
        </w:rPr>
        <w:t xml:space="preserve">The definitions of these two binary variables </w:t>
      </w:r>
      <w:r w:rsidR="001542E1" w:rsidRPr="008867B5">
        <w:rPr>
          <w:w w:val="105"/>
          <w:sz w:val="18"/>
          <w:szCs w:val="18"/>
        </w:rPr>
        <w:t>are</w:t>
      </w:r>
      <w:r w:rsidRPr="008867B5">
        <w:rPr>
          <w:w w:val="105"/>
          <w:sz w:val="18"/>
          <w:szCs w:val="18"/>
        </w:rPr>
        <w:t xml:space="preserve"> discussed in detail in Section </w:t>
      </w:r>
      <w:r w:rsidRPr="008867B5">
        <w:rPr>
          <w:w w:val="105"/>
          <w:sz w:val="18"/>
          <w:szCs w:val="18"/>
        </w:rPr>
        <w:fldChar w:fldCharType="begin"/>
      </w:r>
      <w:r w:rsidRPr="008867B5">
        <w:rPr>
          <w:w w:val="105"/>
          <w:sz w:val="18"/>
          <w:szCs w:val="18"/>
        </w:rPr>
        <w:instrText xml:space="preserve"> REF _Ref185013451 \r </w:instrText>
      </w:r>
      <w:r w:rsidR="001C4006" w:rsidRPr="008867B5">
        <w:rPr>
          <w:w w:val="105"/>
          <w:sz w:val="18"/>
          <w:szCs w:val="18"/>
        </w:rPr>
        <w:instrText xml:space="preserve"> \* MERGEFORMAT </w:instrText>
      </w:r>
      <w:r w:rsidRPr="008867B5">
        <w:rPr>
          <w:w w:val="105"/>
          <w:sz w:val="18"/>
          <w:szCs w:val="18"/>
        </w:rPr>
        <w:fldChar w:fldCharType="separate"/>
      </w:r>
      <w:r w:rsidR="00392C8C" w:rsidRPr="008867B5">
        <w:rPr>
          <w:w w:val="105"/>
          <w:sz w:val="18"/>
          <w:szCs w:val="18"/>
        </w:rPr>
        <w:t>6.1</w:t>
      </w:r>
      <w:r w:rsidRPr="008867B5">
        <w:rPr>
          <w:w w:val="105"/>
          <w:sz w:val="18"/>
          <w:szCs w:val="18"/>
        </w:rPr>
        <w:fldChar w:fldCharType="end"/>
      </w:r>
      <w:r w:rsidRPr="008867B5">
        <w:rPr>
          <w:w w:val="105"/>
          <w:sz w:val="18"/>
          <w:szCs w:val="18"/>
        </w:rPr>
        <w:t xml:space="preserve">. </w:t>
      </w:r>
      <w:r w:rsidR="001542E1" w:rsidRPr="008867B5">
        <w:rPr>
          <w:w w:val="105"/>
          <w:sz w:val="18"/>
          <w:szCs w:val="18"/>
        </w:rPr>
        <w:t>Although the 15 fields of education (as described in Section</w:t>
      </w:r>
      <w:r w:rsidR="00AC5422" w:rsidRPr="008867B5">
        <w:rPr>
          <w:w w:val="105"/>
          <w:sz w:val="18"/>
          <w:szCs w:val="18"/>
        </w:rPr>
        <w:t xml:space="preserve"> 5.1</w:t>
      </w:r>
      <w:r w:rsidR="001542E1" w:rsidRPr="008867B5">
        <w:rPr>
          <w:w w:val="105"/>
          <w:sz w:val="18"/>
          <w:szCs w:val="18"/>
        </w:rPr>
        <w:t>) are categorical, w</w:t>
      </w:r>
      <w:r w:rsidRPr="008867B5">
        <w:rPr>
          <w:w w:val="105"/>
          <w:sz w:val="18"/>
          <w:szCs w:val="18"/>
        </w:rPr>
        <w:t>e choose not to use a multinomial logit model</w:t>
      </w:r>
      <w:r w:rsidR="001542E1" w:rsidRPr="008867B5">
        <w:rPr>
          <w:w w:val="105"/>
          <w:sz w:val="18"/>
          <w:szCs w:val="18"/>
        </w:rPr>
        <w:t>.</w:t>
      </w:r>
      <w:r w:rsidRPr="008867B5">
        <w:rPr>
          <w:w w:val="105"/>
          <w:sz w:val="18"/>
          <w:szCs w:val="18"/>
        </w:rPr>
        <w:t xml:space="preserve"> </w:t>
      </w:r>
      <w:r w:rsidR="001542E1" w:rsidRPr="008867B5">
        <w:rPr>
          <w:w w:val="105"/>
          <w:sz w:val="18"/>
          <w:szCs w:val="18"/>
        </w:rPr>
        <w:t>This is because its estimates</w:t>
      </w:r>
      <w:r w:rsidRPr="008867B5">
        <w:rPr>
          <w:w w:val="105"/>
          <w:sz w:val="18"/>
          <w:szCs w:val="18"/>
        </w:rPr>
        <w:t xml:space="preserve"> are relative to one field (the base group) and are not </w:t>
      </w:r>
      <w:r w:rsidR="00D6233F" w:rsidRPr="008867B5">
        <w:rPr>
          <w:w w:val="105"/>
          <w:sz w:val="18"/>
          <w:szCs w:val="18"/>
        </w:rPr>
        <w:t>straightforward</w:t>
      </w:r>
      <w:r w:rsidR="001A59B8" w:rsidRPr="008867B5">
        <w:rPr>
          <w:w w:val="105"/>
          <w:sz w:val="18"/>
          <w:szCs w:val="18"/>
        </w:rPr>
        <w:t xml:space="preserve"> </w:t>
      </w:r>
      <w:r w:rsidRPr="008867B5">
        <w:rPr>
          <w:w w:val="105"/>
          <w:sz w:val="18"/>
          <w:szCs w:val="18"/>
        </w:rPr>
        <w:t>to interpret.</w:t>
      </w:r>
    </w:p>
  </w:footnote>
  <w:footnote w:id="8">
    <w:p w14:paraId="62F8A6D8" w14:textId="36F15255" w:rsidR="00C4230F" w:rsidRPr="008867B5" w:rsidRDefault="00C4230F" w:rsidP="003150BE">
      <w:pPr>
        <w:pStyle w:val="FootnoteText"/>
        <w:rPr>
          <w:sz w:val="18"/>
          <w:szCs w:val="18"/>
        </w:rPr>
      </w:pPr>
      <w:r w:rsidRPr="008867B5">
        <w:rPr>
          <w:rStyle w:val="FootnoteReference"/>
          <w:sz w:val="18"/>
          <w:szCs w:val="18"/>
        </w:rPr>
        <w:footnoteRef/>
      </w:r>
      <w:r w:rsidR="00E366A3" w:rsidRPr="008867B5">
        <w:rPr>
          <w:sz w:val="18"/>
          <w:szCs w:val="18"/>
        </w:rPr>
        <w:t xml:space="preserve"> </w:t>
      </w:r>
      <w:r w:rsidR="00E366A3" w:rsidRPr="008867B5">
        <w:rPr>
          <w:w w:val="105"/>
          <w:sz w:val="18"/>
          <w:szCs w:val="18"/>
        </w:rPr>
        <w:t>E</w:t>
      </w:r>
      <w:r w:rsidR="00C15694" w:rsidRPr="008867B5">
        <w:rPr>
          <w:w w:val="105"/>
          <w:sz w:val="18"/>
          <w:szCs w:val="18"/>
        </w:rPr>
        <w:t xml:space="preserve">stimates from a linear probability model (LPM) are generally similar to marginal effects obtained from a probit or logit model. </w:t>
      </w:r>
      <w:r w:rsidRPr="008867B5">
        <w:rPr>
          <w:w w:val="105"/>
          <w:sz w:val="18"/>
          <w:szCs w:val="18"/>
        </w:rPr>
        <w:t>As noted in Angrist and Pischke (2009, p.107), “The upshot of this discussion is that while a nonlinear model may affect the CEF for LDVs more closely than a linear model, when it comes to marginal effects this probably matters little. This optimistic conclusion is not a theorem, but as in the empirical example here, it seems to be fairly robustly true.”</w:t>
      </w:r>
    </w:p>
  </w:footnote>
  <w:footnote w:id="9">
    <w:p w14:paraId="7825882E" w14:textId="3C622ED6" w:rsidR="00C4230F" w:rsidRPr="008867B5" w:rsidRDefault="00C4230F" w:rsidP="003150BE">
      <w:pPr>
        <w:pStyle w:val="FootnoteText"/>
        <w:rPr>
          <w:sz w:val="18"/>
          <w:szCs w:val="18"/>
        </w:rPr>
      </w:pPr>
      <w:r w:rsidRPr="008867B5">
        <w:rPr>
          <w:rStyle w:val="FootnoteReference"/>
          <w:sz w:val="18"/>
          <w:szCs w:val="18"/>
        </w:rPr>
        <w:footnoteRef/>
      </w:r>
      <w:r w:rsidRPr="008867B5">
        <w:rPr>
          <w:sz w:val="18"/>
          <w:szCs w:val="18"/>
        </w:rPr>
        <w:t xml:space="preserve"> </w:t>
      </w:r>
      <w:r w:rsidR="00B30963" w:rsidRPr="008867B5">
        <w:rPr>
          <w:w w:val="105"/>
          <w:sz w:val="18"/>
          <w:szCs w:val="18"/>
        </w:rPr>
        <w:t>We d</w:t>
      </w:r>
      <w:r w:rsidR="00363CFB" w:rsidRPr="008867B5">
        <w:rPr>
          <w:w w:val="105"/>
          <w:sz w:val="18"/>
          <w:szCs w:val="18"/>
        </w:rPr>
        <w:t>id</w:t>
      </w:r>
      <w:r w:rsidR="00B30963" w:rsidRPr="008867B5">
        <w:rPr>
          <w:w w:val="105"/>
          <w:sz w:val="18"/>
          <w:szCs w:val="18"/>
        </w:rPr>
        <w:t xml:space="preserve"> not carry out a panel data analysis</w:t>
      </w:r>
      <w:r w:rsidR="003C1E91" w:rsidRPr="008867B5">
        <w:rPr>
          <w:w w:val="105"/>
          <w:sz w:val="18"/>
          <w:szCs w:val="18"/>
        </w:rPr>
        <w:t xml:space="preserve"> </w:t>
      </w:r>
      <w:r w:rsidR="009C43D9" w:rsidRPr="008867B5">
        <w:rPr>
          <w:w w:val="105"/>
          <w:sz w:val="18"/>
          <w:szCs w:val="18"/>
        </w:rPr>
        <w:t xml:space="preserve">because </w:t>
      </w:r>
      <w:r w:rsidR="00B30963" w:rsidRPr="008867B5">
        <w:rPr>
          <w:w w:val="105"/>
          <w:sz w:val="18"/>
          <w:szCs w:val="18"/>
        </w:rPr>
        <w:t xml:space="preserve">there was little </w:t>
      </w:r>
      <w:r w:rsidR="00F55B78" w:rsidRPr="008867B5">
        <w:rPr>
          <w:w w:val="105"/>
          <w:sz w:val="18"/>
          <w:szCs w:val="18"/>
        </w:rPr>
        <w:t>within-</w:t>
      </w:r>
      <w:r w:rsidR="00BB504E" w:rsidRPr="008867B5">
        <w:rPr>
          <w:w w:val="105"/>
          <w:sz w:val="18"/>
          <w:szCs w:val="18"/>
        </w:rPr>
        <w:t xml:space="preserve">person </w:t>
      </w:r>
      <w:r w:rsidR="009C43D9" w:rsidRPr="008867B5">
        <w:rPr>
          <w:w w:val="105"/>
          <w:sz w:val="18"/>
          <w:szCs w:val="18"/>
        </w:rPr>
        <w:t xml:space="preserve">variation </w:t>
      </w:r>
      <w:r w:rsidR="00B30963" w:rsidRPr="008867B5">
        <w:rPr>
          <w:w w:val="105"/>
          <w:sz w:val="18"/>
          <w:szCs w:val="18"/>
        </w:rPr>
        <w:t xml:space="preserve">in </w:t>
      </w:r>
      <w:r w:rsidR="003C1E91" w:rsidRPr="008867B5">
        <w:rPr>
          <w:w w:val="105"/>
          <w:sz w:val="18"/>
          <w:szCs w:val="18"/>
        </w:rPr>
        <w:t xml:space="preserve">tertiary </w:t>
      </w:r>
      <w:r w:rsidR="00B30963" w:rsidRPr="008867B5">
        <w:rPr>
          <w:w w:val="105"/>
          <w:sz w:val="18"/>
          <w:szCs w:val="18"/>
        </w:rPr>
        <w:t>field</w:t>
      </w:r>
      <w:r w:rsidR="001542E1" w:rsidRPr="008867B5">
        <w:rPr>
          <w:w w:val="105"/>
          <w:sz w:val="18"/>
          <w:szCs w:val="18"/>
        </w:rPr>
        <w:t>s</w:t>
      </w:r>
      <w:r w:rsidR="00B30963" w:rsidRPr="008867B5">
        <w:rPr>
          <w:w w:val="105"/>
          <w:sz w:val="18"/>
          <w:szCs w:val="18"/>
        </w:rPr>
        <w:t xml:space="preserve"> </w:t>
      </w:r>
      <w:r w:rsidR="003C1E91" w:rsidRPr="008867B5">
        <w:rPr>
          <w:w w:val="105"/>
          <w:sz w:val="18"/>
          <w:szCs w:val="18"/>
        </w:rPr>
        <w:t xml:space="preserve">of study </w:t>
      </w:r>
      <w:r w:rsidR="001542E1" w:rsidRPr="008867B5">
        <w:rPr>
          <w:w w:val="105"/>
          <w:sz w:val="18"/>
          <w:szCs w:val="18"/>
        </w:rPr>
        <w:t>across</w:t>
      </w:r>
      <w:r w:rsidR="00B30963" w:rsidRPr="008867B5">
        <w:rPr>
          <w:w w:val="105"/>
          <w:sz w:val="18"/>
          <w:szCs w:val="18"/>
        </w:rPr>
        <w:t xml:space="preserve"> waves 12, 16</w:t>
      </w:r>
      <w:r w:rsidR="00440A27" w:rsidRPr="008867B5">
        <w:rPr>
          <w:w w:val="105"/>
          <w:sz w:val="18"/>
          <w:szCs w:val="18"/>
        </w:rPr>
        <w:t>,</w:t>
      </w:r>
      <w:r w:rsidR="00B30963" w:rsidRPr="008867B5">
        <w:rPr>
          <w:w w:val="105"/>
          <w:sz w:val="18"/>
          <w:szCs w:val="18"/>
        </w:rPr>
        <w:t xml:space="preserve"> and 20 of HILDA.</w:t>
      </w:r>
    </w:p>
  </w:footnote>
  <w:footnote w:id="10">
    <w:p w14:paraId="40FDC31F" w14:textId="3AB95FC9" w:rsidR="009B3753" w:rsidRDefault="009B3753" w:rsidP="00FE0252">
      <w:pPr>
        <w:pStyle w:val="FootnoteText"/>
      </w:pPr>
      <w:r w:rsidRPr="00721EB3">
        <w:rPr>
          <w:rStyle w:val="FootnoteReference"/>
          <w:sz w:val="18"/>
          <w:szCs w:val="18"/>
        </w:rPr>
        <w:footnoteRef/>
      </w:r>
      <w:r w:rsidRPr="00721EB3">
        <w:rPr>
          <w:sz w:val="18"/>
          <w:szCs w:val="18"/>
        </w:rPr>
        <w:t xml:space="preserve"> </w:t>
      </w:r>
      <w:r w:rsidRPr="00721EB3">
        <w:rPr>
          <w:w w:val="105"/>
          <w:sz w:val="18"/>
          <w:szCs w:val="18"/>
        </w:rPr>
        <w:t>We do not use fixed effects (FE) panel regressions because</w:t>
      </w:r>
      <w:r w:rsidRPr="00721EB3">
        <w:rPr>
          <w:sz w:val="18"/>
          <w:szCs w:val="18"/>
        </w:rPr>
        <w:t xml:space="preserve"> </w:t>
      </w:r>
      <m:oMath>
        <m:r>
          <w:rPr>
            <w:rFonts w:ascii="Cambria Math" w:hAnsi="Cambria Math"/>
            <w:sz w:val="18"/>
            <w:szCs w:val="18"/>
            <w:lang w:eastAsia="en-AU"/>
          </w:rPr>
          <m:t>Disadvatange</m:t>
        </m:r>
        <m:sSub>
          <m:sSubPr>
            <m:ctrlPr>
              <w:rPr>
                <w:rFonts w:ascii="Cambria Math" w:hAnsi="Cambria Math"/>
                <w:i/>
                <w:sz w:val="18"/>
                <w:szCs w:val="18"/>
                <w:lang w:eastAsia="en-AU"/>
              </w:rPr>
            </m:ctrlPr>
          </m:sSubPr>
          <m:e>
            <m:r>
              <w:rPr>
                <w:rFonts w:ascii="Cambria Math" w:hAnsi="Cambria Math"/>
                <w:sz w:val="18"/>
                <w:szCs w:val="18"/>
                <w:lang w:eastAsia="en-AU"/>
              </w:rPr>
              <m:t>s</m:t>
            </m:r>
          </m:e>
          <m:sub>
            <m:r>
              <w:rPr>
                <w:rFonts w:ascii="Cambria Math" w:hAnsi="Cambria Math"/>
                <w:sz w:val="18"/>
                <w:szCs w:val="18"/>
                <w:lang w:eastAsia="en-AU"/>
              </w:rPr>
              <m:t>i</m:t>
            </m:r>
          </m:sub>
        </m:sSub>
      </m:oMath>
      <w:r w:rsidRPr="00721EB3">
        <w:rPr>
          <w:w w:val="105"/>
          <w:sz w:val="18"/>
          <w:szCs w:val="18"/>
        </w:rPr>
        <w:t xml:space="preserve">, the vector representing </w:t>
      </w:r>
      <w:r w:rsidR="005F539B" w:rsidRPr="00721EB3">
        <w:rPr>
          <w:w w:val="105"/>
          <w:sz w:val="18"/>
          <w:szCs w:val="18"/>
        </w:rPr>
        <w:t xml:space="preserve">multidimensional </w:t>
      </w:r>
      <w:r w:rsidR="0097512D" w:rsidRPr="00721EB3">
        <w:rPr>
          <w:w w:val="105"/>
          <w:sz w:val="18"/>
          <w:szCs w:val="18"/>
        </w:rPr>
        <w:t>socio-economic</w:t>
      </w:r>
      <w:r w:rsidR="00124934" w:rsidRPr="00721EB3">
        <w:rPr>
          <w:w w:val="105"/>
          <w:sz w:val="18"/>
          <w:szCs w:val="18"/>
        </w:rPr>
        <w:t xml:space="preserve"> backgrounds</w:t>
      </w:r>
      <w:r w:rsidRPr="00721EB3">
        <w:rPr>
          <w:w w:val="105"/>
          <w:sz w:val="18"/>
          <w:szCs w:val="18"/>
        </w:rPr>
        <w:t xml:space="preserve">, </w:t>
      </w:r>
      <w:r w:rsidR="00CF0FFC" w:rsidRPr="00721EB3">
        <w:rPr>
          <w:w w:val="105"/>
          <w:sz w:val="18"/>
          <w:szCs w:val="18"/>
        </w:rPr>
        <w:t>remain unchanged</w:t>
      </w:r>
      <w:r w:rsidRPr="00721EB3">
        <w:rPr>
          <w:w w:val="105"/>
          <w:sz w:val="18"/>
          <w:szCs w:val="18"/>
        </w:rPr>
        <w:t xml:space="preserve"> </w:t>
      </w:r>
      <w:r w:rsidR="00D815C8" w:rsidRPr="00721EB3">
        <w:rPr>
          <w:w w:val="105"/>
          <w:sz w:val="18"/>
          <w:szCs w:val="18"/>
        </w:rPr>
        <w:t>during</w:t>
      </w:r>
      <w:r w:rsidR="00C02A54" w:rsidRPr="00721EB3">
        <w:rPr>
          <w:w w:val="105"/>
          <w:sz w:val="18"/>
          <w:szCs w:val="18"/>
        </w:rPr>
        <w:t xml:space="preserve"> </w:t>
      </w:r>
      <w:r w:rsidRPr="00721EB3">
        <w:rPr>
          <w:w w:val="105"/>
          <w:sz w:val="18"/>
          <w:szCs w:val="18"/>
        </w:rPr>
        <w:t>adulthood</w:t>
      </w:r>
      <w:r w:rsidR="00ED2CE0" w:rsidRPr="00721EB3">
        <w:rPr>
          <w:w w:val="105"/>
          <w:sz w:val="18"/>
          <w:szCs w:val="18"/>
        </w:rPr>
        <w:t xml:space="preserve">. </w:t>
      </w:r>
      <w:r w:rsidR="002107B0" w:rsidRPr="00721EB3">
        <w:rPr>
          <w:w w:val="105"/>
          <w:sz w:val="18"/>
          <w:szCs w:val="18"/>
        </w:rPr>
        <w:t>Therefore</w:t>
      </w:r>
      <w:r w:rsidR="00ED2CE0" w:rsidRPr="00721EB3">
        <w:rPr>
          <w:w w:val="105"/>
          <w:sz w:val="18"/>
          <w:szCs w:val="18"/>
        </w:rPr>
        <w:t>, the vector of</w:t>
      </w:r>
      <w:r w:rsidR="00ED2CE0" w:rsidRPr="00721EB3">
        <w:rPr>
          <w:sz w:val="18"/>
          <w:szCs w:val="18"/>
        </w:rPr>
        <w:t xml:space="preserve"> </w:t>
      </w:r>
      <m:oMath>
        <m:sSub>
          <m:sSubPr>
            <m:ctrlPr>
              <w:rPr>
                <w:rFonts w:ascii="Cambria Math" w:hAnsi="Cambria Math"/>
                <w:w w:val="105"/>
                <w:sz w:val="18"/>
                <w:szCs w:val="18"/>
              </w:rPr>
            </m:ctrlPr>
          </m:sSubPr>
          <m:e>
            <m:r>
              <w:rPr>
                <w:rFonts w:ascii="Cambria Math" w:hAnsi="Cambria Math"/>
                <w:w w:val="105"/>
                <w:sz w:val="18"/>
                <w:szCs w:val="18"/>
              </w:rPr>
              <m:t>β</m:t>
            </m:r>
          </m:e>
          <m:sub>
            <m:r>
              <m:rPr>
                <m:sty m:val="p"/>
              </m:rPr>
              <w:rPr>
                <w:rFonts w:ascii="Cambria Math" w:hAnsi="Cambria Math"/>
                <w:w w:val="105"/>
                <w:sz w:val="18"/>
                <w:szCs w:val="18"/>
              </w:rPr>
              <m:t>1</m:t>
            </m:r>
          </m:sub>
        </m:sSub>
      </m:oMath>
      <w:r w:rsidR="003705A8" w:rsidRPr="00721EB3">
        <w:rPr>
          <w:sz w:val="18"/>
          <w:szCs w:val="18"/>
        </w:rPr>
        <w:t xml:space="preserve"> </w:t>
      </w:r>
      <w:r w:rsidR="003705A8" w:rsidRPr="00721EB3">
        <w:rPr>
          <w:w w:val="105"/>
          <w:sz w:val="18"/>
          <w:szCs w:val="18"/>
        </w:rPr>
        <w:t xml:space="preserve">would </w:t>
      </w:r>
      <w:r w:rsidR="00CE055D" w:rsidRPr="00721EB3">
        <w:rPr>
          <w:w w:val="105"/>
          <w:sz w:val="18"/>
          <w:szCs w:val="18"/>
        </w:rPr>
        <w:t xml:space="preserve">not be identified in a </w:t>
      </w:r>
      <w:r w:rsidR="000A71E0" w:rsidRPr="00721EB3">
        <w:rPr>
          <w:w w:val="105"/>
          <w:sz w:val="18"/>
          <w:szCs w:val="18"/>
        </w:rPr>
        <w:t>FE</w:t>
      </w:r>
      <w:r w:rsidR="00CE055D" w:rsidRPr="00721EB3">
        <w:rPr>
          <w:w w:val="105"/>
          <w:sz w:val="18"/>
          <w:szCs w:val="18"/>
        </w:rPr>
        <w:t xml:space="preserve"> model</w:t>
      </w:r>
      <w:r w:rsidRPr="00721EB3">
        <w:rPr>
          <w:w w:val="105"/>
          <w:sz w:val="18"/>
          <w:szCs w:val="18"/>
        </w:rPr>
        <w:t>.</w:t>
      </w:r>
    </w:p>
  </w:footnote>
  <w:footnote w:id="11">
    <w:p w14:paraId="2B0E9643" w14:textId="272317BE" w:rsidR="00ED41F9" w:rsidRDefault="00ED41F9" w:rsidP="00ED41F9">
      <w:pPr>
        <w:pStyle w:val="FootnoteText"/>
      </w:pPr>
      <w:r w:rsidRPr="00721EB3">
        <w:rPr>
          <w:rStyle w:val="FootnoteReference"/>
          <w:sz w:val="18"/>
          <w:szCs w:val="18"/>
        </w:rPr>
        <w:footnoteRef/>
      </w:r>
      <w:r w:rsidRPr="00721EB3">
        <w:rPr>
          <w:sz w:val="18"/>
          <w:szCs w:val="18"/>
        </w:rPr>
        <w:t xml:space="preserve"> </w:t>
      </w:r>
      <w:r w:rsidR="003B4E08" w:rsidRPr="00721EB3">
        <w:rPr>
          <w:w w:val="105"/>
          <w:sz w:val="18"/>
          <w:szCs w:val="18"/>
        </w:rPr>
        <w:t xml:space="preserve">As </w:t>
      </w:r>
      <w:r w:rsidR="00CE2795" w:rsidRPr="00721EB3">
        <w:rPr>
          <w:w w:val="105"/>
          <w:sz w:val="18"/>
          <w:szCs w:val="18"/>
        </w:rPr>
        <w:t>explained</w:t>
      </w:r>
      <w:r w:rsidR="003B4E08" w:rsidRPr="00721EB3">
        <w:rPr>
          <w:w w:val="105"/>
          <w:sz w:val="18"/>
          <w:szCs w:val="18"/>
        </w:rPr>
        <w:t xml:space="preserve"> in Section 5.1, data on university fields of study are available in waves 12, 16, and 20 of the HILDA Survey.</w:t>
      </w:r>
    </w:p>
  </w:footnote>
  <w:footnote w:id="12">
    <w:p w14:paraId="7AFC05BC" w14:textId="57835919" w:rsidR="00104EED" w:rsidRPr="00721EB3" w:rsidRDefault="00104EED" w:rsidP="00B76CDF">
      <w:pPr>
        <w:spacing w:line="240" w:lineRule="auto"/>
        <w:rPr>
          <w:rFonts w:eastAsia="Arial" w:cs="Arial"/>
          <w:w w:val="105"/>
          <w:kern w:val="0"/>
          <w:sz w:val="18"/>
          <w:szCs w:val="18"/>
          <w14:ligatures w14:val="none"/>
        </w:rPr>
      </w:pPr>
      <w:r w:rsidRPr="00721EB3">
        <w:rPr>
          <w:rStyle w:val="FootnoteReference"/>
          <w:sz w:val="18"/>
          <w:szCs w:val="18"/>
        </w:rPr>
        <w:footnoteRef/>
      </w:r>
      <w:r w:rsidRPr="00721EB3">
        <w:rPr>
          <w:sz w:val="18"/>
          <w:szCs w:val="18"/>
        </w:rPr>
        <w:t xml:space="preserve"> </w:t>
      </w:r>
      <w:r w:rsidR="00246708" w:rsidRPr="00721EB3">
        <w:rPr>
          <w:rFonts w:eastAsia="Arial" w:cs="Arial"/>
          <w:w w:val="105"/>
          <w:kern w:val="0"/>
          <w:sz w:val="18"/>
          <w:szCs w:val="18"/>
          <w14:ligatures w14:val="none"/>
        </w:rPr>
        <w:t xml:space="preserve">It is important to note that the three variables </w:t>
      </w:r>
      <w:r w:rsidR="006D4312" w:rsidRPr="00721EB3">
        <w:rPr>
          <w:rFonts w:eastAsia="Arial" w:cs="Arial"/>
          <w:w w:val="105"/>
          <w:kern w:val="0"/>
          <w:sz w:val="18"/>
          <w:szCs w:val="18"/>
          <w14:ligatures w14:val="none"/>
        </w:rPr>
        <w:t>analysed</w:t>
      </w:r>
      <w:r w:rsidR="00246708" w:rsidRPr="00721EB3">
        <w:rPr>
          <w:rFonts w:eastAsia="Arial" w:cs="Arial"/>
          <w:w w:val="105"/>
          <w:kern w:val="0"/>
          <w:sz w:val="18"/>
          <w:szCs w:val="18"/>
          <w14:ligatures w14:val="none"/>
        </w:rPr>
        <w:t xml:space="preserve"> in Figures 1–3 capture different aspects </w:t>
      </w:r>
      <w:r w:rsidR="00941248" w:rsidRPr="00721EB3">
        <w:rPr>
          <w:rFonts w:eastAsia="Arial" w:cs="Arial"/>
          <w:w w:val="105"/>
          <w:kern w:val="0"/>
          <w:sz w:val="18"/>
          <w:szCs w:val="18"/>
          <w14:ligatures w14:val="none"/>
        </w:rPr>
        <w:t xml:space="preserve">of </w:t>
      </w:r>
      <w:r w:rsidR="004343F3" w:rsidRPr="00721EB3">
        <w:rPr>
          <w:rFonts w:eastAsia="Arial" w:cs="Arial"/>
          <w:w w:val="105"/>
          <w:kern w:val="0"/>
          <w:sz w:val="18"/>
          <w:szCs w:val="18"/>
          <w14:ligatures w14:val="none"/>
        </w:rPr>
        <w:t>labour market</w:t>
      </w:r>
      <w:r w:rsidR="00C57AF8" w:rsidRPr="00721EB3">
        <w:rPr>
          <w:rFonts w:eastAsia="Arial" w:cs="Arial"/>
          <w:w w:val="105"/>
          <w:kern w:val="0"/>
          <w:sz w:val="18"/>
          <w:szCs w:val="18"/>
          <w14:ligatures w14:val="none"/>
        </w:rPr>
        <w:t xml:space="preserve"> performance.</w:t>
      </w:r>
      <w:r w:rsidR="00246708" w:rsidRPr="00721EB3">
        <w:rPr>
          <w:rFonts w:eastAsia="Arial" w:cs="Arial"/>
          <w:w w:val="105"/>
          <w:kern w:val="0"/>
          <w:sz w:val="18"/>
          <w:szCs w:val="18"/>
          <w14:ligatures w14:val="none"/>
        </w:rPr>
        <w:t xml:space="preserve"> For </w:t>
      </w:r>
      <w:r w:rsidR="00025906" w:rsidRPr="00721EB3">
        <w:rPr>
          <w:rFonts w:eastAsia="Arial" w:cs="Arial"/>
          <w:w w:val="105"/>
          <w:kern w:val="0"/>
          <w:sz w:val="18"/>
          <w:szCs w:val="18"/>
          <w14:ligatures w14:val="none"/>
        </w:rPr>
        <w:t>example</w:t>
      </w:r>
      <w:r w:rsidR="00246708" w:rsidRPr="00721EB3">
        <w:rPr>
          <w:rFonts w:eastAsia="Arial" w:cs="Arial"/>
          <w:w w:val="105"/>
          <w:kern w:val="0"/>
          <w:sz w:val="18"/>
          <w:szCs w:val="18"/>
          <w14:ligatures w14:val="none"/>
        </w:rPr>
        <w:t xml:space="preserve">, while graduates in Food, </w:t>
      </w:r>
      <w:r w:rsidR="00F95350" w:rsidRPr="00721EB3">
        <w:rPr>
          <w:rFonts w:eastAsia="Arial" w:cs="Arial"/>
          <w:w w:val="105"/>
          <w:kern w:val="0"/>
          <w:sz w:val="18"/>
          <w:szCs w:val="18"/>
          <w14:ligatures w14:val="none"/>
        </w:rPr>
        <w:t>H</w:t>
      </w:r>
      <w:r w:rsidR="00246708" w:rsidRPr="00721EB3">
        <w:rPr>
          <w:rFonts w:eastAsia="Arial" w:cs="Arial"/>
          <w:w w:val="105"/>
          <w:kern w:val="0"/>
          <w:sz w:val="18"/>
          <w:szCs w:val="18"/>
          <w14:ligatures w14:val="none"/>
        </w:rPr>
        <w:t xml:space="preserve">ospitality, and </w:t>
      </w:r>
      <w:r w:rsidR="00F95350" w:rsidRPr="00721EB3">
        <w:rPr>
          <w:rFonts w:eastAsia="Arial" w:cs="Arial"/>
          <w:w w:val="105"/>
          <w:kern w:val="0"/>
          <w:sz w:val="18"/>
          <w:szCs w:val="18"/>
          <w14:ligatures w14:val="none"/>
        </w:rPr>
        <w:t>P</w:t>
      </w:r>
      <w:r w:rsidR="00246708" w:rsidRPr="00721EB3">
        <w:rPr>
          <w:rFonts w:eastAsia="Arial" w:cs="Arial"/>
          <w:w w:val="105"/>
          <w:kern w:val="0"/>
          <w:sz w:val="18"/>
          <w:szCs w:val="18"/>
          <w14:ligatures w14:val="none"/>
        </w:rPr>
        <w:t xml:space="preserve">ersonal </w:t>
      </w:r>
      <w:r w:rsidR="00F95350" w:rsidRPr="00721EB3">
        <w:rPr>
          <w:rFonts w:eastAsia="Arial" w:cs="Arial"/>
          <w:w w:val="105"/>
          <w:kern w:val="0"/>
          <w:sz w:val="18"/>
          <w:szCs w:val="18"/>
          <w14:ligatures w14:val="none"/>
        </w:rPr>
        <w:t>S</w:t>
      </w:r>
      <w:r w:rsidR="00246708" w:rsidRPr="00721EB3">
        <w:rPr>
          <w:rFonts w:eastAsia="Arial" w:cs="Arial"/>
          <w:w w:val="105"/>
          <w:kern w:val="0"/>
          <w:sz w:val="18"/>
          <w:szCs w:val="18"/>
          <w14:ligatures w14:val="none"/>
        </w:rPr>
        <w:t xml:space="preserve">ervices have one of the highest full-time employment rates, they are the least likely to be employed in managerial or professional occupations. Similarly, </w:t>
      </w:r>
      <w:r w:rsidR="004A03F9" w:rsidRPr="00721EB3">
        <w:rPr>
          <w:rFonts w:eastAsia="Arial" w:cs="Arial"/>
          <w:w w:val="105"/>
          <w:kern w:val="0"/>
          <w:sz w:val="18"/>
          <w:szCs w:val="18"/>
          <w14:ligatures w14:val="none"/>
        </w:rPr>
        <w:t>while</w:t>
      </w:r>
      <w:r w:rsidR="00246708" w:rsidRPr="00721EB3">
        <w:rPr>
          <w:rFonts w:eastAsia="Arial" w:cs="Arial"/>
          <w:w w:val="105"/>
          <w:kern w:val="0"/>
          <w:sz w:val="18"/>
          <w:szCs w:val="18"/>
          <w14:ligatures w14:val="none"/>
        </w:rPr>
        <w:t xml:space="preserve"> graduates in Nursing have the lowest probability of securing full-time employment, they are </w:t>
      </w:r>
      <w:r w:rsidR="009A23E8" w:rsidRPr="00721EB3">
        <w:rPr>
          <w:rFonts w:eastAsia="Arial" w:cs="Arial"/>
          <w:w w:val="105"/>
          <w:kern w:val="0"/>
          <w:sz w:val="18"/>
          <w:szCs w:val="18"/>
          <w14:ligatures w14:val="none"/>
        </w:rPr>
        <w:t xml:space="preserve">ten </w:t>
      </w:r>
      <w:r w:rsidR="00246708" w:rsidRPr="00721EB3">
        <w:rPr>
          <w:rFonts w:eastAsia="Arial" w:cs="Arial"/>
          <w:w w:val="105"/>
          <w:kern w:val="0"/>
          <w:sz w:val="18"/>
          <w:szCs w:val="18"/>
          <w14:ligatures w14:val="none"/>
        </w:rPr>
        <w:t>percentage points more likely than the sample average to h</w:t>
      </w:r>
      <w:r w:rsidR="00025906" w:rsidRPr="00721EB3">
        <w:rPr>
          <w:rFonts w:eastAsia="Arial" w:cs="Arial"/>
          <w:w w:val="105"/>
          <w:kern w:val="0"/>
          <w:sz w:val="18"/>
          <w:szCs w:val="18"/>
          <w14:ligatures w14:val="none"/>
        </w:rPr>
        <w:t>ave</w:t>
      </w:r>
      <w:r w:rsidR="00246708" w:rsidRPr="00721EB3">
        <w:rPr>
          <w:rFonts w:eastAsia="Arial" w:cs="Arial"/>
          <w:w w:val="105"/>
          <w:kern w:val="0"/>
          <w:sz w:val="18"/>
          <w:szCs w:val="18"/>
          <w14:ligatures w14:val="none"/>
        </w:rPr>
        <w:t xml:space="preserve"> a permanent or ongoing job.</w:t>
      </w:r>
    </w:p>
  </w:footnote>
  <w:footnote w:id="13">
    <w:p w14:paraId="21EF3929" w14:textId="7F033741" w:rsidR="00C57173" w:rsidRPr="00B47946" w:rsidRDefault="00C57173" w:rsidP="00C57173">
      <w:pPr>
        <w:pStyle w:val="FootnoteText"/>
        <w:rPr>
          <w:w w:val="105"/>
          <w:sz w:val="18"/>
          <w:szCs w:val="18"/>
        </w:rPr>
      </w:pPr>
      <w:r w:rsidRPr="00B47946">
        <w:rPr>
          <w:rStyle w:val="FootnoteReference"/>
          <w:sz w:val="18"/>
          <w:szCs w:val="18"/>
        </w:rPr>
        <w:footnoteRef/>
      </w:r>
      <w:r w:rsidRPr="00B47946">
        <w:rPr>
          <w:sz w:val="18"/>
          <w:szCs w:val="18"/>
        </w:rPr>
        <w:t xml:space="preserve"> </w:t>
      </w:r>
      <w:r w:rsidR="007A1268" w:rsidRPr="00B47946">
        <w:rPr>
          <w:w w:val="105"/>
          <w:sz w:val="18"/>
          <w:szCs w:val="18"/>
        </w:rPr>
        <w:t xml:space="preserve">We choose 1980 as the cut-off point so that we have about 50% of the sample on each side of it. </w:t>
      </w:r>
    </w:p>
  </w:footnote>
  <w:footnote w:id="14">
    <w:p w14:paraId="1DA4F0CE" w14:textId="64FDF0D7" w:rsidR="007F5B3C" w:rsidRDefault="007F5B3C" w:rsidP="007F5B3C">
      <w:pPr>
        <w:pStyle w:val="FootnoteText"/>
      </w:pPr>
      <w:r w:rsidRPr="00B47946">
        <w:rPr>
          <w:rStyle w:val="FootnoteReference"/>
          <w:sz w:val="18"/>
          <w:szCs w:val="18"/>
        </w:rPr>
        <w:footnoteRef/>
      </w:r>
      <w:r w:rsidRPr="00B47946">
        <w:rPr>
          <w:sz w:val="18"/>
          <w:szCs w:val="18"/>
        </w:rPr>
        <w:t xml:space="preserve"> </w:t>
      </w:r>
      <w:r w:rsidR="00D96395" w:rsidRPr="00B47946">
        <w:rPr>
          <w:w w:val="105"/>
          <w:sz w:val="18"/>
          <w:szCs w:val="18"/>
        </w:rPr>
        <w:t>With</w:t>
      </w:r>
      <w:r w:rsidR="00AF0E47" w:rsidRPr="00B47946">
        <w:rPr>
          <w:w w:val="105"/>
          <w:sz w:val="18"/>
          <w:szCs w:val="18"/>
        </w:rPr>
        <w:t xml:space="preserve"> the detailed breakdown of 15 fields, some categories may </w:t>
      </w:r>
      <w:r w:rsidR="00497D35" w:rsidRPr="00B47946">
        <w:rPr>
          <w:w w:val="105"/>
          <w:sz w:val="18"/>
          <w:szCs w:val="18"/>
        </w:rPr>
        <w:t>have</w:t>
      </w:r>
      <w:r w:rsidR="00AF0E47" w:rsidRPr="00B47946">
        <w:rPr>
          <w:w w:val="105"/>
          <w:sz w:val="18"/>
          <w:szCs w:val="18"/>
        </w:rPr>
        <w:t xml:space="preserve"> too few observations for </w:t>
      </w:r>
      <w:r w:rsidR="00D96395" w:rsidRPr="00B47946">
        <w:rPr>
          <w:w w:val="105"/>
          <w:sz w:val="18"/>
          <w:szCs w:val="18"/>
        </w:rPr>
        <w:t xml:space="preserve">a </w:t>
      </w:r>
      <w:r w:rsidR="00AF0E47" w:rsidRPr="00B47946">
        <w:rPr>
          <w:w w:val="105"/>
          <w:sz w:val="18"/>
          <w:szCs w:val="18"/>
        </w:rPr>
        <w:t>meaningful analysis. Nevertheless, t</w:t>
      </w:r>
      <w:r w:rsidR="009B2078" w:rsidRPr="00B47946">
        <w:rPr>
          <w:w w:val="105"/>
          <w:sz w:val="18"/>
          <w:szCs w:val="18"/>
        </w:rPr>
        <w:t xml:space="preserve">he distribution of the 15 detailed fields of study by </w:t>
      </w:r>
      <w:r w:rsidR="0097512D" w:rsidRPr="00B47946">
        <w:rPr>
          <w:w w:val="105"/>
          <w:sz w:val="18"/>
          <w:szCs w:val="18"/>
        </w:rPr>
        <w:t>socio-economic</w:t>
      </w:r>
      <w:r w:rsidR="0079253F" w:rsidRPr="00B47946">
        <w:rPr>
          <w:w w:val="105"/>
          <w:sz w:val="18"/>
          <w:szCs w:val="18"/>
        </w:rPr>
        <w:t xml:space="preserve"> background</w:t>
      </w:r>
      <w:r w:rsidR="009B2078" w:rsidRPr="00B47946">
        <w:rPr>
          <w:w w:val="105"/>
          <w:sz w:val="18"/>
          <w:szCs w:val="18"/>
        </w:rPr>
        <w:t xml:space="preserve"> is shown</w:t>
      </w:r>
      <w:r w:rsidRPr="00B47946">
        <w:rPr>
          <w:w w:val="105"/>
          <w:sz w:val="18"/>
          <w:szCs w:val="18"/>
        </w:rPr>
        <w:t xml:space="preserve"> in</w:t>
      </w:r>
      <w:r w:rsidR="00205C82" w:rsidRPr="00B47946">
        <w:rPr>
          <w:w w:val="105"/>
          <w:sz w:val="18"/>
          <w:szCs w:val="18"/>
        </w:rPr>
        <w:t xml:space="preserve"> Appendix</w:t>
      </w:r>
      <w:r w:rsidRPr="00B47946">
        <w:rPr>
          <w:w w:val="105"/>
          <w:sz w:val="18"/>
          <w:szCs w:val="18"/>
        </w:rPr>
        <w:t xml:space="preserve"> </w:t>
      </w:r>
      <w:r w:rsidR="0059604B" w:rsidRPr="00B47946">
        <w:rPr>
          <w:w w:val="105"/>
          <w:sz w:val="18"/>
          <w:szCs w:val="18"/>
        </w:rPr>
        <w:t>Table 2</w:t>
      </w:r>
      <w:r w:rsidRPr="00B47946">
        <w:rPr>
          <w:w w:val="105"/>
          <w:sz w:val="18"/>
          <w:szCs w:val="18"/>
        </w:rPr>
        <w:t>.</w:t>
      </w:r>
    </w:p>
  </w:footnote>
  <w:footnote w:id="15">
    <w:p w14:paraId="7A5A6BC0" w14:textId="3E845286" w:rsidR="006C0505" w:rsidRDefault="006C0505">
      <w:pPr>
        <w:pStyle w:val="FootnoteText"/>
      </w:pPr>
      <w:r w:rsidRPr="005D3C9B">
        <w:rPr>
          <w:rStyle w:val="FootnoteReference"/>
          <w:sz w:val="18"/>
          <w:szCs w:val="18"/>
        </w:rPr>
        <w:footnoteRef/>
      </w:r>
      <w:r w:rsidRPr="005D3C9B">
        <w:rPr>
          <w:sz w:val="18"/>
          <w:szCs w:val="18"/>
        </w:rPr>
        <w:t xml:space="preserve"> In the literature, </w:t>
      </w:r>
      <w:r w:rsidRPr="005D3C9B">
        <w:rPr>
          <w:w w:val="105"/>
          <w:sz w:val="18"/>
          <w:szCs w:val="18"/>
        </w:rPr>
        <w:t xml:space="preserve">Nguyen et al. (2025) also found that children of immigrant parents from NESB initially earn less than their </w:t>
      </w:r>
      <w:r w:rsidR="001641F6" w:rsidRPr="005D3C9B">
        <w:rPr>
          <w:w w:val="105"/>
          <w:sz w:val="18"/>
          <w:szCs w:val="18"/>
        </w:rPr>
        <w:t>counterparts</w:t>
      </w:r>
      <w:r w:rsidRPr="005D3C9B">
        <w:rPr>
          <w:w w:val="105"/>
          <w:sz w:val="18"/>
          <w:szCs w:val="18"/>
        </w:rPr>
        <w:t xml:space="preserve"> with Australian-born parents at ages 21–22. However, this earnings gap narrows by ages 23–24 and reverses by 26–27, with the children of NESB fathers earning more than their counterparts by ages 28–29.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60004"/>
    <w:multiLevelType w:val="hybridMultilevel"/>
    <w:tmpl w:val="D5D4BB06"/>
    <w:lvl w:ilvl="0" w:tplc="75327F46">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4F3228"/>
    <w:multiLevelType w:val="hybridMultilevel"/>
    <w:tmpl w:val="AAF04B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8CA27F0"/>
    <w:multiLevelType w:val="hybridMultilevel"/>
    <w:tmpl w:val="A254E9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B1232E2"/>
    <w:multiLevelType w:val="hybridMultilevel"/>
    <w:tmpl w:val="8E1A07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16F23AB"/>
    <w:multiLevelType w:val="multilevel"/>
    <w:tmpl w:val="0E842DE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5221CF9"/>
    <w:multiLevelType w:val="hybridMultilevel"/>
    <w:tmpl w:val="575A924E"/>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C1F42C8"/>
    <w:multiLevelType w:val="hybridMultilevel"/>
    <w:tmpl w:val="8D3EED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38743D1"/>
    <w:multiLevelType w:val="hybridMultilevel"/>
    <w:tmpl w:val="FD263F72"/>
    <w:lvl w:ilvl="0" w:tplc="DF4E46F8">
      <w:start w:val="1"/>
      <w:numFmt w:val="decimal"/>
      <w:lvlText w:val="%1)"/>
      <w:lvlJc w:val="left"/>
      <w:pPr>
        <w:ind w:left="757" w:hanging="360"/>
      </w:pPr>
      <w:rPr>
        <w:rFonts w:hint="default"/>
      </w:rPr>
    </w:lvl>
    <w:lvl w:ilvl="1" w:tplc="0C090019" w:tentative="1">
      <w:start w:val="1"/>
      <w:numFmt w:val="lowerLetter"/>
      <w:lvlText w:val="%2."/>
      <w:lvlJc w:val="left"/>
      <w:pPr>
        <w:ind w:left="1477" w:hanging="360"/>
      </w:pPr>
    </w:lvl>
    <w:lvl w:ilvl="2" w:tplc="0C09001B" w:tentative="1">
      <w:start w:val="1"/>
      <w:numFmt w:val="lowerRoman"/>
      <w:lvlText w:val="%3."/>
      <w:lvlJc w:val="right"/>
      <w:pPr>
        <w:ind w:left="2197" w:hanging="180"/>
      </w:pPr>
    </w:lvl>
    <w:lvl w:ilvl="3" w:tplc="0C09000F" w:tentative="1">
      <w:start w:val="1"/>
      <w:numFmt w:val="decimal"/>
      <w:lvlText w:val="%4."/>
      <w:lvlJc w:val="left"/>
      <w:pPr>
        <w:ind w:left="2917" w:hanging="360"/>
      </w:pPr>
    </w:lvl>
    <w:lvl w:ilvl="4" w:tplc="0C090019" w:tentative="1">
      <w:start w:val="1"/>
      <w:numFmt w:val="lowerLetter"/>
      <w:lvlText w:val="%5."/>
      <w:lvlJc w:val="left"/>
      <w:pPr>
        <w:ind w:left="3637" w:hanging="360"/>
      </w:pPr>
    </w:lvl>
    <w:lvl w:ilvl="5" w:tplc="0C09001B" w:tentative="1">
      <w:start w:val="1"/>
      <w:numFmt w:val="lowerRoman"/>
      <w:lvlText w:val="%6."/>
      <w:lvlJc w:val="right"/>
      <w:pPr>
        <w:ind w:left="4357" w:hanging="180"/>
      </w:pPr>
    </w:lvl>
    <w:lvl w:ilvl="6" w:tplc="0C09000F" w:tentative="1">
      <w:start w:val="1"/>
      <w:numFmt w:val="decimal"/>
      <w:lvlText w:val="%7."/>
      <w:lvlJc w:val="left"/>
      <w:pPr>
        <w:ind w:left="5077" w:hanging="360"/>
      </w:pPr>
    </w:lvl>
    <w:lvl w:ilvl="7" w:tplc="0C090019" w:tentative="1">
      <w:start w:val="1"/>
      <w:numFmt w:val="lowerLetter"/>
      <w:lvlText w:val="%8."/>
      <w:lvlJc w:val="left"/>
      <w:pPr>
        <w:ind w:left="5797" w:hanging="360"/>
      </w:pPr>
    </w:lvl>
    <w:lvl w:ilvl="8" w:tplc="0C09001B" w:tentative="1">
      <w:start w:val="1"/>
      <w:numFmt w:val="lowerRoman"/>
      <w:lvlText w:val="%9."/>
      <w:lvlJc w:val="right"/>
      <w:pPr>
        <w:ind w:left="6517" w:hanging="180"/>
      </w:pPr>
    </w:lvl>
  </w:abstractNum>
  <w:abstractNum w:abstractNumId="8" w15:restartNumberingAfterBreak="0">
    <w:nsid w:val="46766605"/>
    <w:multiLevelType w:val="hybridMultilevel"/>
    <w:tmpl w:val="24AADD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83310B0"/>
    <w:multiLevelType w:val="hybridMultilevel"/>
    <w:tmpl w:val="A768CC72"/>
    <w:lvl w:ilvl="0" w:tplc="158E6E2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0D40AD1"/>
    <w:multiLevelType w:val="multilevel"/>
    <w:tmpl w:val="303CF7C4"/>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1021" w:hanging="1021"/>
      </w:pPr>
    </w:lvl>
    <w:lvl w:ilvl="3">
      <w:start w:val="1"/>
      <w:numFmt w:val="decimal"/>
      <w:pStyle w:val="Heading4"/>
      <w:lvlText w:val="%1.%2.%3.%4"/>
      <w:lvlJc w:val="left"/>
      <w:pPr>
        <w:ind w:left="1304" w:hanging="130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50EA6B3C"/>
    <w:multiLevelType w:val="hybridMultilevel"/>
    <w:tmpl w:val="6A4C4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4AD26DA"/>
    <w:multiLevelType w:val="hybridMultilevel"/>
    <w:tmpl w:val="87C6570E"/>
    <w:lvl w:ilvl="0" w:tplc="151C15EC">
      <w:start w:val="1"/>
      <w:numFmt w:val="decimal"/>
      <w:pStyle w:val="ANZSOGNumberedText"/>
      <w:lvlText w:val="%1."/>
      <w:lvlJc w:val="left"/>
      <w:pPr>
        <w:tabs>
          <w:tab w:val="num" w:pos="340"/>
        </w:tabs>
        <w:ind w:left="340" w:hanging="34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DC2CA1"/>
    <w:multiLevelType w:val="multilevel"/>
    <w:tmpl w:val="CEF64B56"/>
    <w:lvl w:ilvl="0">
      <w:start w:val="1"/>
      <w:numFmt w:val="decimal"/>
      <w:lvlText w:val="%1."/>
      <w:lvlJc w:val="left"/>
      <w:pPr>
        <w:ind w:left="720" w:hanging="360"/>
      </w:p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C642B11"/>
    <w:multiLevelType w:val="hybridMultilevel"/>
    <w:tmpl w:val="C6AE7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C76A47"/>
    <w:multiLevelType w:val="hybridMultilevel"/>
    <w:tmpl w:val="09E02716"/>
    <w:lvl w:ilvl="0" w:tplc="DD86EC7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5037F02"/>
    <w:multiLevelType w:val="multilevel"/>
    <w:tmpl w:val="6540A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3A71D5"/>
    <w:multiLevelType w:val="hybridMultilevel"/>
    <w:tmpl w:val="AD60E2B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A8F2BEE"/>
    <w:multiLevelType w:val="hybridMultilevel"/>
    <w:tmpl w:val="47501448"/>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CCB6EF8"/>
    <w:multiLevelType w:val="hybridMultilevel"/>
    <w:tmpl w:val="BEB48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BF7DB5"/>
    <w:multiLevelType w:val="hybridMultilevel"/>
    <w:tmpl w:val="DA8A97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4A11469"/>
    <w:multiLevelType w:val="hybridMultilevel"/>
    <w:tmpl w:val="7FE28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64516BD"/>
    <w:multiLevelType w:val="hybridMultilevel"/>
    <w:tmpl w:val="02F0200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8203C64"/>
    <w:multiLevelType w:val="hybridMultilevel"/>
    <w:tmpl w:val="1F3E0544"/>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D9045F9"/>
    <w:multiLevelType w:val="hybridMultilevel"/>
    <w:tmpl w:val="024C639E"/>
    <w:lvl w:ilvl="0" w:tplc="0FF44F86">
      <w:start w:val="1"/>
      <w:numFmt w:val="bullet"/>
      <w:pStyle w:val="ListParagraph"/>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56818995">
    <w:abstractNumId w:val="4"/>
  </w:num>
  <w:num w:numId="2" w16cid:durableId="2019577000">
    <w:abstractNumId w:val="4"/>
  </w:num>
  <w:num w:numId="3" w16cid:durableId="1679231932">
    <w:abstractNumId w:val="4"/>
  </w:num>
  <w:num w:numId="4" w16cid:durableId="1118719434">
    <w:abstractNumId w:val="4"/>
  </w:num>
  <w:num w:numId="5" w16cid:durableId="1094285619">
    <w:abstractNumId w:val="4"/>
  </w:num>
  <w:num w:numId="6" w16cid:durableId="2005279948">
    <w:abstractNumId w:val="4"/>
  </w:num>
  <w:num w:numId="7" w16cid:durableId="1102409569">
    <w:abstractNumId w:val="4"/>
  </w:num>
  <w:num w:numId="8" w16cid:durableId="682828340">
    <w:abstractNumId w:val="4"/>
  </w:num>
  <w:num w:numId="9" w16cid:durableId="143091166">
    <w:abstractNumId w:val="4"/>
  </w:num>
  <w:num w:numId="10" w16cid:durableId="1429109473">
    <w:abstractNumId w:val="24"/>
  </w:num>
  <w:num w:numId="11" w16cid:durableId="1153133941">
    <w:abstractNumId w:val="18"/>
  </w:num>
  <w:num w:numId="12" w16cid:durableId="1693603539">
    <w:abstractNumId w:val="13"/>
  </w:num>
  <w:num w:numId="13" w16cid:durableId="133181503">
    <w:abstractNumId w:val="4"/>
  </w:num>
  <w:num w:numId="14" w16cid:durableId="39017471">
    <w:abstractNumId w:val="4"/>
  </w:num>
  <w:num w:numId="15" w16cid:durableId="26638077">
    <w:abstractNumId w:val="4"/>
  </w:num>
  <w:num w:numId="16" w16cid:durableId="1965035220">
    <w:abstractNumId w:val="4"/>
  </w:num>
  <w:num w:numId="17" w16cid:durableId="1335916213">
    <w:abstractNumId w:val="4"/>
  </w:num>
  <w:num w:numId="18" w16cid:durableId="299649766">
    <w:abstractNumId w:val="4"/>
  </w:num>
  <w:num w:numId="19" w16cid:durableId="1521237232">
    <w:abstractNumId w:val="4"/>
  </w:num>
  <w:num w:numId="20" w16cid:durableId="172569004">
    <w:abstractNumId w:val="4"/>
  </w:num>
  <w:num w:numId="21" w16cid:durableId="601109960">
    <w:abstractNumId w:val="4"/>
  </w:num>
  <w:num w:numId="22" w16cid:durableId="1158837203">
    <w:abstractNumId w:val="24"/>
  </w:num>
  <w:num w:numId="23" w16cid:durableId="1263103749">
    <w:abstractNumId w:val="10"/>
  </w:num>
  <w:num w:numId="24" w16cid:durableId="1488203250">
    <w:abstractNumId w:val="12"/>
  </w:num>
  <w:num w:numId="25" w16cid:durableId="1553686426">
    <w:abstractNumId w:val="19"/>
  </w:num>
  <w:num w:numId="26" w16cid:durableId="751195540">
    <w:abstractNumId w:val="11"/>
  </w:num>
  <w:num w:numId="27" w16cid:durableId="1913151436">
    <w:abstractNumId w:val="10"/>
  </w:num>
  <w:num w:numId="28" w16cid:durableId="819882470">
    <w:abstractNumId w:val="16"/>
  </w:num>
  <w:num w:numId="29" w16cid:durableId="1158154201">
    <w:abstractNumId w:val="5"/>
  </w:num>
  <w:num w:numId="30" w16cid:durableId="2127775704">
    <w:abstractNumId w:val="15"/>
  </w:num>
  <w:num w:numId="31" w16cid:durableId="668487004">
    <w:abstractNumId w:val="22"/>
  </w:num>
  <w:num w:numId="32" w16cid:durableId="1438602179">
    <w:abstractNumId w:val="12"/>
  </w:num>
  <w:num w:numId="33" w16cid:durableId="1459183369">
    <w:abstractNumId w:val="0"/>
  </w:num>
  <w:num w:numId="34" w16cid:durableId="1747416925">
    <w:abstractNumId w:val="10"/>
  </w:num>
  <w:num w:numId="35" w16cid:durableId="446236804">
    <w:abstractNumId w:val="17"/>
  </w:num>
  <w:num w:numId="36" w16cid:durableId="953904071">
    <w:abstractNumId w:val="7"/>
  </w:num>
  <w:num w:numId="37" w16cid:durableId="1758019049">
    <w:abstractNumId w:val="14"/>
  </w:num>
  <w:num w:numId="38" w16cid:durableId="446042447">
    <w:abstractNumId w:val="23"/>
  </w:num>
  <w:num w:numId="39" w16cid:durableId="1990358049">
    <w:abstractNumId w:val="8"/>
  </w:num>
  <w:num w:numId="40" w16cid:durableId="433206102">
    <w:abstractNumId w:val="3"/>
  </w:num>
  <w:num w:numId="41" w16cid:durableId="1277787317">
    <w:abstractNumId w:val="21"/>
  </w:num>
  <w:num w:numId="42" w16cid:durableId="304939776">
    <w:abstractNumId w:val="6"/>
  </w:num>
  <w:num w:numId="43" w16cid:durableId="1947619056">
    <w:abstractNumId w:val="2"/>
  </w:num>
  <w:num w:numId="44" w16cid:durableId="1590965317">
    <w:abstractNumId w:val="20"/>
  </w:num>
  <w:num w:numId="45" w16cid:durableId="879172773">
    <w:abstractNumId w:val="1"/>
  </w:num>
  <w:num w:numId="46" w16cid:durableId="7599824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3FD"/>
    <w:rsid w:val="000004C5"/>
    <w:rsid w:val="000009B5"/>
    <w:rsid w:val="00000F44"/>
    <w:rsid w:val="00001E44"/>
    <w:rsid w:val="000029CE"/>
    <w:rsid w:val="00002E2D"/>
    <w:rsid w:val="0000325E"/>
    <w:rsid w:val="0000365E"/>
    <w:rsid w:val="00003B04"/>
    <w:rsid w:val="00003F91"/>
    <w:rsid w:val="00003FB9"/>
    <w:rsid w:val="00003FDB"/>
    <w:rsid w:val="00004105"/>
    <w:rsid w:val="00004887"/>
    <w:rsid w:val="000058D8"/>
    <w:rsid w:val="00005C8B"/>
    <w:rsid w:val="00005FC9"/>
    <w:rsid w:val="00006E27"/>
    <w:rsid w:val="00006E29"/>
    <w:rsid w:val="0000749B"/>
    <w:rsid w:val="00007666"/>
    <w:rsid w:val="00007AC6"/>
    <w:rsid w:val="00007B61"/>
    <w:rsid w:val="0001058C"/>
    <w:rsid w:val="00011131"/>
    <w:rsid w:val="00011226"/>
    <w:rsid w:val="000114D9"/>
    <w:rsid w:val="00012690"/>
    <w:rsid w:val="0001294A"/>
    <w:rsid w:val="000130EA"/>
    <w:rsid w:val="0001351B"/>
    <w:rsid w:val="00013733"/>
    <w:rsid w:val="0001377B"/>
    <w:rsid w:val="00013FF2"/>
    <w:rsid w:val="00014071"/>
    <w:rsid w:val="00014489"/>
    <w:rsid w:val="00014697"/>
    <w:rsid w:val="000151BD"/>
    <w:rsid w:val="0001534B"/>
    <w:rsid w:val="000156A3"/>
    <w:rsid w:val="000159D3"/>
    <w:rsid w:val="00015D14"/>
    <w:rsid w:val="00015D37"/>
    <w:rsid w:val="00015F62"/>
    <w:rsid w:val="000166A3"/>
    <w:rsid w:val="000166C6"/>
    <w:rsid w:val="00017667"/>
    <w:rsid w:val="00017D45"/>
    <w:rsid w:val="00017DE7"/>
    <w:rsid w:val="00017EFF"/>
    <w:rsid w:val="00017F38"/>
    <w:rsid w:val="000202F2"/>
    <w:rsid w:val="0002068C"/>
    <w:rsid w:val="00021288"/>
    <w:rsid w:val="00021D63"/>
    <w:rsid w:val="000230C8"/>
    <w:rsid w:val="000231C8"/>
    <w:rsid w:val="0002343F"/>
    <w:rsid w:val="00023782"/>
    <w:rsid w:val="00023BD5"/>
    <w:rsid w:val="00023F3D"/>
    <w:rsid w:val="00024831"/>
    <w:rsid w:val="00024F2C"/>
    <w:rsid w:val="00025906"/>
    <w:rsid w:val="00025B1B"/>
    <w:rsid w:val="00025C22"/>
    <w:rsid w:val="00026B19"/>
    <w:rsid w:val="00026DCA"/>
    <w:rsid w:val="0002736B"/>
    <w:rsid w:val="00027509"/>
    <w:rsid w:val="00027A59"/>
    <w:rsid w:val="00030097"/>
    <w:rsid w:val="0003100E"/>
    <w:rsid w:val="00031C47"/>
    <w:rsid w:val="00031E66"/>
    <w:rsid w:val="00031ED1"/>
    <w:rsid w:val="0003217F"/>
    <w:rsid w:val="0003273D"/>
    <w:rsid w:val="00032A11"/>
    <w:rsid w:val="00032D9E"/>
    <w:rsid w:val="00033003"/>
    <w:rsid w:val="000333A3"/>
    <w:rsid w:val="00033BA4"/>
    <w:rsid w:val="00034502"/>
    <w:rsid w:val="000349BB"/>
    <w:rsid w:val="00034F49"/>
    <w:rsid w:val="0003525F"/>
    <w:rsid w:val="00035517"/>
    <w:rsid w:val="00035796"/>
    <w:rsid w:val="0003592A"/>
    <w:rsid w:val="00035DDC"/>
    <w:rsid w:val="00035FE6"/>
    <w:rsid w:val="000362AB"/>
    <w:rsid w:val="0003672D"/>
    <w:rsid w:val="000377E2"/>
    <w:rsid w:val="000407FD"/>
    <w:rsid w:val="000411E3"/>
    <w:rsid w:val="00041628"/>
    <w:rsid w:val="00041638"/>
    <w:rsid w:val="00041F12"/>
    <w:rsid w:val="00041FBF"/>
    <w:rsid w:val="00042279"/>
    <w:rsid w:val="00042355"/>
    <w:rsid w:val="0004237C"/>
    <w:rsid w:val="00042F81"/>
    <w:rsid w:val="00043103"/>
    <w:rsid w:val="000432D8"/>
    <w:rsid w:val="000441B4"/>
    <w:rsid w:val="000448E4"/>
    <w:rsid w:val="00044913"/>
    <w:rsid w:val="00044C11"/>
    <w:rsid w:val="00045B69"/>
    <w:rsid w:val="0004601A"/>
    <w:rsid w:val="00046430"/>
    <w:rsid w:val="0004659D"/>
    <w:rsid w:val="00046B78"/>
    <w:rsid w:val="00047750"/>
    <w:rsid w:val="000501BF"/>
    <w:rsid w:val="000508F4"/>
    <w:rsid w:val="00050B9A"/>
    <w:rsid w:val="00050C56"/>
    <w:rsid w:val="000516EB"/>
    <w:rsid w:val="00051D14"/>
    <w:rsid w:val="000528F2"/>
    <w:rsid w:val="000530EF"/>
    <w:rsid w:val="00053418"/>
    <w:rsid w:val="000537EB"/>
    <w:rsid w:val="00053A1C"/>
    <w:rsid w:val="00053F5F"/>
    <w:rsid w:val="00054420"/>
    <w:rsid w:val="0005504C"/>
    <w:rsid w:val="000553D1"/>
    <w:rsid w:val="0005542F"/>
    <w:rsid w:val="00055777"/>
    <w:rsid w:val="00055AE8"/>
    <w:rsid w:val="00055B98"/>
    <w:rsid w:val="00055D26"/>
    <w:rsid w:val="00055D4C"/>
    <w:rsid w:val="00055DD3"/>
    <w:rsid w:val="00056173"/>
    <w:rsid w:val="000563D5"/>
    <w:rsid w:val="000564C9"/>
    <w:rsid w:val="0005680D"/>
    <w:rsid w:val="00056BA0"/>
    <w:rsid w:val="00056FE0"/>
    <w:rsid w:val="00056FF6"/>
    <w:rsid w:val="000573E0"/>
    <w:rsid w:val="00057678"/>
    <w:rsid w:val="0005767B"/>
    <w:rsid w:val="0005789E"/>
    <w:rsid w:val="00057F3C"/>
    <w:rsid w:val="00057FA4"/>
    <w:rsid w:val="000602D2"/>
    <w:rsid w:val="00061686"/>
    <w:rsid w:val="00061915"/>
    <w:rsid w:val="000621B9"/>
    <w:rsid w:val="0006245C"/>
    <w:rsid w:val="000625BB"/>
    <w:rsid w:val="00062911"/>
    <w:rsid w:val="00062F73"/>
    <w:rsid w:val="000633AA"/>
    <w:rsid w:val="000639C5"/>
    <w:rsid w:val="000639E2"/>
    <w:rsid w:val="00063EE5"/>
    <w:rsid w:val="000640F3"/>
    <w:rsid w:val="00064779"/>
    <w:rsid w:val="00064964"/>
    <w:rsid w:val="00064E7C"/>
    <w:rsid w:val="00065274"/>
    <w:rsid w:val="00065306"/>
    <w:rsid w:val="00065410"/>
    <w:rsid w:val="000654A9"/>
    <w:rsid w:val="00065551"/>
    <w:rsid w:val="00065B1E"/>
    <w:rsid w:val="00066F8A"/>
    <w:rsid w:val="00066FA0"/>
    <w:rsid w:val="000707C2"/>
    <w:rsid w:val="000721C0"/>
    <w:rsid w:val="000727F1"/>
    <w:rsid w:val="00072A93"/>
    <w:rsid w:val="00072D71"/>
    <w:rsid w:val="00073191"/>
    <w:rsid w:val="0007384A"/>
    <w:rsid w:val="000738FB"/>
    <w:rsid w:val="0007428A"/>
    <w:rsid w:val="0007430F"/>
    <w:rsid w:val="00074327"/>
    <w:rsid w:val="0007438E"/>
    <w:rsid w:val="000744C7"/>
    <w:rsid w:val="00075617"/>
    <w:rsid w:val="00075791"/>
    <w:rsid w:val="00075C2D"/>
    <w:rsid w:val="00075E1A"/>
    <w:rsid w:val="00076525"/>
    <w:rsid w:val="00076637"/>
    <w:rsid w:val="00077A96"/>
    <w:rsid w:val="000800A3"/>
    <w:rsid w:val="00080141"/>
    <w:rsid w:val="00080C0F"/>
    <w:rsid w:val="00080EC5"/>
    <w:rsid w:val="00081149"/>
    <w:rsid w:val="00081C8F"/>
    <w:rsid w:val="0008219C"/>
    <w:rsid w:val="00082F19"/>
    <w:rsid w:val="00083E69"/>
    <w:rsid w:val="0008409A"/>
    <w:rsid w:val="00084888"/>
    <w:rsid w:val="00084D80"/>
    <w:rsid w:val="0008517D"/>
    <w:rsid w:val="0008527A"/>
    <w:rsid w:val="00085515"/>
    <w:rsid w:val="00085878"/>
    <w:rsid w:val="00085C73"/>
    <w:rsid w:val="000863D4"/>
    <w:rsid w:val="00087547"/>
    <w:rsid w:val="00087549"/>
    <w:rsid w:val="00087671"/>
    <w:rsid w:val="00087D7F"/>
    <w:rsid w:val="00087F79"/>
    <w:rsid w:val="000903DF"/>
    <w:rsid w:val="00090690"/>
    <w:rsid w:val="00090E0D"/>
    <w:rsid w:val="00091113"/>
    <w:rsid w:val="000911CF"/>
    <w:rsid w:val="0009178C"/>
    <w:rsid w:val="00091E88"/>
    <w:rsid w:val="000928E4"/>
    <w:rsid w:val="00093395"/>
    <w:rsid w:val="00093ABD"/>
    <w:rsid w:val="00093B31"/>
    <w:rsid w:val="000940C2"/>
    <w:rsid w:val="0009438F"/>
    <w:rsid w:val="0009451F"/>
    <w:rsid w:val="00094997"/>
    <w:rsid w:val="000954BD"/>
    <w:rsid w:val="0009552C"/>
    <w:rsid w:val="00095BDD"/>
    <w:rsid w:val="00096903"/>
    <w:rsid w:val="00096D15"/>
    <w:rsid w:val="00097124"/>
    <w:rsid w:val="00097136"/>
    <w:rsid w:val="00097426"/>
    <w:rsid w:val="000974E6"/>
    <w:rsid w:val="00097F84"/>
    <w:rsid w:val="000A0447"/>
    <w:rsid w:val="000A06BA"/>
    <w:rsid w:val="000A0995"/>
    <w:rsid w:val="000A0BCA"/>
    <w:rsid w:val="000A0CE0"/>
    <w:rsid w:val="000A0F82"/>
    <w:rsid w:val="000A1720"/>
    <w:rsid w:val="000A1920"/>
    <w:rsid w:val="000A1E38"/>
    <w:rsid w:val="000A22E3"/>
    <w:rsid w:val="000A30AA"/>
    <w:rsid w:val="000A334A"/>
    <w:rsid w:val="000A3979"/>
    <w:rsid w:val="000A4123"/>
    <w:rsid w:val="000A4BA9"/>
    <w:rsid w:val="000A5409"/>
    <w:rsid w:val="000A5470"/>
    <w:rsid w:val="000A5547"/>
    <w:rsid w:val="000A58D1"/>
    <w:rsid w:val="000A5952"/>
    <w:rsid w:val="000A5C50"/>
    <w:rsid w:val="000A6B77"/>
    <w:rsid w:val="000A6D59"/>
    <w:rsid w:val="000A711F"/>
    <w:rsid w:val="000A71E0"/>
    <w:rsid w:val="000A7508"/>
    <w:rsid w:val="000A7B8C"/>
    <w:rsid w:val="000A7BC5"/>
    <w:rsid w:val="000A7E97"/>
    <w:rsid w:val="000B021D"/>
    <w:rsid w:val="000B026D"/>
    <w:rsid w:val="000B0633"/>
    <w:rsid w:val="000B10C7"/>
    <w:rsid w:val="000B14EF"/>
    <w:rsid w:val="000B181D"/>
    <w:rsid w:val="000B1868"/>
    <w:rsid w:val="000B18DC"/>
    <w:rsid w:val="000B1B8F"/>
    <w:rsid w:val="000B34A5"/>
    <w:rsid w:val="000B3585"/>
    <w:rsid w:val="000B3698"/>
    <w:rsid w:val="000B3F31"/>
    <w:rsid w:val="000B4954"/>
    <w:rsid w:val="000B5910"/>
    <w:rsid w:val="000B6363"/>
    <w:rsid w:val="000B6971"/>
    <w:rsid w:val="000B6F77"/>
    <w:rsid w:val="000B7BA1"/>
    <w:rsid w:val="000C0393"/>
    <w:rsid w:val="000C0985"/>
    <w:rsid w:val="000C2098"/>
    <w:rsid w:val="000C246B"/>
    <w:rsid w:val="000C2F43"/>
    <w:rsid w:val="000C30D1"/>
    <w:rsid w:val="000C342D"/>
    <w:rsid w:val="000C3815"/>
    <w:rsid w:val="000C464E"/>
    <w:rsid w:val="000C50CD"/>
    <w:rsid w:val="000C5440"/>
    <w:rsid w:val="000C5BC8"/>
    <w:rsid w:val="000C641D"/>
    <w:rsid w:val="000C66AE"/>
    <w:rsid w:val="000C6A46"/>
    <w:rsid w:val="000C6E6E"/>
    <w:rsid w:val="000C6E81"/>
    <w:rsid w:val="000C7215"/>
    <w:rsid w:val="000C7252"/>
    <w:rsid w:val="000C77F0"/>
    <w:rsid w:val="000D0009"/>
    <w:rsid w:val="000D01EF"/>
    <w:rsid w:val="000D031C"/>
    <w:rsid w:val="000D04B6"/>
    <w:rsid w:val="000D0B73"/>
    <w:rsid w:val="000D1388"/>
    <w:rsid w:val="000D1421"/>
    <w:rsid w:val="000D1E16"/>
    <w:rsid w:val="000D1E9F"/>
    <w:rsid w:val="000D1ED1"/>
    <w:rsid w:val="000D1F38"/>
    <w:rsid w:val="000D2123"/>
    <w:rsid w:val="000D26D4"/>
    <w:rsid w:val="000D34AA"/>
    <w:rsid w:val="000D46E6"/>
    <w:rsid w:val="000D48B3"/>
    <w:rsid w:val="000D4AB8"/>
    <w:rsid w:val="000D506A"/>
    <w:rsid w:val="000D57CD"/>
    <w:rsid w:val="000D59C7"/>
    <w:rsid w:val="000D5C24"/>
    <w:rsid w:val="000D6755"/>
    <w:rsid w:val="000D6EEE"/>
    <w:rsid w:val="000D70E7"/>
    <w:rsid w:val="000D716E"/>
    <w:rsid w:val="000D74BA"/>
    <w:rsid w:val="000D7A63"/>
    <w:rsid w:val="000D7BDC"/>
    <w:rsid w:val="000D7DAB"/>
    <w:rsid w:val="000E03D9"/>
    <w:rsid w:val="000E0848"/>
    <w:rsid w:val="000E119A"/>
    <w:rsid w:val="000E1B81"/>
    <w:rsid w:val="000E2A2A"/>
    <w:rsid w:val="000E2D8B"/>
    <w:rsid w:val="000E2E33"/>
    <w:rsid w:val="000E3933"/>
    <w:rsid w:val="000E3C67"/>
    <w:rsid w:val="000E3FCE"/>
    <w:rsid w:val="000E4251"/>
    <w:rsid w:val="000E443B"/>
    <w:rsid w:val="000E48DA"/>
    <w:rsid w:val="000E4950"/>
    <w:rsid w:val="000E56D9"/>
    <w:rsid w:val="000E5723"/>
    <w:rsid w:val="000E5795"/>
    <w:rsid w:val="000E5BD8"/>
    <w:rsid w:val="000E5EEC"/>
    <w:rsid w:val="000E63D0"/>
    <w:rsid w:val="000E6623"/>
    <w:rsid w:val="000E6894"/>
    <w:rsid w:val="000E72F9"/>
    <w:rsid w:val="000E75C4"/>
    <w:rsid w:val="000E7813"/>
    <w:rsid w:val="000E7839"/>
    <w:rsid w:val="000E7850"/>
    <w:rsid w:val="000E7BB2"/>
    <w:rsid w:val="000F0B0F"/>
    <w:rsid w:val="000F0E09"/>
    <w:rsid w:val="000F0FC4"/>
    <w:rsid w:val="000F1151"/>
    <w:rsid w:val="000F12A1"/>
    <w:rsid w:val="000F1777"/>
    <w:rsid w:val="000F18FC"/>
    <w:rsid w:val="000F1CC8"/>
    <w:rsid w:val="000F267D"/>
    <w:rsid w:val="000F3093"/>
    <w:rsid w:val="000F3111"/>
    <w:rsid w:val="000F3226"/>
    <w:rsid w:val="000F3468"/>
    <w:rsid w:val="000F3909"/>
    <w:rsid w:val="000F54A6"/>
    <w:rsid w:val="000F5A07"/>
    <w:rsid w:val="000F5A5D"/>
    <w:rsid w:val="000F5F6C"/>
    <w:rsid w:val="000F647C"/>
    <w:rsid w:val="000F6D65"/>
    <w:rsid w:val="000F6DD2"/>
    <w:rsid w:val="000F6F57"/>
    <w:rsid w:val="000F7789"/>
    <w:rsid w:val="000F7F93"/>
    <w:rsid w:val="000F7FA4"/>
    <w:rsid w:val="00100369"/>
    <w:rsid w:val="00101D33"/>
    <w:rsid w:val="00101D4A"/>
    <w:rsid w:val="001022BF"/>
    <w:rsid w:val="001025AD"/>
    <w:rsid w:val="00102C07"/>
    <w:rsid w:val="0010383E"/>
    <w:rsid w:val="00103FB8"/>
    <w:rsid w:val="00104705"/>
    <w:rsid w:val="00104EED"/>
    <w:rsid w:val="00105443"/>
    <w:rsid w:val="00105537"/>
    <w:rsid w:val="00105797"/>
    <w:rsid w:val="00106008"/>
    <w:rsid w:val="0010605E"/>
    <w:rsid w:val="00106347"/>
    <w:rsid w:val="00106A15"/>
    <w:rsid w:val="001072B8"/>
    <w:rsid w:val="00107643"/>
    <w:rsid w:val="00107654"/>
    <w:rsid w:val="00107B78"/>
    <w:rsid w:val="0011137B"/>
    <w:rsid w:val="0011148E"/>
    <w:rsid w:val="0011219D"/>
    <w:rsid w:val="001128FE"/>
    <w:rsid w:val="00112B28"/>
    <w:rsid w:val="00112EC7"/>
    <w:rsid w:val="0011312F"/>
    <w:rsid w:val="00113A1D"/>
    <w:rsid w:val="00113BB2"/>
    <w:rsid w:val="00114516"/>
    <w:rsid w:val="00114DA1"/>
    <w:rsid w:val="00114E51"/>
    <w:rsid w:val="00115287"/>
    <w:rsid w:val="00116CCB"/>
    <w:rsid w:val="00116E5B"/>
    <w:rsid w:val="0011736E"/>
    <w:rsid w:val="001173BA"/>
    <w:rsid w:val="00117577"/>
    <w:rsid w:val="0011757B"/>
    <w:rsid w:val="001175A6"/>
    <w:rsid w:val="001205B5"/>
    <w:rsid w:val="00120E75"/>
    <w:rsid w:val="00121673"/>
    <w:rsid w:val="00121FE5"/>
    <w:rsid w:val="00122148"/>
    <w:rsid w:val="0012214C"/>
    <w:rsid w:val="0012249A"/>
    <w:rsid w:val="00122A9E"/>
    <w:rsid w:val="00123F61"/>
    <w:rsid w:val="00124279"/>
    <w:rsid w:val="00124934"/>
    <w:rsid w:val="00124B76"/>
    <w:rsid w:val="00124CDC"/>
    <w:rsid w:val="001252F4"/>
    <w:rsid w:val="00125C56"/>
    <w:rsid w:val="00125EFA"/>
    <w:rsid w:val="001273A5"/>
    <w:rsid w:val="001276D0"/>
    <w:rsid w:val="001307B1"/>
    <w:rsid w:val="0013098B"/>
    <w:rsid w:val="001313DA"/>
    <w:rsid w:val="00132383"/>
    <w:rsid w:val="001324C7"/>
    <w:rsid w:val="001330E4"/>
    <w:rsid w:val="00133105"/>
    <w:rsid w:val="00133407"/>
    <w:rsid w:val="001336D0"/>
    <w:rsid w:val="001341FF"/>
    <w:rsid w:val="00134586"/>
    <w:rsid w:val="00136695"/>
    <w:rsid w:val="00136977"/>
    <w:rsid w:val="00136993"/>
    <w:rsid w:val="001369DF"/>
    <w:rsid w:val="00136ACE"/>
    <w:rsid w:val="00137B62"/>
    <w:rsid w:val="00137D57"/>
    <w:rsid w:val="001408E2"/>
    <w:rsid w:val="00141171"/>
    <w:rsid w:val="001413F0"/>
    <w:rsid w:val="0014159D"/>
    <w:rsid w:val="00141692"/>
    <w:rsid w:val="001419EB"/>
    <w:rsid w:val="00142D74"/>
    <w:rsid w:val="00142F68"/>
    <w:rsid w:val="001430C1"/>
    <w:rsid w:val="001432E3"/>
    <w:rsid w:val="001444C1"/>
    <w:rsid w:val="00144F9F"/>
    <w:rsid w:val="00145CB1"/>
    <w:rsid w:val="00145DBF"/>
    <w:rsid w:val="00146A6D"/>
    <w:rsid w:val="00146DA0"/>
    <w:rsid w:val="00146F48"/>
    <w:rsid w:val="001470A8"/>
    <w:rsid w:val="00147312"/>
    <w:rsid w:val="0014754B"/>
    <w:rsid w:val="00147ADC"/>
    <w:rsid w:val="001504A3"/>
    <w:rsid w:val="001507EC"/>
    <w:rsid w:val="0015088C"/>
    <w:rsid w:val="00150AD5"/>
    <w:rsid w:val="00150C57"/>
    <w:rsid w:val="00151037"/>
    <w:rsid w:val="00151297"/>
    <w:rsid w:val="0015143A"/>
    <w:rsid w:val="00151A93"/>
    <w:rsid w:val="00151BBA"/>
    <w:rsid w:val="00151BEA"/>
    <w:rsid w:val="0015243E"/>
    <w:rsid w:val="00152E99"/>
    <w:rsid w:val="00153018"/>
    <w:rsid w:val="00153907"/>
    <w:rsid w:val="001542E1"/>
    <w:rsid w:val="0015442F"/>
    <w:rsid w:val="001544BB"/>
    <w:rsid w:val="0015450A"/>
    <w:rsid w:val="00154E69"/>
    <w:rsid w:val="00155217"/>
    <w:rsid w:val="0015572E"/>
    <w:rsid w:val="00155B82"/>
    <w:rsid w:val="00156687"/>
    <w:rsid w:val="00160135"/>
    <w:rsid w:val="001601FE"/>
    <w:rsid w:val="00160F66"/>
    <w:rsid w:val="0016135B"/>
    <w:rsid w:val="0016144C"/>
    <w:rsid w:val="00161942"/>
    <w:rsid w:val="001635A6"/>
    <w:rsid w:val="001636B4"/>
    <w:rsid w:val="001638D8"/>
    <w:rsid w:val="001641F6"/>
    <w:rsid w:val="0016449C"/>
    <w:rsid w:val="0016496B"/>
    <w:rsid w:val="00164B5C"/>
    <w:rsid w:val="00165081"/>
    <w:rsid w:val="001656BE"/>
    <w:rsid w:val="001658A0"/>
    <w:rsid w:val="00165BD6"/>
    <w:rsid w:val="00165D38"/>
    <w:rsid w:val="0016620E"/>
    <w:rsid w:val="00166362"/>
    <w:rsid w:val="001668C6"/>
    <w:rsid w:val="00167A3E"/>
    <w:rsid w:val="00167CB9"/>
    <w:rsid w:val="00170CC6"/>
    <w:rsid w:val="001718D6"/>
    <w:rsid w:val="00171EC1"/>
    <w:rsid w:val="0017246C"/>
    <w:rsid w:val="001724A4"/>
    <w:rsid w:val="0017351C"/>
    <w:rsid w:val="00173716"/>
    <w:rsid w:val="00173C12"/>
    <w:rsid w:val="001740B8"/>
    <w:rsid w:val="001746C9"/>
    <w:rsid w:val="0017538A"/>
    <w:rsid w:val="00175774"/>
    <w:rsid w:val="001759BB"/>
    <w:rsid w:val="00175FD9"/>
    <w:rsid w:val="0017645D"/>
    <w:rsid w:val="0017652D"/>
    <w:rsid w:val="00176601"/>
    <w:rsid w:val="0017661F"/>
    <w:rsid w:val="001767FF"/>
    <w:rsid w:val="00176BE7"/>
    <w:rsid w:val="001770D5"/>
    <w:rsid w:val="001778C3"/>
    <w:rsid w:val="00177B9E"/>
    <w:rsid w:val="00177BC2"/>
    <w:rsid w:val="001802DA"/>
    <w:rsid w:val="00180BB0"/>
    <w:rsid w:val="0018188E"/>
    <w:rsid w:val="00181903"/>
    <w:rsid w:val="00181F53"/>
    <w:rsid w:val="00181FF7"/>
    <w:rsid w:val="00181FFA"/>
    <w:rsid w:val="00182DAB"/>
    <w:rsid w:val="0018311E"/>
    <w:rsid w:val="0018338C"/>
    <w:rsid w:val="0018358A"/>
    <w:rsid w:val="00183708"/>
    <w:rsid w:val="00183A8D"/>
    <w:rsid w:val="00183D3F"/>
    <w:rsid w:val="0018421F"/>
    <w:rsid w:val="0018550B"/>
    <w:rsid w:val="00185A06"/>
    <w:rsid w:val="00185C6D"/>
    <w:rsid w:val="00186151"/>
    <w:rsid w:val="00186BB0"/>
    <w:rsid w:val="00186F2F"/>
    <w:rsid w:val="00187A96"/>
    <w:rsid w:val="00187E03"/>
    <w:rsid w:val="001902F5"/>
    <w:rsid w:val="00190D01"/>
    <w:rsid w:val="00190FA1"/>
    <w:rsid w:val="001917C1"/>
    <w:rsid w:val="00191977"/>
    <w:rsid w:val="001919F0"/>
    <w:rsid w:val="00191AC1"/>
    <w:rsid w:val="00191FEB"/>
    <w:rsid w:val="00192244"/>
    <w:rsid w:val="00192836"/>
    <w:rsid w:val="00192918"/>
    <w:rsid w:val="00192FB1"/>
    <w:rsid w:val="0019345D"/>
    <w:rsid w:val="001935B6"/>
    <w:rsid w:val="00193B7A"/>
    <w:rsid w:val="00193FFD"/>
    <w:rsid w:val="0019433B"/>
    <w:rsid w:val="00194BB8"/>
    <w:rsid w:val="001954CB"/>
    <w:rsid w:val="001955C5"/>
    <w:rsid w:val="001955E8"/>
    <w:rsid w:val="001958CE"/>
    <w:rsid w:val="00195973"/>
    <w:rsid w:val="001A0041"/>
    <w:rsid w:val="001A0550"/>
    <w:rsid w:val="001A1C28"/>
    <w:rsid w:val="001A2932"/>
    <w:rsid w:val="001A2F18"/>
    <w:rsid w:val="001A37FE"/>
    <w:rsid w:val="001A38EB"/>
    <w:rsid w:val="001A4602"/>
    <w:rsid w:val="001A5694"/>
    <w:rsid w:val="001A59B8"/>
    <w:rsid w:val="001A5C2A"/>
    <w:rsid w:val="001A6066"/>
    <w:rsid w:val="001A6100"/>
    <w:rsid w:val="001A62FC"/>
    <w:rsid w:val="001A6738"/>
    <w:rsid w:val="001A780B"/>
    <w:rsid w:val="001A7A59"/>
    <w:rsid w:val="001A7FFA"/>
    <w:rsid w:val="001B0087"/>
    <w:rsid w:val="001B0101"/>
    <w:rsid w:val="001B03F3"/>
    <w:rsid w:val="001B06E3"/>
    <w:rsid w:val="001B0EED"/>
    <w:rsid w:val="001B11AC"/>
    <w:rsid w:val="001B151C"/>
    <w:rsid w:val="001B174D"/>
    <w:rsid w:val="001B25EA"/>
    <w:rsid w:val="001B271B"/>
    <w:rsid w:val="001B3416"/>
    <w:rsid w:val="001B3530"/>
    <w:rsid w:val="001B3A1C"/>
    <w:rsid w:val="001B3ABA"/>
    <w:rsid w:val="001B3EED"/>
    <w:rsid w:val="001B490F"/>
    <w:rsid w:val="001B5B42"/>
    <w:rsid w:val="001B6F13"/>
    <w:rsid w:val="001B72D7"/>
    <w:rsid w:val="001B7432"/>
    <w:rsid w:val="001B7909"/>
    <w:rsid w:val="001C047C"/>
    <w:rsid w:val="001C0582"/>
    <w:rsid w:val="001C069D"/>
    <w:rsid w:val="001C0F9C"/>
    <w:rsid w:val="001C10DA"/>
    <w:rsid w:val="001C1C4F"/>
    <w:rsid w:val="001C1CA0"/>
    <w:rsid w:val="001C1E13"/>
    <w:rsid w:val="001C206B"/>
    <w:rsid w:val="001C2141"/>
    <w:rsid w:val="001C22C4"/>
    <w:rsid w:val="001C2F34"/>
    <w:rsid w:val="001C30EA"/>
    <w:rsid w:val="001C4006"/>
    <w:rsid w:val="001C42BA"/>
    <w:rsid w:val="001C52A5"/>
    <w:rsid w:val="001C53DF"/>
    <w:rsid w:val="001C54A8"/>
    <w:rsid w:val="001C5E77"/>
    <w:rsid w:val="001C611D"/>
    <w:rsid w:val="001C6249"/>
    <w:rsid w:val="001C65CB"/>
    <w:rsid w:val="001C6B60"/>
    <w:rsid w:val="001C7154"/>
    <w:rsid w:val="001C75DD"/>
    <w:rsid w:val="001C7B54"/>
    <w:rsid w:val="001C7D0F"/>
    <w:rsid w:val="001D0662"/>
    <w:rsid w:val="001D07DA"/>
    <w:rsid w:val="001D08AE"/>
    <w:rsid w:val="001D0AC1"/>
    <w:rsid w:val="001D0C22"/>
    <w:rsid w:val="001D111F"/>
    <w:rsid w:val="001D12F1"/>
    <w:rsid w:val="001D193F"/>
    <w:rsid w:val="001D1B14"/>
    <w:rsid w:val="001D1D1E"/>
    <w:rsid w:val="001D2DDB"/>
    <w:rsid w:val="001D3611"/>
    <w:rsid w:val="001D3A35"/>
    <w:rsid w:val="001D3EA6"/>
    <w:rsid w:val="001D49B0"/>
    <w:rsid w:val="001D54E5"/>
    <w:rsid w:val="001D5F4A"/>
    <w:rsid w:val="001D61A3"/>
    <w:rsid w:val="001D63FA"/>
    <w:rsid w:val="001D64DC"/>
    <w:rsid w:val="001D6D2F"/>
    <w:rsid w:val="001D7235"/>
    <w:rsid w:val="001D7454"/>
    <w:rsid w:val="001D747B"/>
    <w:rsid w:val="001E0342"/>
    <w:rsid w:val="001E0DB0"/>
    <w:rsid w:val="001E0EE3"/>
    <w:rsid w:val="001E1806"/>
    <w:rsid w:val="001E19C4"/>
    <w:rsid w:val="001E1C00"/>
    <w:rsid w:val="001E1D02"/>
    <w:rsid w:val="001E1D30"/>
    <w:rsid w:val="001E2235"/>
    <w:rsid w:val="001E2331"/>
    <w:rsid w:val="001E250D"/>
    <w:rsid w:val="001E2F82"/>
    <w:rsid w:val="001E352F"/>
    <w:rsid w:val="001E3B12"/>
    <w:rsid w:val="001E48AC"/>
    <w:rsid w:val="001E4CE4"/>
    <w:rsid w:val="001E52BA"/>
    <w:rsid w:val="001E5407"/>
    <w:rsid w:val="001E5D74"/>
    <w:rsid w:val="001E64AC"/>
    <w:rsid w:val="001E6751"/>
    <w:rsid w:val="001E6C17"/>
    <w:rsid w:val="001E72C4"/>
    <w:rsid w:val="001E7652"/>
    <w:rsid w:val="001E78CC"/>
    <w:rsid w:val="001F0010"/>
    <w:rsid w:val="001F04B3"/>
    <w:rsid w:val="001F065D"/>
    <w:rsid w:val="001F0E58"/>
    <w:rsid w:val="001F14CE"/>
    <w:rsid w:val="001F1AAF"/>
    <w:rsid w:val="001F3752"/>
    <w:rsid w:val="001F3CD9"/>
    <w:rsid w:val="001F4160"/>
    <w:rsid w:val="001F49F2"/>
    <w:rsid w:val="001F4B06"/>
    <w:rsid w:val="001F5CFE"/>
    <w:rsid w:val="001F5EB4"/>
    <w:rsid w:val="001F6413"/>
    <w:rsid w:val="001F6979"/>
    <w:rsid w:val="001F6AD6"/>
    <w:rsid w:val="001F6E65"/>
    <w:rsid w:val="001F7093"/>
    <w:rsid w:val="001F75C6"/>
    <w:rsid w:val="001F775C"/>
    <w:rsid w:val="001F7E53"/>
    <w:rsid w:val="002002FE"/>
    <w:rsid w:val="002003B4"/>
    <w:rsid w:val="002003CA"/>
    <w:rsid w:val="002004C7"/>
    <w:rsid w:val="00201024"/>
    <w:rsid w:val="00201AFC"/>
    <w:rsid w:val="00203107"/>
    <w:rsid w:val="00203543"/>
    <w:rsid w:val="00203612"/>
    <w:rsid w:val="0020390C"/>
    <w:rsid w:val="0020448E"/>
    <w:rsid w:val="00204832"/>
    <w:rsid w:val="002050CF"/>
    <w:rsid w:val="0020513F"/>
    <w:rsid w:val="00205C82"/>
    <w:rsid w:val="0020607A"/>
    <w:rsid w:val="00206D77"/>
    <w:rsid w:val="00207380"/>
    <w:rsid w:val="0020785A"/>
    <w:rsid w:val="002107B0"/>
    <w:rsid w:val="00210A22"/>
    <w:rsid w:val="00210DAC"/>
    <w:rsid w:val="002113DA"/>
    <w:rsid w:val="0021170A"/>
    <w:rsid w:val="002118EB"/>
    <w:rsid w:val="00211BB2"/>
    <w:rsid w:val="00211CDB"/>
    <w:rsid w:val="00212114"/>
    <w:rsid w:val="002124F6"/>
    <w:rsid w:val="00212812"/>
    <w:rsid w:val="00213879"/>
    <w:rsid w:val="002144C3"/>
    <w:rsid w:val="0021499E"/>
    <w:rsid w:val="00214BC5"/>
    <w:rsid w:val="00215012"/>
    <w:rsid w:val="0021502A"/>
    <w:rsid w:val="0021593C"/>
    <w:rsid w:val="00215B24"/>
    <w:rsid w:val="00216485"/>
    <w:rsid w:val="00216ADA"/>
    <w:rsid w:val="00217793"/>
    <w:rsid w:val="00217980"/>
    <w:rsid w:val="00217EF2"/>
    <w:rsid w:val="00217F04"/>
    <w:rsid w:val="00220374"/>
    <w:rsid w:val="002204F8"/>
    <w:rsid w:val="00220C3A"/>
    <w:rsid w:val="00220E30"/>
    <w:rsid w:val="0022106F"/>
    <w:rsid w:val="00221BC6"/>
    <w:rsid w:val="00221E2F"/>
    <w:rsid w:val="00221E78"/>
    <w:rsid w:val="0022235E"/>
    <w:rsid w:val="00222D27"/>
    <w:rsid w:val="00222EC8"/>
    <w:rsid w:val="0022311E"/>
    <w:rsid w:val="00224350"/>
    <w:rsid w:val="00224910"/>
    <w:rsid w:val="00224E42"/>
    <w:rsid w:val="00224FDC"/>
    <w:rsid w:val="0022518A"/>
    <w:rsid w:val="002259DC"/>
    <w:rsid w:val="00225ED5"/>
    <w:rsid w:val="002265BB"/>
    <w:rsid w:val="00226A05"/>
    <w:rsid w:val="00226E6A"/>
    <w:rsid w:val="00227D5D"/>
    <w:rsid w:val="002302FA"/>
    <w:rsid w:val="00230712"/>
    <w:rsid w:val="0023073D"/>
    <w:rsid w:val="00230D07"/>
    <w:rsid w:val="00230F97"/>
    <w:rsid w:val="002316A1"/>
    <w:rsid w:val="00232325"/>
    <w:rsid w:val="00232775"/>
    <w:rsid w:val="00232EC9"/>
    <w:rsid w:val="00233036"/>
    <w:rsid w:val="0023319A"/>
    <w:rsid w:val="00233DD6"/>
    <w:rsid w:val="00234078"/>
    <w:rsid w:val="0023467D"/>
    <w:rsid w:val="00234762"/>
    <w:rsid w:val="002348B1"/>
    <w:rsid w:val="002349E9"/>
    <w:rsid w:val="002377B5"/>
    <w:rsid w:val="0024035D"/>
    <w:rsid w:val="00240387"/>
    <w:rsid w:val="00240F68"/>
    <w:rsid w:val="00241ADA"/>
    <w:rsid w:val="00241B14"/>
    <w:rsid w:val="00241FA4"/>
    <w:rsid w:val="002420D0"/>
    <w:rsid w:val="002426AA"/>
    <w:rsid w:val="00243553"/>
    <w:rsid w:val="002435B1"/>
    <w:rsid w:val="00243D2D"/>
    <w:rsid w:val="00243E29"/>
    <w:rsid w:val="00243EDA"/>
    <w:rsid w:val="00244144"/>
    <w:rsid w:val="002449D6"/>
    <w:rsid w:val="00244AC2"/>
    <w:rsid w:val="00245589"/>
    <w:rsid w:val="002458BD"/>
    <w:rsid w:val="00245BDD"/>
    <w:rsid w:val="00245BE4"/>
    <w:rsid w:val="0024631D"/>
    <w:rsid w:val="00246421"/>
    <w:rsid w:val="00246465"/>
    <w:rsid w:val="00246502"/>
    <w:rsid w:val="00246708"/>
    <w:rsid w:val="002473A8"/>
    <w:rsid w:val="002503F2"/>
    <w:rsid w:val="00250E21"/>
    <w:rsid w:val="00250EAC"/>
    <w:rsid w:val="002512A6"/>
    <w:rsid w:val="002513DD"/>
    <w:rsid w:val="00251DD9"/>
    <w:rsid w:val="00252463"/>
    <w:rsid w:val="00253537"/>
    <w:rsid w:val="00253658"/>
    <w:rsid w:val="00254126"/>
    <w:rsid w:val="00254AAE"/>
    <w:rsid w:val="00254D72"/>
    <w:rsid w:val="00254FB6"/>
    <w:rsid w:val="0025576A"/>
    <w:rsid w:val="00256A61"/>
    <w:rsid w:val="00257030"/>
    <w:rsid w:val="002604BF"/>
    <w:rsid w:val="00260574"/>
    <w:rsid w:val="0026157F"/>
    <w:rsid w:val="00261FAC"/>
    <w:rsid w:val="00262264"/>
    <w:rsid w:val="002622C0"/>
    <w:rsid w:val="00262689"/>
    <w:rsid w:val="00262933"/>
    <w:rsid w:val="00262D9E"/>
    <w:rsid w:val="00262E2A"/>
    <w:rsid w:val="00263224"/>
    <w:rsid w:val="00263314"/>
    <w:rsid w:val="002633E3"/>
    <w:rsid w:val="00263767"/>
    <w:rsid w:val="00263EA9"/>
    <w:rsid w:val="002645ED"/>
    <w:rsid w:val="0026502A"/>
    <w:rsid w:val="00265149"/>
    <w:rsid w:val="002659FE"/>
    <w:rsid w:val="00265BCC"/>
    <w:rsid w:val="00266545"/>
    <w:rsid w:val="00267739"/>
    <w:rsid w:val="002677B4"/>
    <w:rsid w:val="00267981"/>
    <w:rsid w:val="00267A14"/>
    <w:rsid w:val="00267B1E"/>
    <w:rsid w:val="002712A9"/>
    <w:rsid w:val="002717E7"/>
    <w:rsid w:val="00271B54"/>
    <w:rsid w:val="00271D48"/>
    <w:rsid w:val="00271DAD"/>
    <w:rsid w:val="00271EDD"/>
    <w:rsid w:val="00273017"/>
    <w:rsid w:val="00275390"/>
    <w:rsid w:val="0027553C"/>
    <w:rsid w:val="00275FC2"/>
    <w:rsid w:val="002761F4"/>
    <w:rsid w:val="0027644C"/>
    <w:rsid w:val="002765C7"/>
    <w:rsid w:val="00276F44"/>
    <w:rsid w:val="00276F55"/>
    <w:rsid w:val="002772CC"/>
    <w:rsid w:val="00280309"/>
    <w:rsid w:val="00280A9F"/>
    <w:rsid w:val="00280C29"/>
    <w:rsid w:val="002814EE"/>
    <w:rsid w:val="00281E90"/>
    <w:rsid w:val="00281EAA"/>
    <w:rsid w:val="0028233C"/>
    <w:rsid w:val="002824D4"/>
    <w:rsid w:val="00282527"/>
    <w:rsid w:val="00282893"/>
    <w:rsid w:val="0028303A"/>
    <w:rsid w:val="00283B1E"/>
    <w:rsid w:val="00283E6E"/>
    <w:rsid w:val="00284160"/>
    <w:rsid w:val="00284501"/>
    <w:rsid w:val="00284CF7"/>
    <w:rsid w:val="00284F26"/>
    <w:rsid w:val="00285C4D"/>
    <w:rsid w:val="002860D9"/>
    <w:rsid w:val="00286B15"/>
    <w:rsid w:val="0028756F"/>
    <w:rsid w:val="00287965"/>
    <w:rsid w:val="002902D1"/>
    <w:rsid w:val="00290401"/>
    <w:rsid w:val="0029043B"/>
    <w:rsid w:val="00290638"/>
    <w:rsid w:val="00290A6A"/>
    <w:rsid w:val="00290D92"/>
    <w:rsid w:val="00290DE3"/>
    <w:rsid w:val="00291010"/>
    <w:rsid w:val="00291269"/>
    <w:rsid w:val="002915DB"/>
    <w:rsid w:val="00291718"/>
    <w:rsid w:val="002920F6"/>
    <w:rsid w:val="0029216C"/>
    <w:rsid w:val="00292ABE"/>
    <w:rsid w:val="00293A66"/>
    <w:rsid w:val="00293EBB"/>
    <w:rsid w:val="00294304"/>
    <w:rsid w:val="002949F2"/>
    <w:rsid w:val="00294DA8"/>
    <w:rsid w:val="0029691C"/>
    <w:rsid w:val="002A0148"/>
    <w:rsid w:val="002A03A7"/>
    <w:rsid w:val="002A056E"/>
    <w:rsid w:val="002A08BE"/>
    <w:rsid w:val="002A092F"/>
    <w:rsid w:val="002A1861"/>
    <w:rsid w:val="002A1CBC"/>
    <w:rsid w:val="002A1DE2"/>
    <w:rsid w:val="002A2667"/>
    <w:rsid w:val="002A26F4"/>
    <w:rsid w:val="002A2C5D"/>
    <w:rsid w:val="002A319D"/>
    <w:rsid w:val="002A3B49"/>
    <w:rsid w:val="002A3B67"/>
    <w:rsid w:val="002A3DC2"/>
    <w:rsid w:val="002A4018"/>
    <w:rsid w:val="002A4181"/>
    <w:rsid w:val="002A442A"/>
    <w:rsid w:val="002A4A71"/>
    <w:rsid w:val="002A4BBA"/>
    <w:rsid w:val="002A4D4A"/>
    <w:rsid w:val="002A50C2"/>
    <w:rsid w:val="002A6017"/>
    <w:rsid w:val="002A615A"/>
    <w:rsid w:val="002A7830"/>
    <w:rsid w:val="002A78F7"/>
    <w:rsid w:val="002A7B16"/>
    <w:rsid w:val="002B0088"/>
    <w:rsid w:val="002B103F"/>
    <w:rsid w:val="002B1493"/>
    <w:rsid w:val="002B1E85"/>
    <w:rsid w:val="002B2B07"/>
    <w:rsid w:val="002B315E"/>
    <w:rsid w:val="002B395A"/>
    <w:rsid w:val="002B3F1D"/>
    <w:rsid w:val="002B4143"/>
    <w:rsid w:val="002B4977"/>
    <w:rsid w:val="002B4C00"/>
    <w:rsid w:val="002B4ED6"/>
    <w:rsid w:val="002B5B10"/>
    <w:rsid w:val="002B6473"/>
    <w:rsid w:val="002B64AB"/>
    <w:rsid w:val="002B6801"/>
    <w:rsid w:val="002B6D87"/>
    <w:rsid w:val="002B752A"/>
    <w:rsid w:val="002C0024"/>
    <w:rsid w:val="002C08F7"/>
    <w:rsid w:val="002C134D"/>
    <w:rsid w:val="002C1733"/>
    <w:rsid w:val="002C1B54"/>
    <w:rsid w:val="002C2C45"/>
    <w:rsid w:val="002C2D99"/>
    <w:rsid w:val="002C4383"/>
    <w:rsid w:val="002C49A2"/>
    <w:rsid w:val="002C50A9"/>
    <w:rsid w:val="002C50DB"/>
    <w:rsid w:val="002C5AEC"/>
    <w:rsid w:val="002C60E8"/>
    <w:rsid w:val="002C63DA"/>
    <w:rsid w:val="002C6F44"/>
    <w:rsid w:val="002C77DB"/>
    <w:rsid w:val="002C7862"/>
    <w:rsid w:val="002D0256"/>
    <w:rsid w:val="002D0B69"/>
    <w:rsid w:val="002D14F8"/>
    <w:rsid w:val="002D160C"/>
    <w:rsid w:val="002D1B1F"/>
    <w:rsid w:val="002D20E1"/>
    <w:rsid w:val="002D28C1"/>
    <w:rsid w:val="002D29B5"/>
    <w:rsid w:val="002D36E1"/>
    <w:rsid w:val="002D3B36"/>
    <w:rsid w:val="002D3D18"/>
    <w:rsid w:val="002D43F2"/>
    <w:rsid w:val="002D4FDE"/>
    <w:rsid w:val="002D51B8"/>
    <w:rsid w:val="002D5BEE"/>
    <w:rsid w:val="002D670E"/>
    <w:rsid w:val="002D6F1C"/>
    <w:rsid w:val="002D7920"/>
    <w:rsid w:val="002D7D43"/>
    <w:rsid w:val="002E02E1"/>
    <w:rsid w:val="002E041E"/>
    <w:rsid w:val="002E09EC"/>
    <w:rsid w:val="002E0F81"/>
    <w:rsid w:val="002E1E29"/>
    <w:rsid w:val="002E2910"/>
    <w:rsid w:val="002E2DAB"/>
    <w:rsid w:val="002E3A4F"/>
    <w:rsid w:val="002E4146"/>
    <w:rsid w:val="002E43F5"/>
    <w:rsid w:val="002E4C3E"/>
    <w:rsid w:val="002E4DCA"/>
    <w:rsid w:val="002E505D"/>
    <w:rsid w:val="002E5575"/>
    <w:rsid w:val="002E59AA"/>
    <w:rsid w:val="002E607F"/>
    <w:rsid w:val="002E6577"/>
    <w:rsid w:val="002E67B2"/>
    <w:rsid w:val="002E6B52"/>
    <w:rsid w:val="002E6E7F"/>
    <w:rsid w:val="002E7460"/>
    <w:rsid w:val="002E7D72"/>
    <w:rsid w:val="002F0384"/>
    <w:rsid w:val="002F050E"/>
    <w:rsid w:val="002F1552"/>
    <w:rsid w:val="002F15E0"/>
    <w:rsid w:val="002F1BA1"/>
    <w:rsid w:val="002F205E"/>
    <w:rsid w:val="002F24BA"/>
    <w:rsid w:val="002F304E"/>
    <w:rsid w:val="002F388D"/>
    <w:rsid w:val="002F48EC"/>
    <w:rsid w:val="002F4D85"/>
    <w:rsid w:val="002F5621"/>
    <w:rsid w:val="002F5837"/>
    <w:rsid w:val="002F6713"/>
    <w:rsid w:val="002F6A7C"/>
    <w:rsid w:val="002F6C66"/>
    <w:rsid w:val="002F6C94"/>
    <w:rsid w:val="002F7CBC"/>
    <w:rsid w:val="002F7DD0"/>
    <w:rsid w:val="0030083B"/>
    <w:rsid w:val="003009BA"/>
    <w:rsid w:val="003012AC"/>
    <w:rsid w:val="003023B0"/>
    <w:rsid w:val="0030296F"/>
    <w:rsid w:val="00302FA5"/>
    <w:rsid w:val="003031DD"/>
    <w:rsid w:val="0030333E"/>
    <w:rsid w:val="0030335E"/>
    <w:rsid w:val="00303BF3"/>
    <w:rsid w:val="00304B5A"/>
    <w:rsid w:val="00304C36"/>
    <w:rsid w:val="0030555E"/>
    <w:rsid w:val="003056BE"/>
    <w:rsid w:val="00305B52"/>
    <w:rsid w:val="003066E9"/>
    <w:rsid w:val="00306924"/>
    <w:rsid w:val="00306E9F"/>
    <w:rsid w:val="003072DE"/>
    <w:rsid w:val="003073F7"/>
    <w:rsid w:val="0030771C"/>
    <w:rsid w:val="00307842"/>
    <w:rsid w:val="00307D9D"/>
    <w:rsid w:val="003103A7"/>
    <w:rsid w:val="00310796"/>
    <w:rsid w:val="003117EF"/>
    <w:rsid w:val="00311890"/>
    <w:rsid w:val="00311E62"/>
    <w:rsid w:val="00313536"/>
    <w:rsid w:val="00313803"/>
    <w:rsid w:val="00313B78"/>
    <w:rsid w:val="00313CBD"/>
    <w:rsid w:val="00314743"/>
    <w:rsid w:val="00314950"/>
    <w:rsid w:val="00314C98"/>
    <w:rsid w:val="00315010"/>
    <w:rsid w:val="00315032"/>
    <w:rsid w:val="003150BE"/>
    <w:rsid w:val="0031576D"/>
    <w:rsid w:val="00315866"/>
    <w:rsid w:val="00316667"/>
    <w:rsid w:val="00316D50"/>
    <w:rsid w:val="00317188"/>
    <w:rsid w:val="003203A5"/>
    <w:rsid w:val="00320C49"/>
    <w:rsid w:val="0032100C"/>
    <w:rsid w:val="00321B38"/>
    <w:rsid w:val="00321CE3"/>
    <w:rsid w:val="0032335D"/>
    <w:rsid w:val="00323403"/>
    <w:rsid w:val="00323A43"/>
    <w:rsid w:val="00323B9A"/>
    <w:rsid w:val="00323F0F"/>
    <w:rsid w:val="003250CF"/>
    <w:rsid w:val="00325A90"/>
    <w:rsid w:val="00325AF3"/>
    <w:rsid w:val="00325CBE"/>
    <w:rsid w:val="00325D8D"/>
    <w:rsid w:val="003266EA"/>
    <w:rsid w:val="00326CFA"/>
    <w:rsid w:val="00327582"/>
    <w:rsid w:val="00327D9C"/>
    <w:rsid w:val="00330547"/>
    <w:rsid w:val="00330F0E"/>
    <w:rsid w:val="003321FB"/>
    <w:rsid w:val="00333816"/>
    <w:rsid w:val="003347FC"/>
    <w:rsid w:val="00334999"/>
    <w:rsid w:val="00334A4A"/>
    <w:rsid w:val="003357C3"/>
    <w:rsid w:val="00335F74"/>
    <w:rsid w:val="003368FF"/>
    <w:rsid w:val="0033771C"/>
    <w:rsid w:val="0033787D"/>
    <w:rsid w:val="00337A93"/>
    <w:rsid w:val="00340645"/>
    <w:rsid w:val="00340E4A"/>
    <w:rsid w:val="00341858"/>
    <w:rsid w:val="00341F31"/>
    <w:rsid w:val="00342067"/>
    <w:rsid w:val="00342836"/>
    <w:rsid w:val="00343061"/>
    <w:rsid w:val="00343BDE"/>
    <w:rsid w:val="00343CC4"/>
    <w:rsid w:val="003443F8"/>
    <w:rsid w:val="0034506F"/>
    <w:rsid w:val="0034538C"/>
    <w:rsid w:val="003455E0"/>
    <w:rsid w:val="00345CC7"/>
    <w:rsid w:val="00346366"/>
    <w:rsid w:val="0034704C"/>
    <w:rsid w:val="0034727F"/>
    <w:rsid w:val="00347ADF"/>
    <w:rsid w:val="00347BD0"/>
    <w:rsid w:val="00347F5E"/>
    <w:rsid w:val="0035036A"/>
    <w:rsid w:val="00350698"/>
    <w:rsid w:val="00351311"/>
    <w:rsid w:val="00351A9B"/>
    <w:rsid w:val="00351D26"/>
    <w:rsid w:val="00352212"/>
    <w:rsid w:val="003527AE"/>
    <w:rsid w:val="00352B3D"/>
    <w:rsid w:val="00352EB0"/>
    <w:rsid w:val="003530E5"/>
    <w:rsid w:val="0035386C"/>
    <w:rsid w:val="00354AEE"/>
    <w:rsid w:val="00354FDF"/>
    <w:rsid w:val="003551D1"/>
    <w:rsid w:val="00355B9F"/>
    <w:rsid w:val="00355ECC"/>
    <w:rsid w:val="00356658"/>
    <w:rsid w:val="00356809"/>
    <w:rsid w:val="00356BC9"/>
    <w:rsid w:val="003575C5"/>
    <w:rsid w:val="0035761D"/>
    <w:rsid w:val="003578A1"/>
    <w:rsid w:val="003578C7"/>
    <w:rsid w:val="003579AA"/>
    <w:rsid w:val="00357FC9"/>
    <w:rsid w:val="00361069"/>
    <w:rsid w:val="003613DB"/>
    <w:rsid w:val="00361C08"/>
    <w:rsid w:val="00361C86"/>
    <w:rsid w:val="00361E17"/>
    <w:rsid w:val="003621E3"/>
    <w:rsid w:val="0036249B"/>
    <w:rsid w:val="00362BA8"/>
    <w:rsid w:val="003635B7"/>
    <w:rsid w:val="00363CD2"/>
    <w:rsid w:val="00363CFB"/>
    <w:rsid w:val="00363D01"/>
    <w:rsid w:val="00363D49"/>
    <w:rsid w:val="003640CD"/>
    <w:rsid w:val="003642B8"/>
    <w:rsid w:val="00364521"/>
    <w:rsid w:val="0036453A"/>
    <w:rsid w:val="003645DB"/>
    <w:rsid w:val="00364E3B"/>
    <w:rsid w:val="00364E65"/>
    <w:rsid w:val="00364ECF"/>
    <w:rsid w:val="003653AD"/>
    <w:rsid w:val="00365694"/>
    <w:rsid w:val="00365CB7"/>
    <w:rsid w:val="00365D7D"/>
    <w:rsid w:val="0036632B"/>
    <w:rsid w:val="0036652D"/>
    <w:rsid w:val="00366C67"/>
    <w:rsid w:val="0036767E"/>
    <w:rsid w:val="00367E7F"/>
    <w:rsid w:val="003705A8"/>
    <w:rsid w:val="00370E10"/>
    <w:rsid w:val="003714AA"/>
    <w:rsid w:val="003722CB"/>
    <w:rsid w:val="00372B69"/>
    <w:rsid w:val="003732B6"/>
    <w:rsid w:val="0037349C"/>
    <w:rsid w:val="003734EB"/>
    <w:rsid w:val="00374547"/>
    <w:rsid w:val="0037495C"/>
    <w:rsid w:val="003760F8"/>
    <w:rsid w:val="00376460"/>
    <w:rsid w:val="00376681"/>
    <w:rsid w:val="003768E1"/>
    <w:rsid w:val="00377B1C"/>
    <w:rsid w:val="00377FEE"/>
    <w:rsid w:val="0038022F"/>
    <w:rsid w:val="0038060D"/>
    <w:rsid w:val="0038161C"/>
    <w:rsid w:val="003816EA"/>
    <w:rsid w:val="00381A11"/>
    <w:rsid w:val="00381B55"/>
    <w:rsid w:val="00381DA3"/>
    <w:rsid w:val="00381E20"/>
    <w:rsid w:val="003825D0"/>
    <w:rsid w:val="0038349E"/>
    <w:rsid w:val="0038360B"/>
    <w:rsid w:val="00383715"/>
    <w:rsid w:val="003837C2"/>
    <w:rsid w:val="003838C8"/>
    <w:rsid w:val="00383B41"/>
    <w:rsid w:val="00383DC4"/>
    <w:rsid w:val="00383F97"/>
    <w:rsid w:val="003841F5"/>
    <w:rsid w:val="0038533A"/>
    <w:rsid w:val="0038546A"/>
    <w:rsid w:val="0038562F"/>
    <w:rsid w:val="00385712"/>
    <w:rsid w:val="00385968"/>
    <w:rsid w:val="003865C4"/>
    <w:rsid w:val="003866ED"/>
    <w:rsid w:val="003870D3"/>
    <w:rsid w:val="003877F4"/>
    <w:rsid w:val="00387A73"/>
    <w:rsid w:val="00390AED"/>
    <w:rsid w:val="003920A6"/>
    <w:rsid w:val="00392119"/>
    <w:rsid w:val="003923C1"/>
    <w:rsid w:val="00392C08"/>
    <w:rsid w:val="00392C8C"/>
    <w:rsid w:val="0039310C"/>
    <w:rsid w:val="0039332C"/>
    <w:rsid w:val="00393627"/>
    <w:rsid w:val="0039387F"/>
    <w:rsid w:val="00393AEA"/>
    <w:rsid w:val="00393FD7"/>
    <w:rsid w:val="00394411"/>
    <w:rsid w:val="003946CA"/>
    <w:rsid w:val="00394E4C"/>
    <w:rsid w:val="003951F4"/>
    <w:rsid w:val="00395B03"/>
    <w:rsid w:val="00395CE3"/>
    <w:rsid w:val="00395F2F"/>
    <w:rsid w:val="00396389"/>
    <w:rsid w:val="00396860"/>
    <w:rsid w:val="003968EF"/>
    <w:rsid w:val="00396A06"/>
    <w:rsid w:val="00397A2A"/>
    <w:rsid w:val="00397B3E"/>
    <w:rsid w:val="003A0C27"/>
    <w:rsid w:val="003A16DC"/>
    <w:rsid w:val="003A1D5F"/>
    <w:rsid w:val="003A1EB7"/>
    <w:rsid w:val="003A217C"/>
    <w:rsid w:val="003A276B"/>
    <w:rsid w:val="003A2E74"/>
    <w:rsid w:val="003A322D"/>
    <w:rsid w:val="003A5965"/>
    <w:rsid w:val="003A5EE7"/>
    <w:rsid w:val="003A61EA"/>
    <w:rsid w:val="003A6CCB"/>
    <w:rsid w:val="003A782B"/>
    <w:rsid w:val="003A78E5"/>
    <w:rsid w:val="003A7BA6"/>
    <w:rsid w:val="003A7FC7"/>
    <w:rsid w:val="003B0133"/>
    <w:rsid w:val="003B0EA6"/>
    <w:rsid w:val="003B1149"/>
    <w:rsid w:val="003B16EF"/>
    <w:rsid w:val="003B1B37"/>
    <w:rsid w:val="003B1F0E"/>
    <w:rsid w:val="003B2101"/>
    <w:rsid w:val="003B2D3F"/>
    <w:rsid w:val="003B304B"/>
    <w:rsid w:val="003B3A52"/>
    <w:rsid w:val="003B443A"/>
    <w:rsid w:val="003B4940"/>
    <w:rsid w:val="003B4E08"/>
    <w:rsid w:val="003B501B"/>
    <w:rsid w:val="003B5335"/>
    <w:rsid w:val="003B5994"/>
    <w:rsid w:val="003B5B71"/>
    <w:rsid w:val="003B5CC9"/>
    <w:rsid w:val="003B72A0"/>
    <w:rsid w:val="003B7468"/>
    <w:rsid w:val="003B7BA9"/>
    <w:rsid w:val="003C0A5C"/>
    <w:rsid w:val="003C119C"/>
    <w:rsid w:val="003C11FC"/>
    <w:rsid w:val="003C14F5"/>
    <w:rsid w:val="003C18F6"/>
    <w:rsid w:val="003C1B7A"/>
    <w:rsid w:val="003C1BAC"/>
    <w:rsid w:val="003C1E91"/>
    <w:rsid w:val="003C25EA"/>
    <w:rsid w:val="003C2E8F"/>
    <w:rsid w:val="003C331A"/>
    <w:rsid w:val="003C3427"/>
    <w:rsid w:val="003C4147"/>
    <w:rsid w:val="003C47B4"/>
    <w:rsid w:val="003C498A"/>
    <w:rsid w:val="003C5313"/>
    <w:rsid w:val="003C556D"/>
    <w:rsid w:val="003C5779"/>
    <w:rsid w:val="003C5A19"/>
    <w:rsid w:val="003C5B81"/>
    <w:rsid w:val="003C6F48"/>
    <w:rsid w:val="003C7304"/>
    <w:rsid w:val="003C7534"/>
    <w:rsid w:val="003C7990"/>
    <w:rsid w:val="003D04E9"/>
    <w:rsid w:val="003D0742"/>
    <w:rsid w:val="003D0808"/>
    <w:rsid w:val="003D17F4"/>
    <w:rsid w:val="003D195B"/>
    <w:rsid w:val="003D1E53"/>
    <w:rsid w:val="003D26B4"/>
    <w:rsid w:val="003D2B48"/>
    <w:rsid w:val="003D3000"/>
    <w:rsid w:val="003D3E9F"/>
    <w:rsid w:val="003D4315"/>
    <w:rsid w:val="003D4CC1"/>
    <w:rsid w:val="003D5892"/>
    <w:rsid w:val="003D5D32"/>
    <w:rsid w:val="003D5F49"/>
    <w:rsid w:val="003D6350"/>
    <w:rsid w:val="003D7E62"/>
    <w:rsid w:val="003E0770"/>
    <w:rsid w:val="003E1B94"/>
    <w:rsid w:val="003E22BF"/>
    <w:rsid w:val="003E299D"/>
    <w:rsid w:val="003E29CC"/>
    <w:rsid w:val="003E32B4"/>
    <w:rsid w:val="003E3545"/>
    <w:rsid w:val="003E36C6"/>
    <w:rsid w:val="003E3729"/>
    <w:rsid w:val="003E3BE6"/>
    <w:rsid w:val="003E3D0E"/>
    <w:rsid w:val="003E4216"/>
    <w:rsid w:val="003E505B"/>
    <w:rsid w:val="003E5366"/>
    <w:rsid w:val="003E5BC3"/>
    <w:rsid w:val="003E66D0"/>
    <w:rsid w:val="003E6B3A"/>
    <w:rsid w:val="003E6BCC"/>
    <w:rsid w:val="003E731B"/>
    <w:rsid w:val="003E7381"/>
    <w:rsid w:val="003E73FD"/>
    <w:rsid w:val="003F0966"/>
    <w:rsid w:val="003F0BF2"/>
    <w:rsid w:val="003F1174"/>
    <w:rsid w:val="003F147C"/>
    <w:rsid w:val="003F199F"/>
    <w:rsid w:val="003F2208"/>
    <w:rsid w:val="003F286E"/>
    <w:rsid w:val="003F2DF1"/>
    <w:rsid w:val="003F3632"/>
    <w:rsid w:val="003F38CA"/>
    <w:rsid w:val="003F3937"/>
    <w:rsid w:val="003F3AF1"/>
    <w:rsid w:val="003F47FE"/>
    <w:rsid w:val="003F4819"/>
    <w:rsid w:val="003F5229"/>
    <w:rsid w:val="003F5B24"/>
    <w:rsid w:val="003F5B49"/>
    <w:rsid w:val="003F60B8"/>
    <w:rsid w:val="003F6DE6"/>
    <w:rsid w:val="003F6EC4"/>
    <w:rsid w:val="003F7557"/>
    <w:rsid w:val="003F7FC7"/>
    <w:rsid w:val="0040024C"/>
    <w:rsid w:val="00401206"/>
    <w:rsid w:val="004015F2"/>
    <w:rsid w:val="0040191D"/>
    <w:rsid w:val="00401D14"/>
    <w:rsid w:val="004022A4"/>
    <w:rsid w:val="00402920"/>
    <w:rsid w:val="00402BB1"/>
    <w:rsid w:val="004036D0"/>
    <w:rsid w:val="004036E6"/>
    <w:rsid w:val="00404C52"/>
    <w:rsid w:val="00405DD9"/>
    <w:rsid w:val="00406199"/>
    <w:rsid w:val="00406241"/>
    <w:rsid w:val="00406292"/>
    <w:rsid w:val="004064FD"/>
    <w:rsid w:val="0040667F"/>
    <w:rsid w:val="004072F9"/>
    <w:rsid w:val="004073DF"/>
    <w:rsid w:val="004076F0"/>
    <w:rsid w:val="00407AA7"/>
    <w:rsid w:val="00410A48"/>
    <w:rsid w:val="00410BFD"/>
    <w:rsid w:val="00410F53"/>
    <w:rsid w:val="004111EA"/>
    <w:rsid w:val="0041129A"/>
    <w:rsid w:val="004115D4"/>
    <w:rsid w:val="004117EA"/>
    <w:rsid w:val="004118FC"/>
    <w:rsid w:val="00411C59"/>
    <w:rsid w:val="00412B04"/>
    <w:rsid w:val="0041325A"/>
    <w:rsid w:val="00413A3F"/>
    <w:rsid w:val="004143AF"/>
    <w:rsid w:val="004144ED"/>
    <w:rsid w:val="00415265"/>
    <w:rsid w:val="00415411"/>
    <w:rsid w:val="004154A0"/>
    <w:rsid w:val="00415820"/>
    <w:rsid w:val="00415A50"/>
    <w:rsid w:val="00415E5A"/>
    <w:rsid w:val="00416050"/>
    <w:rsid w:val="0041678A"/>
    <w:rsid w:val="00416A54"/>
    <w:rsid w:val="004172D5"/>
    <w:rsid w:val="00417707"/>
    <w:rsid w:val="00417B8A"/>
    <w:rsid w:val="00420ADD"/>
    <w:rsid w:val="00420CF2"/>
    <w:rsid w:val="004219FB"/>
    <w:rsid w:val="00421C5D"/>
    <w:rsid w:val="00421FA9"/>
    <w:rsid w:val="00422572"/>
    <w:rsid w:val="004227E1"/>
    <w:rsid w:val="004228EA"/>
    <w:rsid w:val="004234F5"/>
    <w:rsid w:val="00424363"/>
    <w:rsid w:val="004244CF"/>
    <w:rsid w:val="00424542"/>
    <w:rsid w:val="00424F91"/>
    <w:rsid w:val="004267D4"/>
    <w:rsid w:val="00426C00"/>
    <w:rsid w:val="00426FEF"/>
    <w:rsid w:val="00427202"/>
    <w:rsid w:val="0042745D"/>
    <w:rsid w:val="00427D9F"/>
    <w:rsid w:val="00430028"/>
    <w:rsid w:val="00430110"/>
    <w:rsid w:val="0043057A"/>
    <w:rsid w:val="00430764"/>
    <w:rsid w:val="00430B04"/>
    <w:rsid w:val="004310E4"/>
    <w:rsid w:val="00431E69"/>
    <w:rsid w:val="004323EF"/>
    <w:rsid w:val="004328B9"/>
    <w:rsid w:val="00432ECE"/>
    <w:rsid w:val="0043378D"/>
    <w:rsid w:val="00433810"/>
    <w:rsid w:val="004343F3"/>
    <w:rsid w:val="00434736"/>
    <w:rsid w:val="00434C23"/>
    <w:rsid w:val="00434CE0"/>
    <w:rsid w:val="00435CCE"/>
    <w:rsid w:val="004364C7"/>
    <w:rsid w:val="00436CD2"/>
    <w:rsid w:val="00436DC6"/>
    <w:rsid w:val="004370A4"/>
    <w:rsid w:val="0043740F"/>
    <w:rsid w:val="00437947"/>
    <w:rsid w:val="00437E82"/>
    <w:rsid w:val="00437E90"/>
    <w:rsid w:val="00440466"/>
    <w:rsid w:val="00440A27"/>
    <w:rsid w:val="00440E43"/>
    <w:rsid w:val="004411B8"/>
    <w:rsid w:val="00442534"/>
    <w:rsid w:val="00442AF4"/>
    <w:rsid w:val="00443127"/>
    <w:rsid w:val="00443C61"/>
    <w:rsid w:val="00444190"/>
    <w:rsid w:val="00444198"/>
    <w:rsid w:val="004444DD"/>
    <w:rsid w:val="0044501B"/>
    <w:rsid w:val="0044585C"/>
    <w:rsid w:val="00445C47"/>
    <w:rsid w:val="00446106"/>
    <w:rsid w:val="00446AF4"/>
    <w:rsid w:val="00446E51"/>
    <w:rsid w:val="00447424"/>
    <w:rsid w:val="004475BC"/>
    <w:rsid w:val="00447B4E"/>
    <w:rsid w:val="00447C63"/>
    <w:rsid w:val="00450054"/>
    <w:rsid w:val="004504DA"/>
    <w:rsid w:val="0045145F"/>
    <w:rsid w:val="004519C6"/>
    <w:rsid w:val="00452284"/>
    <w:rsid w:val="00452F2A"/>
    <w:rsid w:val="004537A9"/>
    <w:rsid w:val="00453950"/>
    <w:rsid w:val="00453CC5"/>
    <w:rsid w:val="00453EE5"/>
    <w:rsid w:val="00454174"/>
    <w:rsid w:val="00454617"/>
    <w:rsid w:val="00454A19"/>
    <w:rsid w:val="004555C2"/>
    <w:rsid w:val="0045638A"/>
    <w:rsid w:val="0045647B"/>
    <w:rsid w:val="00456629"/>
    <w:rsid w:val="0045738D"/>
    <w:rsid w:val="00457933"/>
    <w:rsid w:val="00457B67"/>
    <w:rsid w:val="00457F25"/>
    <w:rsid w:val="00457FCC"/>
    <w:rsid w:val="00460196"/>
    <w:rsid w:val="004604CA"/>
    <w:rsid w:val="004607D2"/>
    <w:rsid w:val="00460C67"/>
    <w:rsid w:val="00460F5C"/>
    <w:rsid w:val="00461026"/>
    <w:rsid w:val="004611E4"/>
    <w:rsid w:val="00461561"/>
    <w:rsid w:val="00461B96"/>
    <w:rsid w:val="00461C38"/>
    <w:rsid w:val="0046231D"/>
    <w:rsid w:val="004628CE"/>
    <w:rsid w:val="00462BB0"/>
    <w:rsid w:val="00462E96"/>
    <w:rsid w:val="004630ED"/>
    <w:rsid w:val="00463621"/>
    <w:rsid w:val="0046363C"/>
    <w:rsid w:val="004638D0"/>
    <w:rsid w:val="00463AAA"/>
    <w:rsid w:val="004641DE"/>
    <w:rsid w:val="004644E4"/>
    <w:rsid w:val="00464704"/>
    <w:rsid w:val="00464858"/>
    <w:rsid w:val="004648FC"/>
    <w:rsid w:val="00464DFB"/>
    <w:rsid w:val="004651DA"/>
    <w:rsid w:val="00465F1C"/>
    <w:rsid w:val="00466990"/>
    <w:rsid w:val="004669E4"/>
    <w:rsid w:val="00466B50"/>
    <w:rsid w:val="00467E21"/>
    <w:rsid w:val="00470059"/>
    <w:rsid w:val="00470221"/>
    <w:rsid w:val="00470286"/>
    <w:rsid w:val="0047040A"/>
    <w:rsid w:val="0047142D"/>
    <w:rsid w:val="00471BBC"/>
    <w:rsid w:val="00471C3D"/>
    <w:rsid w:val="00471C86"/>
    <w:rsid w:val="00472B59"/>
    <w:rsid w:val="00473607"/>
    <w:rsid w:val="0047397B"/>
    <w:rsid w:val="00473C17"/>
    <w:rsid w:val="004752DC"/>
    <w:rsid w:val="00475A98"/>
    <w:rsid w:val="004767B9"/>
    <w:rsid w:val="00476B91"/>
    <w:rsid w:val="004778D1"/>
    <w:rsid w:val="00477B5F"/>
    <w:rsid w:val="00477C03"/>
    <w:rsid w:val="00477C92"/>
    <w:rsid w:val="00481560"/>
    <w:rsid w:val="00481815"/>
    <w:rsid w:val="00481A66"/>
    <w:rsid w:val="0048265D"/>
    <w:rsid w:val="00482693"/>
    <w:rsid w:val="00482AC5"/>
    <w:rsid w:val="00483261"/>
    <w:rsid w:val="004832D3"/>
    <w:rsid w:val="004839EC"/>
    <w:rsid w:val="00483A63"/>
    <w:rsid w:val="00483B44"/>
    <w:rsid w:val="00483B6C"/>
    <w:rsid w:val="00483D3D"/>
    <w:rsid w:val="00484305"/>
    <w:rsid w:val="004845AF"/>
    <w:rsid w:val="004845D6"/>
    <w:rsid w:val="00484AA7"/>
    <w:rsid w:val="0048512F"/>
    <w:rsid w:val="004851AC"/>
    <w:rsid w:val="0048576E"/>
    <w:rsid w:val="00485950"/>
    <w:rsid w:val="00485E2A"/>
    <w:rsid w:val="004862DE"/>
    <w:rsid w:val="00486BBF"/>
    <w:rsid w:val="00486D16"/>
    <w:rsid w:val="00486E89"/>
    <w:rsid w:val="00487ADF"/>
    <w:rsid w:val="00487CF5"/>
    <w:rsid w:val="00487D9A"/>
    <w:rsid w:val="00487E3F"/>
    <w:rsid w:val="004901B2"/>
    <w:rsid w:val="004907AC"/>
    <w:rsid w:val="004909A3"/>
    <w:rsid w:val="00490C08"/>
    <w:rsid w:val="00491061"/>
    <w:rsid w:val="004911F0"/>
    <w:rsid w:val="0049275F"/>
    <w:rsid w:val="0049285B"/>
    <w:rsid w:val="004932F0"/>
    <w:rsid w:val="0049349E"/>
    <w:rsid w:val="00493F74"/>
    <w:rsid w:val="004944AE"/>
    <w:rsid w:val="0049462F"/>
    <w:rsid w:val="00494A01"/>
    <w:rsid w:val="00494A84"/>
    <w:rsid w:val="0049526B"/>
    <w:rsid w:val="00496755"/>
    <w:rsid w:val="00497D35"/>
    <w:rsid w:val="00497F21"/>
    <w:rsid w:val="004A013A"/>
    <w:rsid w:val="004A015A"/>
    <w:rsid w:val="004A03CA"/>
    <w:rsid w:val="004A03F9"/>
    <w:rsid w:val="004A0437"/>
    <w:rsid w:val="004A10B3"/>
    <w:rsid w:val="004A1CF0"/>
    <w:rsid w:val="004A1D09"/>
    <w:rsid w:val="004A26A3"/>
    <w:rsid w:val="004A2879"/>
    <w:rsid w:val="004A2A34"/>
    <w:rsid w:val="004A30EA"/>
    <w:rsid w:val="004A3204"/>
    <w:rsid w:val="004A3300"/>
    <w:rsid w:val="004A3669"/>
    <w:rsid w:val="004A3C8C"/>
    <w:rsid w:val="004A477D"/>
    <w:rsid w:val="004A4F3F"/>
    <w:rsid w:val="004A539D"/>
    <w:rsid w:val="004A5BF5"/>
    <w:rsid w:val="004A5D1E"/>
    <w:rsid w:val="004A5FA4"/>
    <w:rsid w:val="004A6075"/>
    <w:rsid w:val="004A6A64"/>
    <w:rsid w:val="004A6E8E"/>
    <w:rsid w:val="004A701D"/>
    <w:rsid w:val="004B00E6"/>
    <w:rsid w:val="004B04C0"/>
    <w:rsid w:val="004B1388"/>
    <w:rsid w:val="004B181C"/>
    <w:rsid w:val="004B1C12"/>
    <w:rsid w:val="004B1DD4"/>
    <w:rsid w:val="004B22D5"/>
    <w:rsid w:val="004B2393"/>
    <w:rsid w:val="004B3A06"/>
    <w:rsid w:val="004B418D"/>
    <w:rsid w:val="004B4FB6"/>
    <w:rsid w:val="004B5036"/>
    <w:rsid w:val="004B53FC"/>
    <w:rsid w:val="004B6510"/>
    <w:rsid w:val="004B6A64"/>
    <w:rsid w:val="004B6E07"/>
    <w:rsid w:val="004B7464"/>
    <w:rsid w:val="004B751E"/>
    <w:rsid w:val="004B7A23"/>
    <w:rsid w:val="004C0310"/>
    <w:rsid w:val="004C0A26"/>
    <w:rsid w:val="004C123E"/>
    <w:rsid w:val="004C27FE"/>
    <w:rsid w:val="004C2BF4"/>
    <w:rsid w:val="004C2D6B"/>
    <w:rsid w:val="004C3093"/>
    <w:rsid w:val="004C3606"/>
    <w:rsid w:val="004C3B4A"/>
    <w:rsid w:val="004C46C4"/>
    <w:rsid w:val="004C4D48"/>
    <w:rsid w:val="004C5082"/>
    <w:rsid w:val="004C50ED"/>
    <w:rsid w:val="004C5136"/>
    <w:rsid w:val="004C5400"/>
    <w:rsid w:val="004C685E"/>
    <w:rsid w:val="004C6978"/>
    <w:rsid w:val="004C6CFF"/>
    <w:rsid w:val="004C6DF9"/>
    <w:rsid w:val="004C6E4E"/>
    <w:rsid w:val="004C7207"/>
    <w:rsid w:val="004C7229"/>
    <w:rsid w:val="004C7778"/>
    <w:rsid w:val="004C7BF7"/>
    <w:rsid w:val="004C7C54"/>
    <w:rsid w:val="004D0236"/>
    <w:rsid w:val="004D0401"/>
    <w:rsid w:val="004D121F"/>
    <w:rsid w:val="004D1B90"/>
    <w:rsid w:val="004D1E92"/>
    <w:rsid w:val="004D2E6B"/>
    <w:rsid w:val="004D3677"/>
    <w:rsid w:val="004D407D"/>
    <w:rsid w:val="004D4948"/>
    <w:rsid w:val="004D51C2"/>
    <w:rsid w:val="004D5218"/>
    <w:rsid w:val="004D56AA"/>
    <w:rsid w:val="004D5877"/>
    <w:rsid w:val="004D5EAC"/>
    <w:rsid w:val="004D6846"/>
    <w:rsid w:val="004D7072"/>
    <w:rsid w:val="004D7347"/>
    <w:rsid w:val="004D76FA"/>
    <w:rsid w:val="004D7B02"/>
    <w:rsid w:val="004E1742"/>
    <w:rsid w:val="004E1876"/>
    <w:rsid w:val="004E1C07"/>
    <w:rsid w:val="004E2624"/>
    <w:rsid w:val="004E2625"/>
    <w:rsid w:val="004E27D3"/>
    <w:rsid w:val="004E2888"/>
    <w:rsid w:val="004E2C04"/>
    <w:rsid w:val="004E2CD0"/>
    <w:rsid w:val="004E3FDD"/>
    <w:rsid w:val="004E4132"/>
    <w:rsid w:val="004E437F"/>
    <w:rsid w:val="004E494E"/>
    <w:rsid w:val="004E4B06"/>
    <w:rsid w:val="004E5859"/>
    <w:rsid w:val="004E5DF9"/>
    <w:rsid w:val="004E606B"/>
    <w:rsid w:val="004E6885"/>
    <w:rsid w:val="004E71A7"/>
    <w:rsid w:val="004F035F"/>
    <w:rsid w:val="004F0478"/>
    <w:rsid w:val="004F0FEE"/>
    <w:rsid w:val="004F1C6C"/>
    <w:rsid w:val="004F1F5D"/>
    <w:rsid w:val="004F2323"/>
    <w:rsid w:val="004F276D"/>
    <w:rsid w:val="004F2F6B"/>
    <w:rsid w:val="004F37BA"/>
    <w:rsid w:val="004F4094"/>
    <w:rsid w:val="004F47C2"/>
    <w:rsid w:val="004F4C02"/>
    <w:rsid w:val="004F52A5"/>
    <w:rsid w:val="004F5992"/>
    <w:rsid w:val="004F5D4A"/>
    <w:rsid w:val="004F6078"/>
    <w:rsid w:val="004F6A57"/>
    <w:rsid w:val="004F738D"/>
    <w:rsid w:val="004F7511"/>
    <w:rsid w:val="004F7604"/>
    <w:rsid w:val="004F7D8A"/>
    <w:rsid w:val="00501795"/>
    <w:rsid w:val="00501B13"/>
    <w:rsid w:val="00501C0B"/>
    <w:rsid w:val="00501CE0"/>
    <w:rsid w:val="00501D3A"/>
    <w:rsid w:val="00502A87"/>
    <w:rsid w:val="00502CCB"/>
    <w:rsid w:val="005031DB"/>
    <w:rsid w:val="005031ED"/>
    <w:rsid w:val="00503F90"/>
    <w:rsid w:val="00504AB3"/>
    <w:rsid w:val="00504EDA"/>
    <w:rsid w:val="0050535E"/>
    <w:rsid w:val="005058DD"/>
    <w:rsid w:val="00505B05"/>
    <w:rsid w:val="00505CF1"/>
    <w:rsid w:val="0050639B"/>
    <w:rsid w:val="005063F8"/>
    <w:rsid w:val="00506867"/>
    <w:rsid w:val="00506DC9"/>
    <w:rsid w:val="00507673"/>
    <w:rsid w:val="00507FD6"/>
    <w:rsid w:val="00510327"/>
    <w:rsid w:val="005108BD"/>
    <w:rsid w:val="00510991"/>
    <w:rsid w:val="00510AA6"/>
    <w:rsid w:val="00510AD6"/>
    <w:rsid w:val="00511754"/>
    <w:rsid w:val="00511B7C"/>
    <w:rsid w:val="00512C4C"/>
    <w:rsid w:val="005134EA"/>
    <w:rsid w:val="0051353C"/>
    <w:rsid w:val="00514218"/>
    <w:rsid w:val="00514235"/>
    <w:rsid w:val="00514DAF"/>
    <w:rsid w:val="00515133"/>
    <w:rsid w:val="005154D8"/>
    <w:rsid w:val="00515930"/>
    <w:rsid w:val="005165F2"/>
    <w:rsid w:val="00516C10"/>
    <w:rsid w:val="0051743E"/>
    <w:rsid w:val="005176B9"/>
    <w:rsid w:val="0051777C"/>
    <w:rsid w:val="005202DE"/>
    <w:rsid w:val="005206FF"/>
    <w:rsid w:val="00520C75"/>
    <w:rsid w:val="00521D19"/>
    <w:rsid w:val="00522016"/>
    <w:rsid w:val="00522290"/>
    <w:rsid w:val="00522739"/>
    <w:rsid w:val="00522823"/>
    <w:rsid w:val="005241C4"/>
    <w:rsid w:val="0052476F"/>
    <w:rsid w:val="00524862"/>
    <w:rsid w:val="005250F0"/>
    <w:rsid w:val="00525D2E"/>
    <w:rsid w:val="00525FE1"/>
    <w:rsid w:val="00526038"/>
    <w:rsid w:val="005260F6"/>
    <w:rsid w:val="00526841"/>
    <w:rsid w:val="005274CF"/>
    <w:rsid w:val="005276E5"/>
    <w:rsid w:val="0052770B"/>
    <w:rsid w:val="00527C83"/>
    <w:rsid w:val="00530247"/>
    <w:rsid w:val="00530378"/>
    <w:rsid w:val="0053064E"/>
    <w:rsid w:val="00531254"/>
    <w:rsid w:val="00531AD1"/>
    <w:rsid w:val="005320F6"/>
    <w:rsid w:val="005329EB"/>
    <w:rsid w:val="005331F3"/>
    <w:rsid w:val="00533387"/>
    <w:rsid w:val="005335C0"/>
    <w:rsid w:val="00533689"/>
    <w:rsid w:val="005336CD"/>
    <w:rsid w:val="00534145"/>
    <w:rsid w:val="00534B4E"/>
    <w:rsid w:val="00534F37"/>
    <w:rsid w:val="00535C0C"/>
    <w:rsid w:val="005366FA"/>
    <w:rsid w:val="00536F36"/>
    <w:rsid w:val="00537444"/>
    <w:rsid w:val="00537869"/>
    <w:rsid w:val="00537F4A"/>
    <w:rsid w:val="0054060D"/>
    <w:rsid w:val="00540BB8"/>
    <w:rsid w:val="00541AE3"/>
    <w:rsid w:val="00541AF5"/>
    <w:rsid w:val="00541FD7"/>
    <w:rsid w:val="00542203"/>
    <w:rsid w:val="00542912"/>
    <w:rsid w:val="00542DF3"/>
    <w:rsid w:val="00544132"/>
    <w:rsid w:val="00544333"/>
    <w:rsid w:val="0054484F"/>
    <w:rsid w:val="00544FAA"/>
    <w:rsid w:val="00545EB4"/>
    <w:rsid w:val="00545FC9"/>
    <w:rsid w:val="00546762"/>
    <w:rsid w:val="00546950"/>
    <w:rsid w:val="00546FF1"/>
    <w:rsid w:val="005479A4"/>
    <w:rsid w:val="005500DE"/>
    <w:rsid w:val="00550533"/>
    <w:rsid w:val="0055188D"/>
    <w:rsid w:val="00551979"/>
    <w:rsid w:val="00551AF0"/>
    <w:rsid w:val="0055255A"/>
    <w:rsid w:val="00553126"/>
    <w:rsid w:val="005536EA"/>
    <w:rsid w:val="00554465"/>
    <w:rsid w:val="00554CF9"/>
    <w:rsid w:val="005562F2"/>
    <w:rsid w:val="005564F7"/>
    <w:rsid w:val="005567B6"/>
    <w:rsid w:val="00556DD3"/>
    <w:rsid w:val="00557044"/>
    <w:rsid w:val="005571E7"/>
    <w:rsid w:val="0055758E"/>
    <w:rsid w:val="005578F3"/>
    <w:rsid w:val="0055790F"/>
    <w:rsid w:val="0056017D"/>
    <w:rsid w:val="00561247"/>
    <w:rsid w:val="00561496"/>
    <w:rsid w:val="005614A9"/>
    <w:rsid w:val="005617AE"/>
    <w:rsid w:val="005619F0"/>
    <w:rsid w:val="00561F38"/>
    <w:rsid w:val="005623BB"/>
    <w:rsid w:val="005626A2"/>
    <w:rsid w:val="00562954"/>
    <w:rsid w:val="00562F8F"/>
    <w:rsid w:val="00563030"/>
    <w:rsid w:val="0056317A"/>
    <w:rsid w:val="00563494"/>
    <w:rsid w:val="00563CE1"/>
    <w:rsid w:val="00563FB5"/>
    <w:rsid w:val="00564BF2"/>
    <w:rsid w:val="005668A8"/>
    <w:rsid w:val="00566E42"/>
    <w:rsid w:val="005674D3"/>
    <w:rsid w:val="005675FE"/>
    <w:rsid w:val="00567932"/>
    <w:rsid w:val="00570250"/>
    <w:rsid w:val="00571121"/>
    <w:rsid w:val="005711C0"/>
    <w:rsid w:val="005720BB"/>
    <w:rsid w:val="0057232A"/>
    <w:rsid w:val="0057259E"/>
    <w:rsid w:val="00572758"/>
    <w:rsid w:val="0057297D"/>
    <w:rsid w:val="00573A3F"/>
    <w:rsid w:val="005742C7"/>
    <w:rsid w:val="00574F29"/>
    <w:rsid w:val="00575348"/>
    <w:rsid w:val="00575352"/>
    <w:rsid w:val="0057542D"/>
    <w:rsid w:val="005756C2"/>
    <w:rsid w:val="00575FF1"/>
    <w:rsid w:val="0057703D"/>
    <w:rsid w:val="005776FE"/>
    <w:rsid w:val="00580C7B"/>
    <w:rsid w:val="005812C0"/>
    <w:rsid w:val="00581B4F"/>
    <w:rsid w:val="00581F00"/>
    <w:rsid w:val="00582030"/>
    <w:rsid w:val="0058230D"/>
    <w:rsid w:val="00582489"/>
    <w:rsid w:val="00582602"/>
    <w:rsid w:val="00582757"/>
    <w:rsid w:val="0058294E"/>
    <w:rsid w:val="005836DD"/>
    <w:rsid w:val="00583D9E"/>
    <w:rsid w:val="00583E1D"/>
    <w:rsid w:val="00584149"/>
    <w:rsid w:val="0058423B"/>
    <w:rsid w:val="00584468"/>
    <w:rsid w:val="00584E4D"/>
    <w:rsid w:val="0058563E"/>
    <w:rsid w:val="0058573D"/>
    <w:rsid w:val="005859BD"/>
    <w:rsid w:val="00585E91"/>
    <w:rsid w:val="00586417"/>
    <w:rsid w:val="005868D2"/>
    <w:rsid w:val="005875FB"/>
    <w:rsid w:val="005876A0"/>
    <w:rsid w:val="005876A5"/>
    <w:rsid w:val="00587895"/>
    <w:rsid w:val="00587B26"/>
    <w:rsid w:val="00587B8C"/>
    <w:rsid w:val="00590185"/>
    <w:rsid w:val="005903E5"/>
    <w:rsid w:val="005906E7"/>
    <w:rsid w:val="00590838"/>
    <w:rsid w:val="0059084D"/>
    <w:rsid w:val="00590DAE"/>
    <w:rsid w:val="00590FBA"/>
    <w:rsid w:val="00591928"/>
    <w:rsid w:val="00591C8D"/>
    <w:rsid w:val="00591CD9"/>
    <w:rsid w:val="00592245"/>
    <w:rsid w:val="00592377"/>
    <w:rsid w:val="00592ADA"/>
    <w:rsid w:val="00592BC2"/>
    <w:rsid w:val="00593098"/>
    <w:rsid w:val="00593261"/>
    <w:rsid w:val="00593D5F"/>
    <w:rsid w:val="00594089"/>
    <w:rsid w:val="005944A0"/>
    <w:rsid w:val="0059450B"/>
    <w:rsid w:val="005946B6"/>
    <w:rsid w:val="00594CFD"/>
    <w:rsid w:val="00594DDE"/>
    <w:rsid w:val="00595676"/>
    <w:rsid w:val="005956F3"/>
    <w:rsid w:val="00595A87"/>
    <w:rsid w:val="00595AA3"/>
    <w:rsid w:val="00595D8D"/>
    <w:rsid w:val="0059604B"/>
    <w:rsid w:val="0059650B"/>
    <w:rsid w:val="0059687F"/>
    <w:rsid w:val="00597402"/>
    <w:rsid w:val="00597E6A"/>
    <w:rsid w:val="005A0DF4"/>
    <w:rsid w:val="005A12F0"/>
    <w:rsid w:val="005A147A"/>
    <w:rsid w:val="005A15EE"/>
    <w:rsid w:val="005A1B24"/>
    <w:rsid w:val="005A2F7A"/>
    <w:rsid w:val="005A352C"/>
    <w:rsid w:val="005A45BD"/>
    <w:rsid w:val="005A46CE"/>
    <w:rsid w:val="005A49A7"/>
    <w:rsid w:val="005A4AE8"/>
    <w:rsid w:val="005A4B76"/>
    <w:rsid w:val="005A4C09"/>
    <w:rsid w:val="005A4D3E"/>
    <w:rsid w:val="005A4F9F"/>
    <w:rsid w:val="005A66D9"/>
    <w:rsid w:val="005A7084"/>
    <w:rsid w:val="005A708A"/>
    <w:rsid w:val="005A7158"/>
    <w:rsid w:val="005A781F"/>
    <w:rsid w:val="005B0163"/>
    <w:rsid w:val="005B01EC"/>
    <w:rsid w:val="005B0C64"/>
    <w:rsid w:val="005B1A19"/>
    <w:rsid w:val="005B258C"/>
    <w:rsid w:val="005B2918"/>
    <w:rsid w:val="005B2BF7"/>
    <w:rsid w:val="005B362E"/>
    <w:rsid w:val="005B37D0"/>
    <w:rsid w:val="005B4E70"/>
    <w:rsid w:val="005B5237"/>
    <w:rsid w:val="005B586E"/>
    <w:rsid w:val="005B59EF"/>
    <w:rsid w:val="005B5A90"/>
    <w:rsid w:val="005B5B49"/>
    <w:rsid w:val="005B67DA"/>
    <w:rsid w:val="005B6CE2"/>
    <w:rsid w:val="005B79A7"/>
    <w:rsid w:val="005B7BBB"/>
    <w:rsid w:val="005C0652"/>
    <w:rsid w:val="005C06FC"/>
    <w:rsid w:val="005C08CD"/>
    <w:rsid w:val="005C09DF"/>
    <w:rsid w:val="005C1236"/>
    <w:rsid w:val="005C14D7"/>
    <w:rsid w:val="005C1C72"/>
    <w:rsid w:val="005C1EBE"/>
    <w:rsid w:val="005C2C69"/>
    <w:rsid w:val="005C30C4"/>
    <w:rsid w:val="005C3472"/>
    <w:rsid w:val="005C3666"/>
    <w:rsid w:val="005C3D81"/>
    <w:rsid w:val="005C42FE"/>
    <w:rsid w:val="005C4478"/>
    <w:rsid w:val="005C4BCF"/>
    <w:rsid w:val="005C517F"/>
    <w:rsid w:val="005C65A4"/>
    <w:rsid w:val="005C6BB9"/>
    <w:rsid w:val="005C7222"/>
    <w:rsid w:val="005C7C91"/>
    <w:rsid w:val="005D020A"/>
    <w:rsid w:val="005D031D"/>
    <w:rsid w:val="005D0354"/>
    <w:rsid w:val="005D0586"/>
    <w:rsid w:val="005D081B"/>
    <w:rsid w:val="005D08CE"/>
    <w:rsid w:val="005D19B5"/>
    <w:rsid w:val="005D1E29"/>
    <w:rsid w:val="005D2B25"/>
    <w:rsid w:val="005D33D9"/>
    <w:rsid w:val="005D3456"/>
    <w:rsid w:val="005D3793"/>
    <w:rsid w:val="005D3C9B"/>
    <w:rsid w:val="005D488D"/>
    <w:rsid w:val="005D4B9A"/>
    <w:rsid w:val="005D4CC7"/>
    <w:rsid w:val="005D53DC"/>
    <w:rsid w:val="005D67C7"/>
    <w:rsid w:val="005D73AF"/>
    <w:rsid w:val="005D7500"/>
    <w:rsid w:val="005E05A8"/>
    <w:rsid w:val="005E11B3"/>
    <w:rsid w:val="005E12CB"/>
    <w:rsid w:val="005E13EC"/>
    <w:rsid w:val="005E1C84"/>
    <w:rsid w:val="005E2000"/>
    <w:rsid w:val="005E22FB"/>
    <w:rsid w:val="005E2CBD"/>
    <w:rsid w:val="005E3887"/>
    <w:rsid w:val="005E3C14"/>
    <w:rsid w:val="005E41E9"/>
    <w:rsid w:val="005E4709"/>
    <w:rsid w:val="005E4C5B"/>
    <w:rsid w:val="005E4F3C"/>
    <w:rsid w:val="005E54C1"/>
    <w:rsid w:val="005E5550"/>
    <w:rsid w:val="005E563A"/>
    <w:rsid w:val="005E5D79"/>
    <w:rsid w:val="005E5DF2"/>
    <w:rsid w:val="005E6041"/>
    <w:rsid w:val="005E6070"/>
    <w:rsid w:val="005E6B14"/>
    <w:rsid w:val="005E7163"/>
    <w:rsid w:val="005E71AE"/>
    <w:rsid w:val="005F0070"/>
    <w:rsid w:val="005F0922"/>
    <w:rsid w:val="005F12A9"/>
    <w:rsid w:val="005F138F"/>
    <w:rsid w:val="005F1F91"/>
    <w:rsid w:val="005F2195"/>
    <w:rsid w:val="005F2668"/>
    <w:rsid w:val="005F317B"/>
    <w:rsid w:val="005F317E"/>
    <w:rsid w:val="005F3433"/>
    <w:rsid w:val="005F3668"/>
    <w:rsid w:val="005F38C1"/>
    <w:rsid w:val="005F3B07"/>
    <w:rsid w:val="005F469D"/>
    <w:rsid w:val="005F4C13"/>
    <w:rsid w:val="005F4DEE"/>
    <w:rsid w:val="005F5171"/>
    <w:rsid w:val="005F539B"/>
    <w:rsid w:val="005F560A"/>
    <w:rsid w:val="005F56B0"/>
    <w:rsid w:val="005F6743"/>
    <w:rsid w:val="005F684D"/>
    <w:rsid w:val="005F76FB"/>
    <w:rsid w:val="00600073"/>
    <w:rsid w:val="00600F4B"/>
    <w:rsid w:val="00601006"/>
    <w:rsid w:val="006014EB"/>
    <w:rsid w:val="0060153B"/>
    <w:rsid w:val="00601A86"/>
    <w:rsid w:val="00601D0F"/>
    <w:rsid w:val="00602309"/>
    <w:rsid w:val="00602561"/>
    <w:rsid w:val="00602B55"/>
    <w:rsid w:val="0060391C"/>
    <w:rsid w:val="00603C43"/>
    <w:rsid w:val="006040B8"/>
    <w:rsid w:val="006043B7"/>
    <w:rsid w:val="00604C5C"/>
    <w:rsid w:val="00604ECE"/>
    <w:rsid w:val="00605871"/>
    <w:rsid w:val="00605D01"/>
    <w:rsid w:val="00606058"/>
    <w:rsid w:val="00606DF4"/>
    <w:rsid w:val="00607199"/>
    <w:rsid w:val="00607884"/>
    <w:rsid w:val="00607D72"/>
    <w:rsid w:val="0061042A"/>
    <w:rsid w:val="00610530"/>
    <w:rsid w:val="00610E45"/>
    <w:rsid w:val="00611A37"/>
    <w:rsid w:val="00612505"/>
    <w:rsid w:val="00612625"/>
    <w:rsid w:val="00613191"/>
    <w:rsid w:val="006131C6"/>
    <w:rsid w:val="006133BB"/>
    <w:rsid w:val="00613746"/>
    <w:rsid w:val="006138E8"/>
    <w:rsid w:val="00613D9B"/>
    <w:rsid w:val="00613EBD"/>
    <w:rsid w:val="00614162"/>
    <w:rsid w:val="00614172"/>
    <w:rsid w:val="006142A9"/>
    <w:rsid w:val="00614767"/>
    <w:rsid w:val="00614B27"/>
    <w:rsid w:val="00615AA0"/>
    <w:rsid w:val="00615DFE"/>
    <w:rsid w:val="00616218"/>
    <w:rsid w:val="00616AEF"/>
    <w:rsid w:val="00616CD3"/>
    <w:rsid w:val="00616F48"/>
    <w:rsid w:val="00620839"/>
    <w:rsid w:val="00620917"/>
    <w:rsid w:val="00620B3C"/>
    <w:rsid w:val="00621052"/>
    <w:rsid w:val="00621806"/>
    <w:rsid w:val="00621970"/>
    <w:rsid w:val="00621A29"/>
    <w:rsid w:val="00621AB5"/>
    <w:rsid w:val="00622E9E"/>
    <w:rsid w:val="00623079"/>
    <w:rsid w:val="006236B7"/>
    <w:rsid w:val="00623B1F"/>
    <w:rsid w:val="00623BD8"/>
    <w:rsid w:val="00623EB3"/>
    <w:rsid w:val="0062458B"/>
    <w:rsid w:val="0062466B"/>
    <w:rsid w:val="006246CF"/>
    <w:rsid w:val="006247ED"/>
    <w:rsid w:val="00624D8A"/>
    <w:rsid w:val="00625260"/>
    <w:rsid w:val="0062539F"/>
    <w:rsid w:val="00626082"/>
    <w:rsid w:val="006261EE"/>
    <w:rsid w:val="00626F3A"/>
    <w:rsid w:val="00627026"/>
    <w:rsid w:val="006301DD"/>
    <w:rsid w:val="00630331"/>
    <w:rsid w:val="0063057F"/>
    <w:rsid w:val="00630A72"/>
    <w:rsid w:val="00631165"/>
    <w:rsid w:val="0063197D"/>
    <w:rsid w:val="00631A7A"/>
    <w:rsid w:val="00631E2A"/>
    <w:rsid w:val="00631E9E"/>
    <w:rsid w:val="00631F31"/>
    <w:rsid w:val="0063262A"/>
    <w:rsid w:val="00633604"/>
    <w:rsid w:val="00633C71"/>
    <w:rsid w:val="00633E50"/>
    <w:rsid w:val="00633FAD"/>
    <w:rsid w:val="00633FAE"/>
    <w:rsid w:val="006349E3"/>
    <w:rsid w:val="00634E05"/>
    <w:rsid w:val="00635238"/>
    <w:rsid w:val="006354E9"/>
    <w:rsid w:val="0063577B"/>
    <w:rsid w:val="00635F58"/>
    <w:rsid w:val="00636261"/>
    <w:rsid w:val="00636566"/>
    <w:rsid w:val="00636A36"/>
    <w:rsid w:val="00637402"/>
    <w:rsid w:val="00637BDB"/>
    <w:rsid w:val="00637F17"/>
    <w:rsid w:val="00640E79"/>
    <w:rsid w:val="00641B46"/>
    <w:rsid w:val="006421B5"/>
    <w:rsid w:val="0064273F"/>
    <w:rsid w:val="00642C0B"/>
    <w:rsid w:val="0064342B"/>
    <w:rsid w:val="006435A5"/>
    <w:rsid w:val="006437F2"/>
    <w:rsid w:val="0064380E"/>
    <w:rsid w:val="006439F0"/>
    <w:rsid w:val="00643AAF"/>
    <w:rsid w:val="00644137"/>
    <w:rsid w:val="006441A0"/>
    <w:rsid w:val="006445B8"/>
    <w:rsid w:val="0064460D"/>
    <w:rsid w:val="00644699"/>
    <w:rsid w:val="006447C3"/>
    <w:rsid w:val="006452B0"/>
    <w:rsid w:val="00645896"/>
    <w:rsid w:val="00645E3E"/>
    <w:rsid w:val="00645FD5"/>
    <w:rsid w:val="00646843"/>
    <w:rsid w:val="00646E33"/>
    <w:rsid w:val="0064705B"/>
    <w:rsid w:val="006472F5"/>
    <w:rsid w:val="006479FF"/>
    <w:rsid w:val="00647D43"/>
    <w:rsid w:val="00647F94"/>
    <w:rsid w:val="00650CD6"/>
    <w:rsid w:val="00651BDB"/>
    <w:rsid w:val="00651D02"/>
    <w:rsid w:val="0065289A"/>
    <w:rsid w:val="00653082"/>
    <w:rsid w:val="0065336A"/>
    <w:rsid w:val="00654762"/>
    <w:rsid w:val="00654CB5"/>
    <w:rsid w:val="00655159"/>
    <w:rsid w:val="006560A1"/>
    <w:rsid w:val="0065618A"/>
    <w:rsid w:val="006565BA"/>
    <w:rsid w:val="00656C40"/>
    <w:rsid w:val="00657BDA"/>
    <w:rsid w:val="00657CA0"/>
    <w:rsid w:val="006607EE"/>
    <w:rsid w:val="00660A42"/>
    <w:rsid w:val="006614E5"/>
    <w:rsid w:val="00661E54"/>
    <w:rsid w:val="00662024"/>
    <w:rsid w:val="00662746"/>
    <w:rsid w:val="0066298A"/>
    <w:rsid w:val="00662CCA"/>
    <w:rsid w:val="00663655"/>
    <w:rsid w:val="00663CA1"/>
    <w:rsid w:val="00663F02"/>
    <w:rsid w:val="00664179"/>
    <w:rsid w:val="006648E9"/>
    <w:rsid w:val="0066493B"/>
    <w:rsid w:val="00665115"/>
    <w:rsid w:val="006651EF"/>
    <w:rsid w:val="00665241"/>
    <w:rsid w:val="006652EF"/>
    <w:rsid w:val="00665B87"/>
    <w:rsid w:val="00666664"/>
    <w:rsid w:val="00666694"/>
    <w:rsid w:val="006667D7"/>
    <w:rsid w:val="0066710B"/>
    <w:rsid w:val="00667309"/>
    <w:rsid w:val="006674F9"/>
    <w:rsid w:val="00667BD7"/>
    <w:rsid w:val="00667DCB"/>
    <w:rsid w:val="00670921"/>
    <w:rsid w:val="00670CB3"/>
    <w:rsid w:val="006716A4"/>
    <w:rsid w:val="00671A3C"/>
    <w:rsid w:val="00672EAA"/>
    <w:rsid w:val="00673A05"/>
    <w:rsid w:val="00673BA6"/>
    <w:rsid w:val="00673FC7"/>
    <w:rsid w:val="00674574"/>
    <w:rsid w:val="00674897"/>
    <w:rsid w:val="00674F64"/>
    <w:rsid w:val="006750D1"/>
    <w:rsid w:val="00676285"/>
    <w:rsid w:val="00676A2C"/>
    <w:rsid w:val="00676D6D"/>
    <w:rsid w:val="00677200"/>
    <w:rsid w:val="00677622"/>
    <w:rsid w:val="00680922"/>
    <w:rsid w:val="006809A1"/>
    <w:rsid w:val="00680BC6"/>
    <w:rsid w:val="00680C08"/>
    <w:rsid w:val="00680CC5"/>
    <w:rsid w:val="0068120A"/>
    <w:rsid w:val="006818DB"/>
    <w:rsid w:val="0068197E"/>
    <w:rsid w:val="00682986"/>
    <w:rsid w:val="00682C15"/>
    <w:rsid w:val="00683095"/>
    <w:rsid w:val="006833D8"/>
    <w:rsid w:val="00683709"/>
    <w:rsid w:val="0068378E"/>
    <w:rsid w:val="00683D3D"/>
    <w:rsid w:val="00683F86"/>
    <w:rsid w:val="006843B0"/>
    <w:rsid w:val="006843FC"/>
    <w:rsid w:val="0068520E"/>
    <w:rsid w:val="00685530"/>
    <w:rsid w:val="0068665B"/>
    <w:rsid w:val="0068767B"/>
    <w:rsid w:val="0068793E"/>
    <w:rsid w:val="00690E6A"/>
    <w:rsid w:val="006928F6"/>
    <w:rsid w:val="00692C18"/>
    <w:rsid w:val="006935A7"/>
    <w:rsid w:val="006935F2"/>
    <w:rsid w:val="00693A7B"/>
    <w:rsid w:val="00693AD1"/>
    <w:rsid w:val="006942FD"/>
    <w:rsid w:val="00694D52"/>
    <w:rsid w:val="00695003"/>
    <w:rsid w:val="00695004"/>
    <w:rsid w:val="006954C9"/>
    <w:rsid w:val="00695F1E"/>
    <w:rsid w:val="006966CF"/>
    <w:rsid w:val="00696F11"/>
    <w:rsid w:val="00696FDD"/>
    <w:rsid w:val="00697043"/>
    <w:rsid w:val="00697418"/>
    <w:rsid w:val="006977D5"/>
    <w:rsid w:val="00697BDE"/>
    <w:rsid w:val="006A0540"/>
    <w:rsid w:val="006A0D23"/>
    <w:rsid w:val="006A0DA5"/>
    <w:rsid w:val="006A0E5A"/>
    <w:rsid w:val="006A2060"/>
    <w:rsid w:val="006A2079"/>
    <w:rsid w:val="006A211F"/>
    <w:rsid w:val="006A24D1"/>
    <w:rsid w:val="006A264B"/>
    <w:rsid w:val="006A289F"/>
    <w:rsid w:val="006A28CB"/>
    <w:rsid w:val="006A351B"/>
    <w:rsid w:val="006A36DA"/>
    <w:rsid w:val="006A3964"/>
    <w:rsid w:val="006A3B88"/>
    <w:rsid w:val="006A4330"/>
    <w:rsid w:val="006A44C4"/>
    <w:rsid w:val="006A4E33"/>
    <w:rsid w:val="006A51A0"/>
    <w:rsid w:val="006A54A5"/>
    <w:rsid w:val="006A582E"/>
    <w:rsid w:val="006A585F"/>
    <w:rsid w:val="006A5AB4"/>
    <w:rsid w:val="006A5CEA"/>
    <w:rsid w:val="006A5F87"/>
    <w:rsid w:val="006A74C6"/>
    <w:rsid w:val="006A74DE"/>
    <w:rsid w:val="006A7E40"/>
    <w:rsid w:val="006A7FA3"/>
    <w:rsid w:val="006B0183"/>
    <w:rsid w:val="006B0190"/>
    <w:rsid w:val="006B0E3C"/>
    <w:rsid w:val="006B0EBD"/>
    <w:rsid w:val="006B0F98"/>
    <w:rsid w:val="006B1615"/>
    <w:rsid w:val="006B19C0"/>
    <w:rsid w:val="006B1AD9"/>
    <w:rsid w:val="006B1DD8"/>
    <w:rsid w:val="006B2857"/>
    <w:rsid w:val="006B34AC"/>
    <w:rsid w:val="006B3622"/>
    <w:rsid w:val="006B40D9"/>
    <w:rsid w:val="006B4527"/>
    <w:rsid w:val="006B485E"/>
    <w:rsid w:val="006B4BEF"/>
    <w:rsid w:val="006B4FD3"/>
    <w:rsid w:val="006B54C7"/>
    <w:rsid w:val="006B54C9"/>
    <w:rsid w:val="006B552D"/>
    <w:rsid w:val="006B57DB"/>
    <w:rsid w:val="006B5972"/>
    <w:rsid w:val="006B5981"/>
    <w:rsid w:val="006B5A04"/>
    <w:rsid w:val="006B70C7"/>
    <w:rsid w:val="006B7581"/>
    <w:rsid w:val="006B7AE6"/>
    <w:rsid w:val="006C0173"/>
    <w:rsid w:val="006C0285"/>
    <w:rsid w:val="006C042F"/>
    <w:rsid w:val="006C0505"/>
    <w:rsid w:val="006C1419"/>
    <w:rsid w:val="006C1B3E"/>
    <w:rsid w:val="006C1C51"/>
    <w:rsid w:val="006C1D7F"/>
    <w:rsid w:val="006C1DAC"/>
    <w:rsid w:val="006C207F"/>
    <w:rsid w:val="006C382E"/>
    <w:rsid w:val="006C3BB0"/>
    <w:rsid w:val="006C4A13"/>
    <w:rsid w:val="006C5DD9"/>
    <w:rsid w:val="006C650F"/>
    <w:rsid w:val="006C6596"/>
    <w:rsid w:val="006C67BC"/>
    <w:rsid w:val="006C6D74"/>
    <w:rsid w:val="006C72FA"/>
    <w:rsid w:val="006C7F8D"/>
    <w:rsid w:val="006D045C"/>
    <w:rsid w:val="006D0B19"/>
    <w:rsid w:val="006D0E35"/>
    <w:rsid w:val="006D1846"/>
    <w:rsid w:val="006D1A26"/>
    <w:rsid w:val="006D1CF7"/>
    <w:rsid w:val="006D2478"/>
    <w:rsid w:val="006D2859"/>
    <w:rsid w:val="006D29F0"/>
    <w:rsid w:val="006D3240"/>
    <w:rsid w:val="006D3EAC"/>
    <w:rsid w:val="006D4145"/>
    <w:rsid w:val="006D4193"/>
    <w:rsid w:val="006D4312"/>
    <w:rsid w:val="006D4B95"/>
    <w:rsid w:val="006D4BA0"/>
    <w:rsid w:val="006D5059"/>
    <w:rsid w:val="006D65FA"/>
    <w:rsid w:val="006D672C"/>
    <w:rsid w:val="006D6CFC"/>
    <w:rsid w:val="006D78AF"/>
    <w:rsid w:val="006D7DB0"/>
    <w:rsid w:val="006E1035"/>
    <w:rsid w:val="006E2919"/>
    <w:rsid w:val="006E2DDA"/>
    <w:rsid w:val="006E30A4"/>
    <w:rsid w:val="006E30D6"/>
    <w:rsid w:val="006E3738"/>
    <w:rsid w:val="006E3F39"/>
    <w:rsid w:val="006E4B7A"/>
    <w:rsid w:val="006E4FEA"/>
    <w:rsid w:val="006E4FF8"/>
    <w:rsid w:val="006E5806"/>
    <w:rsid w:val="006E6071"/>
    <w:rsid w:val="006E66BD"/>
    <w:rsid w:val="006E6D96"/>
    <w:rsid w:val="006E715E"/>
    <w:rsid w:val="006E771E"/>
    <w:rsid w:val="006E7928"/>
    <w:rsid w:val="006E7A57"/>
    <w:rsid w:val="006E7A97"/>
    <w:rsid w:val="006E7C29"/>
    <w:rsid w:val="006E7C5B"/>
    <w:rsid w:val="006E7E41"/>
    <w:rsid w:val="006F021E"/>
    <w:rsid w:val="006F069F"/>
    <w:rsid w:val="006F0C7E"/>
    <w:rsid w:val="006F1642"/>
    <w:rsid w:val="006F339E"/>
    <w:rsid w:val="006F35FE"/>
    <w:rsid w:val="006F36F4"/>
    <w:rsid w:val="006F3F1B"/>
    <w:rsid w:val="006F464D"/>
    <w:rsid w:val="006F4B65"/>
    <w:rsid w:val="006F504E"/>
    <w:rsid w:val="006F511C"/>
    <w:rsid w:val="006F53F5"/>
    <w:rsid w:val="006F5595"/>
    <w:rsid w:val="006F5615"/>
    <w:rsid w:val="006F5985"/>
    <w:rsid w:val="006F5E63"/>
    <w:rsid w:val="006F737B"/>
    <w:rsid w:val="006F740F"/>
    <w:rsid w:val="006F7586"/>
    <w:rsid w:val="006F78AF"/>
    <w:rsid w:val="007004FB"/>
    <w:rsid w:val="007006D7"/>
    <w:rsid w:val="00700E2D"/>
    <w:rsid w:val="00701158"/>
    <w:rsid w:val="007012BE"/>
    <w:rsid w:val="007017EF"/>
    <w:rsid w:val="00701B66"/>
    <w:rsid w:val="00701DB4"/>
    <w:rsid w:val="0070210E"/>
    <w:rsid w:val="007023C0"/>
    <w:rsid w:val="0070290D"/>
    <w:rsid w:val="0070293B"/>
    <w:rsid w:val="0070314F"/>
    <w:rsid w:val="007032B4"/>
    <w:rsid w:val="007033FC"/>
    <w:rsid w:val="0070366F"/>
    <w:rsid w:val="00704418"/>
    <w:rsid w:val="0070526F"/>
    <w:rsid w:val="00705B89"/>
    <w:rsid w:val="00706206"/>
    <w:rsid w:val="00710395"/>
    <w:rsid w:val="00710620"/>
    <w:rsid w:val="00711793"/>
    <w:rsid w:val="00711963"/>
    <w:rsid w:val="007128A1"/>
    <w:rsid w:val="00712956"/>
    <w:rsid w:val="00712986"/>
    <w:rsid w:val="007129A4"/>
    <w:rsid w:val="0071442F"/>
    <w:rsid w:val="0071458B"/>
    <w:rsid w:val="0071470C"/>
    <w:rsid w:val="00715192"/>
    <w:rsid w:val="0071556D"/>
    <w:rsid w:val="00716AC2"/>
    <w:rsid w:val="00716EE6"/>
    <w:rsid w:val="00717F07"/>
    <w:rsid w:val="0072055A"/>
    <w:rsid w:val="00720AB8"/>
    <w:rsid w:val="00720ABC"/>
    <w:rsid w:val="00721124"/>
    <w:rsid w:val="007211B6"/>
    <w:rsid w:val="0072120E"/>
    <w:rsid w:val="00721EB3"/>
    <w:rsid w:val="0072261C"/>
    <w:rsid w:val="00722CB2"/>
    <w:rsid w:val="00722E9D"/>
    <w:rsid w:val="007231A5"/>
    <w:rsid w:val="0072375F"/>
    <w:rsid w:val="00723DED"/>
    <w:rsid w:val="0072440A"/>
    <w:rsid w:val="007245E9"/>
    <w:rsid w:val="00724916"/>
    <w:rsid w:val="007255EB"/>
    <w:rsid w:val="007255F5"/>
    <w:rsid w:val="0072561C"/>
    <w:rsid w:val="00725623"/>
    <w:rsid w:val="00725923"/>
    <w:rsid w:val="00725AF4"/>
    <w:rsid w:val="00725DAA"/>
    <w:rsid w:val="00726418"/>
    <w:rsid w:val="00726D22"/>
    <w:rsid w:val="00726D41"/>
    <w:rsid w:val="007271EC"/>
    <w:rsid w:val="00727213"/>
    <w:rsid w:val="007300DB"/>
    <w:rsid w:val="007304BF"/>
    <w:rsid w:val="00730AA2"/>
    <w:rsid w:val="00730E92"/>
    <w:rsid w:val="00731D9A"/>
    <w:rsid w:val="00731F70"/>
    <w:rsid w:val="00732321"/>
    <w:rsid w:val="0073240B"/>
    <w:rsid w:val="007325A1"/>
    <w:rsid w:val="0073342F"/>
    <w:rsid w:val="00734610"/>
    <w:rsid w:val="0073498C"/>
    <w:rsid w:val="0073590B"/>
    <w:rsid w:val="00735AB0"/>
    <w:rsid w:val="00735BDA"/>
    <w:rsid w:val="00736168"/>
    <w:rsid w:val="00736C19"/>
    <w:rsid w:val="00737941"/>
    <w:rsid w:val="00740374"/>
    <w:rsid w:val="00740453"/>
    <w:rsid w:val="007404C6"/>
    <w:rsid w:val="00740E49"/>
    <w:rsid w:val="007413AD"/>
    <w:rsid w:val="00742205"/>
    <w:rsid w:val="007422C2"/>
    <w:rsid w:val="00742991"/>
    <w:rsid w:val="00743CCB"/>
    <w:rsid w:val="00744389"/>
    <w:rsid w:val="007444CC"/>
    <w:rsid w:val="00744BCA"/>
    <w:rsid w:val="00745A58"/>
    <w:rsid w:val="00745AC7"/>
    <w:rsid w:val="007461B1"/>
    <w:rsid w:val="00746C4D"/>
    <w:rsid w:val="0074704C"/>
    <w:rsid w:val="00747812"/>
    <w:rsid w:val="0074790B"/>
    <w:rsid w:val="00747ADC"/>
    <w:rsid w:val="00747C78"/>
    <w:rsid w:val="00747C79"/>
    <w:rsid w:val="00750029"/>
    <w:rsid w:val="00750053"/>
    <w:rsid w:val="0075013B"/>
    <w:rsid w:val="0075031F"/>
    <w:rsid w:val="0075034E"/>
    <w:rsid w:val="007503B0"/>
    <w:rsid w:val="00750591"/>
    <w:rsid w:val="00750DC0"/>
    <w:rsid w:val="00751188"/>
    <w:rsid w:val="0075122B"/>
    <w:rsid w:val="00751541"/>
    <w:rsid w:val="0075169E"/>
    <w:rsid w:val="00751D70"/>
    <w:rsid w:val="00752917"/>
    <w:rsid w:val="00753176"/>
    <w:rsid w:val="007549B2"/>
    <w:rsid w:val="00754D43"/>
    <w:rsid w:val="00754FCF"/>
    <w:rsid w:val="007551E1"/>
    <w:rsid w:val="0075595C"/>
    <w:rsid w:val="007559A6"/>
    <w:rsid w:val="00756434"/>
    <w:rsid w:val="007564E1"/>
    <w:rsid w:val="007569F1"/>
    <w:rsid w:val="00757DE3"/>
    <w:rsid w:val="00757F62"/>
    <w:rsid w:val="00760200"/>
    <w:rsid w:val="0076096E"/>
    <w:rsid w:val="00760B03"/>
    <w:rsid w:val="00760BE2"/>
    <w:rsid w:val="00761939"/>
    <w:rsid w:val="00761B13"/>
    <w:rsid w:val="00761E7B"/>
    <w:rsid w:val="0076209E"/>
    <w:rsid w:val="00762690"/>
    <w:rsid w:val="00762A85"/>
    <w:rsid w:val="00762F51"/>
    <w:rsid w:val="007630A6"/>
    <w:rsid w:val="00763544"/>
    <w:rsid w:val="0076387D"/>
    <w:rsid w:val="00763BBA"/>
    <w:rsid w:val="00763F4A"/>
    <w:rsid w:val="0076403B"/>
    <w:rsid w:val="00764405"/>
    <w:rsid w:val="007644E7"/>
    <w:rsid w:val="007647B2"/>
    <w:rsid w:val="007650BB"/>
    <w:rsid w:val="00765177"/>
    <w:rsid w:val="00765209"/>
    <w:rsid w:val="0076559A"/>
    <w:rsid w:val="0076591F"/>
    <w:rsid w:val="00765936"/>
    <w:rsid w:val="00765CEC"/>
    <w:rsid w:val="00765EB9"/>
    <w:rsid w:val="00766075"/>
    <w:rsid w:val="0076621C"/>
    <w:rsid w:val="007671AD"/>
    <w:rsid w:val="007706F0"/>
    <w:rsid w:val="007714DE"/>
    <w:rsid w:val="00771AB1"/>
    <w:rsid w:val="00771FBC"/>
    <w:rsid w:val="0077201D"/>
    <w:rsid w:val="0077239E"/>
    <w:rsid w:val="00772B95"/>
    <w:rsid w:val="00772FBF"/>
    <w:rsid w:val="00773210"/>
    <w:rsid w:val="00773F38"/>
    <w:rsid w:val="007746A1"/>
    <w:rsid w:val="007754C4"/>
    <w:rsid w:val="007754CF"/>
    <w:rsid w:val="00775A1D"/>
    <w:rsid w:val="00776209"/>
    <w:rsid w:val="007766E8"/>
    <w:rsid w:val="00776813"/>
    <w:rsid w:val="0077722F"/>
    <w:rsid w:val="007773CC"/>
    <w:rsid w:val="0077751A"/>
    <w:rsid w:val="00777535"/>
    <w:rsid w:val="00777717"/>
    <w:rsid w:val="0077795A"/>
    <w:rsid w:val="0078031D"/>
    <w:rsid w:val="0078043B"/>
    <w:rsid w:val="007809F0"/>
    <w:rsid w:val="00780A4D"/>
    <w:rsid w:val="00780E84"/>
    <w:rsid w:val="007810DD"/>
    <w:rsid w:val="007824F4"/>
    <w:rsid w:val="00782BAA"/>
    <w:rsid w:val="007832FE"/>
    <w:rsid w:val="007833B1"/>
    <w:rsid w:val="007835B3"/>
    <w:rsid w:val="0078372D"/>
    <w:rsid w:val="0078379A"/>
    <w:rsid w:val="00783BB4"/>
    <w:rsid w:val="007840A7"/>
    <w:rsid w:val="00784E29"/>
    <w:rsid w:val="00785D41"/>
    <w:rsid w:val="00785E7C"/>
    <w:rsid w:val="00787404"/>
    <w:rsid w:val="00787533"/>
    <w:rsid w:val="00790525"/>
    <w:rsid w:val="00791693"/>
    <w:rsid w:val="0079204C"/>
    <w:rsid w:val="0079253F"/>
    <w:rsid w:val="00792956"/>
    <w:rsid w:val="00792CDC"/>
    <w:rsid w:val="00793568"/>
    <w:rsid w:val="00793844"/>
    <w:rsid w:val="007939C7"/>
    <w:rsid w:val="00793FBD"/>
    <w:rsid w:val="007941D1"/>
    <w:rsid w:val="007948DD"/>
    <w:rsid w:val="0079516A"/>
    <w:rsid w:val="007956D3"/>
    <w:rsid w:val="00795735"/>
    <w:rsid w:val="007957FD"/>
    <w:rsid w:val="007958C8"/>
    <w:rsid w:val="00795BA1"/>
    <w:rsid w:val="00795D67"/>
    <w:rsid w:val="00796BBA"/>
    <w:rsid w:val="00796C11"/>
    <w:rsid w:val="00796C3F"/>
    <w:rsid w:val="00797401"/>
    <w:rsid w:val="00797913"/>
    <w:rsid w:val="007A0418"/>
    <w:rsid w:val="007A041C"/>
    <w:rsid w:val="007A0A20"/>
    <w:rsid w:val="007A1268"/>
    <w:rsid w:val="007A149D"/>
    <w:rsid w:val="007A1D76"/>
    <w:rsid w:val="007A203F"/>
    <w:rsid w:val="007A2440"/>
    <w:rsid w:val="007A3584"/>
    <w:rsid w:val="007A377B"/>
    <w:rsid w:val="007A3868"/>
    <w:rsid w:val="007A3997"/>
    <w:rsid w:val="007A460B"/>
    <w:rsid w:val="007A491B"/>
    <w:rsid w:val="007A51EE"/>
    <w:rsid w:val="007A5545"/>
    <w:rsid w:val="007A5A04"/>
    <w:rsid w:val="007A5EB4"/>
    <w:rsid w:val="007A5FBA"/>
    <w:rsid w:val="007A6491"/>
    <w:rsid w:val="007A65D7"/>
    <w:rsid w:val="007A79B1"/>
    <w:rsid w:val="007A7CCD"/>
    <w:rsid w:val="007A7EDC"/>
    <w:rsid w:val="007B072F"/>
    <w:rsid w:val="007B0A67"/>
    <w:rsid w:val="007B1678"/>
    <w:rsid w:val="007B21A2"/>
    <w:rsid w:val="007B3471"/>
    <w:rsid w:val="007B348A"/>
    <w:rsid w:val="007B3994"/>
    <w:rsid w:val="007B4590"/>
    <w:rsid w:val="007B5554"/>
    <w:rsid w:val="007B5A8E"/>
    <w:rsid w:val="007B65D5"/>
    <w:rsid w:val="007B682C"/>
    <w:rsid w:val="007B75A8"/>
    <w:rsid w:val="007B7873"/>
    <w:rsid w:val="007B78CE"/>
    <w:rsid w:val="007C042C"/>
    <w:rsid w:val="007C04A5"/>
    <w:rsid w:val="007C0A0B"/>
    <w:rsid w:val="007C1257"/>
    <w:rsid w:val="007C15FC"/>
    <w:rsid w:val="007C191C"/>
    <w:rsid w:val="007C1B95"/>
    <w:rsid w:val="007C21E5"/>
    <w:rsid w:val="007C2545"/>
    <w:rsid w:val="007C2978"/>
    <w:rsid w:val="007C298C"/>
    <w:rsid w:val="007C306F"/>
    <w:rsid w:val="007C35EF"/>
    <w:rsid w:val="007C3D9F"/>
    <w:rsid w:val="007C46EC"/>
    <w:rsid w:val="007C5876"/>
    <w:rsid w:val="007C5E07"/>
    <w:rsid w:val="007C6363"/>
    <w:rsid w:val="007C645B"/>
    <w:rsid w:val="007C6D02"/>
    <w:rsid w:val="007D0737"/>
    <w:rsid w:val="007D0E64"/>
    <w:rsid w:val="007D140C"/>
    <w:rsid w:val="007D14A3"/>
    <w:rsid w:val="007D1975"/>
    <w:rsid w:val="007D2078"/>
    <w:rsid w:val="007D242E"/>
    <w:rsid w:val="007D278E"/>
    <w:rsid w:val="007D2F01"/>
    <w:rsid w:val="007D2F45"/>
    <w:rsid w:val="007D33A5"/>
    <w:rsid w:val="007D37DF"/>
    <w:rsid w:val="007D3A4A"/>
    <w:rsid w:val="007D4335"/>
    <w:rsid w:val="007D4628"/>
    <w:rsid w:val="007D4A5F"/>
    <w:rsid w:val="007D6F47"/>
    <w:rsid w:val="007E01D9"/>
    <w:rsid w:val="007E02B1"/>
    <w:rsid w:val="007E0AB9"/>
    <w:rsid w:val="007E0CD4"/>
    <w:rsid w:val="007E0EB3"/>
    <w:rsid w:val="007E15FD"/>
    <w:rsid w:val="007E1D74"/>
    <w:rsid w:val="007E24E1"/>
    <w:rsid w:val="007E256A"/>
    <w:rsid w:val="007E2D4A"/>
    <w:rsid w:val="007E305A"/>
    <w:rsid w:val="007E33AE"/>
    <w:rsid w:val="007E42C4"/>
    <w:rsid w:val="007E46B1"/>
    <w:rsid w:val="007E54F3"/>
    <w:rsid w:val="007E56D2"/>
    <w:rsid w:val="007E59AB"/>
    <w:rsid w:val="007E5A8E"/>
    <w:rsid w:val="007E5AC8"/>
    <w:rsid w:val="007E5F6C"/>
    <w:rsid w:val="007E6671"/>
    <w:rsid w:val="007E674B"/>
    <w:rsid w:val="007E7E86"/>
    <w:rsid w:val="007E7F9F"/>
    <w:rsid w:val="007F05A2"/>
    <w:rsid w:val="007F0CF5"/>
    <w:rsid w:val="007F106C"/>
    <w:rsid w:val="007F113D"/>
    <w:rsid w:val="007F1309"/>
    <w:rsid w:val="007F1BC5"/>
    <w:rsid w:val="007F22AE"/>
    <w:rsid w:val="007F231A"/>
    <w:rsid w:val="007F2520"/>
    <w:rsid w:val="007F266D"/>
    <w:rsid w:val="007F2B2C"/>
    <w:rsid w:val="007F32FD"/>
    <w:rsid w:val="007F36FC"/>
    <w:rsid w:val="007F3AA7"/>
    <w:rsid w:val="007F3E6E"/>
    <w:rsid w:val="007F402C"/>
    <w:rsid w:val="007F4FD8"/>
    <w:rsid w:val="007F5277"/>
    <w:rsid w:val="007F5317"/>
    <w:rsid w:val="007F55C2"/>
    <w:rsid w:val="007F5B3C"/>
    <w:rsid w:val="007F5FAE"/>
    <w:rsid w:val="007F6C0B"/>
    <w:rsid w:val="007F6C3D"/>
    <w:rsid w:val="007F7CFB"/>
    <w:rsid w:val="0080011F"/>
    <w:rsid w:val="008014EB"/>
    <w:rsid w:val="008021A8"/>
    <w:rsid w:val="00802D71"/>
    <w:rsid w:val="00803E76"/>
    <w:rsid w:val="00804714"/>
    <w:rsid w:val="008054ED"/>
    <w:rsid w:val="00805627"/>
    <w:rsid w:val="00805AAF"/>
    <w:rsid w:val="008061A9"/>
    <w:rsid w:val="008061B6"/>
    <w:rsid w:val="00807783"/>
    <w:rsid w:val="008079F3"/>
    <w:rsid w:val="00807B5C"/>
    <w:rsid w:val="00807BB4"/>
    <w:rsid w:val="00807BFD"/>
    <w:rsid w:val="00807C88"/>
    <w:rsid w:val="00807E0D"/>
    <w:rsid w:val="00810673"/>
    <w:rsid w:val="00810BCB"/>
    <w:rsid w:val="00811A80"/>
    <w:rsid w:val="00811D06"/>
    <w:rsid w:val="00811DCA"/>
    <w:rsid w:val="00811E81"/>
    <w:rsid w:val="00812178"/>
    <w:rsid w:val="0081262B"/>
    <w:rsid w:val="00812B08"/>
    <w:rsid w:val="00812B84"/>
    <w:rsid w:val="008132D8"/>
    <w:rsid w:val="008136C7"/>
    <w:rsid w:val="00813BDF"/>
    <w:rsid w:val="00813D64"/>
    <w:rsid w:val="00813E0E"/>
    <w:rsid w:val="00814128"/>
    <w:rsid w:val="00814DD3"/>
    <w:rsid w:val="00816D8A"/>
    <w:rsid w:val="008170B4"/>
    <w:rsid w:val="00817405"/>
    <w:rsid w:val="00817634"/>
    <w:rsid w:val="00817E22"/>
    <w:rsid w:val="00817EBA"/>
    <w:rsid w:val="00820376"/>
    <w:rsid w:val="00820C11"/>
    <w:rsid w:val="00821410"/>
    <w:rsid w:val="00821418"/>
    <w:rsid w:val="008215B5"/>
    <w:rsid w:val="00821F5B"/>
    <w:rsid w:val="00822813"/>
    <w:rsid w:val="00822995"/>
    <w:rsid w:val="008233A7"/>
    <w:rsid w:val="008234D5"/>
    <w:rsid w:val="00823552"/>
    <w:rsid w:val="008238D4"/>
    <w:rsid w:val="00823C5E"/>
    <w:rsid w:val="008247B9"/>
    <w:rsid w:val="00824941"/>
    <w:rsid w:val="0082496F"/>
    <w:rsid w:val="008257A3"/>
    <w:rsid w:val="0082592D"/>
    <w:rsid w:val="00825A81"/>
    <w:rsid w:val="00825F8F"/>
    <w:rsid w:val="008260C0"/>
    <w:rsid w:val="00826F40"/>
    <w:rsid w:val="008270FE"/>
    <w:rsid w:val="008271E2"/>
    <w:rsid w:val="00827882"/>
    <w:rsid w:val="008325FE"/>
    <w:rsid w:val="00832B5C"/>
    <w:rsid w:val="00832E29"/>
    <w:rsid w:val="0083321A"/>
    <w:rsid w:val="0083335C"/>
    <w:rsid w:val="0083376B"/>
    <w:rsid w:val="00833867"/>
    <w:rsid w:val="0083387B"/>
    <w:rsid w:val="00833B0B"/>
    <w:rsid w:val="0083417F"/>
    <w:rsid w:val="00834C5E"/>
    <w:rsid w:val="00834CB6"/>
    <w:rsid w:val="00834CE7"/>
    <w:rsid w:val="00834E06"/>
    <w:rsid w:val="00836177"/>
    <w:rsid w:val="0083669D"/>
    <w:rsid w:val="00836DC2"/>
    <w:rsid w:val="00837192"/>
    <w:rsid w:val="00837559"/>
    <w:rsid w:val="00837C1D"/>
    <w:rsid w:val="00837DFC"/>
    <w:rsid w:val="00837F87"/>
    <w:rsid w:val="0084187A"/>
    <w:rsid w:val="00841CD3"/>
    <w:rsid w:val="00841E93"/>
    <w:rsid w:val="00842029"/>
    <w:rsid w:val="008428E0"/>
    <w:rsid w:val="00842A25"/>
    <w:rsid w:val="00843815"/>
    <w:rsid w:val="00844463"/>
    <w:rsid w:val="008453E4"/>
    <w:rsid w:val="008456D0"/>
    <w:rsid w:val="00846518"/>
    <w:rsid w:val="0084676A"/>
    <w:rsid w:val="008467B5"/>
    <w:rsid w:val="008501D2"/>
    <w:rsid w:val="0085048E"/>
    <w:rsid w:val="008505B0"/>
    <w:rsid w:val="00850F03"/>
    <w:rsid w:val="00851761"/>
    <w:rsid w:val="0085189F"/>
    <w:rsid w:val="00851DBA"/>
    <w:rsid w:val="00851EAA"/>
    <w:rsid w:val="008521B7"/>
    <w:rsid w:val="008526FF"/>
    <w:rsid w:val="00852811"/>
    <w:rsid w:val="008532E8"/>
    <w:rsid w:val="008535D4"/>
    <w:rsid w:val="00853940"/>
    <w:rsid w:val="008541E2"/>
    <w:rsid w:val="00854D9F"/>
    <w:rsid w:val="00855C8A"/>
    <w:rsid w:val="00855EEE"/>
    <w:rsid w:val="00855F00"/>
    <w:rsid w:val="008560AD"/>
    <w:rsid w:val="0085638D"/>
    <w:rsid w:val="008567BE"/>
    <w:rsid w:val="00856B7F"/>
    <w:rsid w:val="00857B93"/>
    <w:rsid w:val="00857BA9"/>
    <w:rsid w:val="00857CD1"/>
    <w:rsid w:val="00857FAE"/>
    <w:rsid w:val="00860688"/>
    <w:rsid w:val="00860A65"/>
    <w:rsid w:val="00860BFA"/>
    <w:rsid w:val="008611E2"/>
    <w:rsid w:val="008617FB"/>
    <w:rsid w:val="0086186A"/>
    <w:rsid w:val="00861E5F"/>
    <w:rsid w:val="00862A20"/>
    <w:rsid w:val="00863142"/>
    <w:rsid w:val="00865107"/>
    <w:rsid w:val="00865C74"/>
    <w:rsid w:val="008671DC"/>
    <w:rsid w:val="00867458"/>
    <w:rsid w:val="00867691"/>
    <w:rsid w:val="00867786"/>
    <w:rsid w:val="008679D2"/>
    <w:rsid w:val="00867B4C"/>
    <w:rsid w:val="00870524"/>
    <w:rsid w:val="00870E2B"/>
    <w:rsid w:val="00870F86"/>
    <w:rsid w:val="008711B6"/>
    <w:rsid w:val="00871292"/>
    <w:rsid w:val="008712AF"/>
    <w:rsid w:val="00871301"/>
    <w:rsid w:val="00871BAF"/>
    <w:rsid w:val="00871C02"/>
    <w:rsid w:val="00871DCD"/>
    <w:rsid w:val="00871FA7"/>
    <w:rsid w:val="0087264D"/>
    <w:rsid w:val="00872E99"/>
    <w:rsid w:val="00872EF2"/>
    <w:rsid w:val="00873892"/>
    <w:rsid w:val="00874166"/>
    <w:rsid w:val="00874CDC"/>
    <w:rsid w:val="00874FB2"/>
    <w:rsid w:val="00875172"/>
    <w:rsid w:val="0087558D"/>
    <w:rsid w:val="008755B0"/>
    <w:rsid w:val="00875864"/>
    <w:rsid w:val="00875A11"/>
    <w:rsid w:val="0087683E"/>
    <w:rsid w:val="00876BAD"/>
    <w:rsid w:val="00876BB9"/>
    <w:rsid w:val="00876EBB"/>
    <w:rsid w:val="008776EB"/>
    <w:rsid w:val="008779EE"/>
    <w:rsid w:val="0088053B"/>
    <w:rsid w:val="008809EE"/>
    <w:rsid w:val="00880D22"/>
    <w:rsid w:val="008815A0"/>
    <w:rsid w:val="00881638"/>
    <w:rsid w:val="00881CCE"/>
    <w:rsid w:val="00881CE0"/>
    <w:rsid w:val="0088217D"/>
    <w:rsid w:val="00882283"/>
    <w:rsid w:val="008822CB"/>
    <w:rsid w:val="0088256E"/>
    <w:rsid w:val="008827DD"/>
    <w:rsid w:val="00883158"/>
    <w:rsid w:val="008834C6"/>
    <w:rsid w:val="00883726"/>
    <w:rsid w:val="00883F8E"/>
    <w:rsid w:val="0088402D"/>
    <w:rsid w:val="008849F0"/>
    <w:rsid w:val="00884ADC"/>
    <w:rsid w:val="00884F88"/>
    <w:rsid w:val="00885042"/>
    <w:rsid w:val="00885F2B"/>
    <w:rsid w:val="008867B5"/>
    <w:rsid w:val="008870C2"/>
    <w:rsid w:val="008879BF"/>
    <w:rsid w:val="00887FEB"/>
    <w:rsid w:val="00890FB9"/>
    <w:rsid w:val="00891CB2"/>
    <w:rsid w:val="00892C31"/>
    <w:rsid w:val="00892CBF"/>
    <w:rsid w:val="00893B6F"/>
    <w:rsid w:val="008942FC"/>
    <w:rsid w:val="00896458"/>
    <w:rsid w:val="008965A0"/>
    <w:rsid w:val="00896ABA"/>
    <w:rsid w:val="00896B13"/>
    <w:rsid w:val="00896F71"/>
    <w:rsid w:val="008971E5"/>
    <w:rsid w:val="0089780C"/>
    <w:rsid w:val="008A0286"/>
    <w:rsid w:val="008A10BE"/>
    <w:rsid w:val="008A1518"/>
    <w:rsid w:val="008A2B15"/>
    <w:rsid w:val="008A2E7D"/>
    <w:rsid w:val="008A31FC"/>
    <w:rsid w:val="008A3941"/>
    <w:rsid w:val="008A3E1D"/>
    <w:rsid w:val="008A3F47"/>
    <w:rsid w:val="008A4288"/>
    <w:rsid w:val="008A4A60"/>
    <w:rsid w:val="008A4B22"/>
    <w:rsid w:val="008A4D42"/>
    <w:rsid w:val="008A4F2B"/>
    <w:rsid w:val="008A5827"/>
    <w:rsid w:val="008A5F97"/>
    <w:rsid w:val="008A6113"/>
    <w:rsid w:val="008A6E2F"/>
    <w:rsid w:val="008A7A2D"/>
    <w:rsid w:val="008A7C79"/>
    <w:rsid w:val="008A7FBF"/>
    <w:rsid w:val="008B09B6"/>
    <w:rsid w:val="008B0FFC"/>
    <w:rsid w:val="008B1119"/>
    <w:rsid w:val="008B1698"/>
    <w:rsid w:val="008B2EA4"/>
    <w:rsid w:val="008B3433"/>
    <w:rsid w:val="008B3876"/>
    <w:rsid w:val="008B38D7"/>
    <w:rsid w:val="008B404E"/>
    <w:rsid w:val="008B4386"/>
    <w:rsid w:val="008B4F30"/>
    <w:rsid w:val="008B51A3"/>
    <w:rsid w:val="008B5F2D"/>
    <w:rsid w:val="008B6418"/>
    <w:rsid w:val="008B6634"/>
    <w:rsid w:val="008B6C61"/>
    <w:rsid w:val="008B6EA4"/>
    <w:rsid w:val="008B78E6"/>
    <w:rsid w:val="008B78FE"/>
    <w:rsid w:val="008B7A13"/>
    <w:rsid w:val="008B7AA9"/>
    <w:rsid w:val="008B7E52"/>
    <w:rsid w:val="008C2378"/>
    <w:rsid w:val="008C2619"/>
    <w:rsid w:val="008C2B50"/>
    <w:rsid w:val="008C4420"/>
    <w:rsid w:val="008C4811"/>
    <w:rsid w:val="008C4B5C"/>
    <w:rsid w:val="008C4C53"/>
    <w:rsid w:val="008C52C7"/>
    <w:rsid w:val="008C5659"/>
    <w:rsid w:val="008C61B4"/>
    <w:rsid w:val="008C61D2"/>
    <w:rsid w:val="008C6BD4"/>
    <w:rsid w:val="008C7083"/>
    <w:rsid w:val="008C7722"/>
    <w:rsid w:val="008D01F1"/>
    <w:rsid w:val="008D0441"/>
    <w:rsid w:val="008D0B58"/>
    <w:rsid w:val="008D0B67"/>
    <w:rsid w:val="008D1013"/>
    <w:rsid w:val="008D1987"/>
    <w:rsid w:val="008D1B19"/>
    <w:rsid w:val="008D1B7A"/>
    <w:rsid w:val="008D1C44"/>
    <w:rsid w:val="008D1F8C"/>
    <w:rsid w:val="008D28A5"/>
    <w:rsid w:val="008D3A7A"/>
    <w:rsid w:val="008D3E07"/>
    <w:rsid w:val="008D3EC3"/>
    <w:rsid w:val="008D4CD1"/>
    <w:rsid w:val="008D56D0"/>
    <w:rsid w:val="008D6704"/>
    <w:rsid w:val="008D6B27"/>
    <w:rsid w:val="008D6E79"/>
    <w:rsid w:val="008D7001"/>
    <w:rsid w:val="008D7975"/>
    <w:rsid w:val="008D7DC6"/>
    <w:rsid w:val="008E018A"/>
    <w:rsid w:val="008E1328"/>
    <w:rsid w:val="008E18A0"/>
    <w:rsid w:val="008E1FF2"/>
    <w:rsid w:val="008E23AD"/>
    <w:rsid w:val="008E2637"/>
    <w:rsid w:val="008E3692"/>
    <w:rsid w:val="008E45EF"/>
    <w:rsid w:val="008E4794"/>
    <w:rsid w:val="008E47D8"/>
    <w:rsid w:val="008E48F6"/>
    <w:rsid w:val="008E50EF"/>
    <w:rsid w:val="008E59AE"/>
    <w:rsid w:val="008E6300"/>
    <w:rsid w:val="008E64C5"/>
    <w:rsid w:val="008E68ED"/>
    <w:rsid w:val="008E77D9"/>
    <w:rsid w:val="008E78AE"/>
    <w:rsid w:val="008E7E61"/>
    <w:rsid w:val="008F0D90"/>
    <w:rsid w:val="008F15E3"/>
    <w:rsid w:val="008F1A7A"/>
    <w:rsid w:val="008F1E82"/>
    <w:rsid w:val="008F20DB"/>
    <w:rsid w:val="008F21C2"/>
    <w:rsid w:val="008F22EA"/>
    <w:rsid w:val="008F2499"/>
    <w:rsid w:val="008F28C6"/>
    <w:rsid w:val="008F301A"/>
    <w:rsid w:val="008F30F2"/>
    <w:rsid w:val="008F37F8"/>
    <w:rsid w:val="008F4034"/>
    <w:rsid w:val="008F41EA"/>
    <w:rsid w:val="008F43C5"/>
    <w:rsid w:val="008F4588"/>
    <w:rsid w:val="008F55FE"/>
    <w:rsid w:val="008F6CE9"/>
    <w:rsid w:val="008F6DD6"/>
    <w:rsid w:val="008F714C"/>
    <w:rsid w:val="008F76B2"/>
    <w:rsid w:val="008F77FF"/>
    <w:rsid w:val="0090018F"/>
    <w:rsid w:val="00900637"/>
    <w:rsid w:val="00900856"/>
    <w:rsid w:val="00900C0E"/>
    <w:rsid w:val="00900F38"/>
    <w:rsid w:val="009012F4"/>
    <w:rsid w:val="00901B34"/>
    <w:rsid w:val="0090225C"/>
    <w:rsid w:val="0090241B"/>
    <w:rsid w:val="009025DC"/>
    <w:rsid w:val="0090307C"/>
    <w:rsid w:val="009031BE"/>
    <w:rsid w:val="00903729"/>
    <w:rsid w:val="00903EDA"/>
    <w:rsid w:val="009044FC"/>
    <w:rsid w:val="00904569"/>
    <w:rsid w:val="009048D7"/>
    <w:rsid w:val="00905279"/>
    <w:rsid w:val="0090571C"/>
    <w:rsid w:val="00905976"/>
    <w:rsid w:val="009059B1"/>
    <w:rsid w:val="00905C35"/>
    <w:rsid w:val="00905D38"/>
    <w:rsid w:val="00905D51"/>
    <w:rsid w:val="00906C1F"/>
    <w:rsid w:val="00906F87"/>
    <w:rsid w:val="00907125"/>
    <w:rsid w:val="009074C0"/>
    <w:rsid w:val="0090774A"/>
    <w:rsid w:val="00907A2C"/>
    <w:rsid w:val="00907BFB"/>
    <w:rsid w:val="00907C9C"/>
    <w:rsid w:val="00907EB6"/>
    <w:rsid w:val="009103C4"/>
    <w:rsid w:val="00910B11"/>
    <w:rsid w:val="00910E26"/>
    <w:rsid w:val="00910E70"/>
    <w:rsid w:val="00911BEF"/>
    <w:rsid w:val="00911C18"/>
    <w:rsid w:val="00911E6E"/>
    <w:rsid w:val="009124E5"/>
    <w:rsid w:val="00912594"/>
    <w:rsid w:val="0091280E"/>
    <w:rsid w:val="00912CA7"/>
    <w:rsid w:val="009134A7"/>
    <w:rsid w:val="009142CC"/>
    <w:rsid w:val="00914746"/>
    <w:rsid w:val="00914FE6"/>
    <w:rsid w:val="00915390"/>
    <w:rsid w:val="00915548"/>
    <w:rsid w:val="00915866"/>
    <w:rsid w:val="00916061"/>
    <w:rsid w:val="009168BC"/>
    <w:rsid w:val="00916B65"/>
    <w:rsid w:val="00916EBA"/>
    <w:rsid w:val="009170BD"/>
    <w:rsid w:val="00917430"/>
    <w:rsid w:val="00917483"/>
    <w:rsid w:val="009174A7"/>
    <w:rsid w:val="00917BE7"/>
    <w:rsid w:val="00917C63"/>
    <w:rsid w:val="009205D7"/>
    <w:rsid w:val="00920725"/>
    <w:rsid w:val="00920732"/>
    <w:rsid w:val="0092087B"/>
    <w:rsid w:val="00920CA6"/>
    <w:rsid w:val="00920D46"/>
    <w:rsid w:val="00920EA3"/>
    <w:rsid w:val="0092118F"/>
    <w:rsid w:val="00921724"/>
    <w:rsid w:val="00921AD9"/>
    <w:rsid w:val="009222F0"/>
    <w:rsid w:val="00922567"/>
    <w:rsid w:val="00922B50"/>
    <w:rsid w:val="00922BDF"/>
    <w:rsid w:val="00922E58"/>
    <w:rsid w:val="009235DB"/>
    <w:rsid w:val="00923723"/>
    <w:rsid w:val="0092397F"/>
    <w:rsid w:val="00923E2E"/>
    <w:rsid w:val="00924968"/>
    <w:rsid w:val="009249BD"/>
    <w:rsid w:val="00925D9D"/>
    <w:rsid w:val="00930146"/>
    <w:rsid w:val="00931640"/>
    <w:rsid w:val="0093185C"/>
    <w:rsid w:val="00931B1A"/>
    <w:rsid w:val="00931C04"/>
    <w:rsid w:val="00931C20"/>
    <w:rsid w:val="00931E97"/>
    <w:rsid w:val="00932B1B"/>
    <w:rsid w:val="0093306A"/>
    <w:rsid w:val="00934F26"/>
    <w:rsid w:val="00935492"/>
    <w:rsid w:val="0093569E"/>
    <w:rsid w:val="00936444"/>
    <w:rsid w:val="009369B1"/>
    <w:rsid w:val="0093712C"/>
    <w:rsid w:val="0094042C"/>
    <w:rsid w:val="009404CD"/>
    <w:rsid w:val="009406B8"/>
    <w:rsid w:val="0094071E"/>
    <w:rsid w:val="009407D2"/>
    <w:rsid w:val="00940894"/>
    <w:rsid w:val="00941179"/>
    <w:rsid w:val="00941248"/>
    <w:rsid w:val="0094136A"/>
    <w:rsid w:val="00941468"/>
    <w:rsid w:val="00941784"/>
    <w:rsid w:val="00941789"/>
    <w:rsid w:val="00941E8E"/>
    <w:rsid w:val="0094203A"/>
    <w:rsid w:val="00942A44"/>
    <w:rsid w:val="00942B17"/>
    <w:rsid w:val="00942D3F"/>
    <w:rsid w:val="00942E20"/>
    <w:rsid w:val="00943018"/>
    <w:rsid w:val="00943218"/>
    <w:rsid w:val="00943DFF"/>
    <w:rsid w:val="009441C1"/>
    <w:rsid w:val="009447FD"/>
    <w:rsid w:val="00944A27"/>
    <w:rsid w:val="00944CE3"/>
    <w:rsid w:val="009450D1"/>
    <w:rsid w:val="009457E3"/>
    <w:rsid w:val="009463EF"/>
    <w:rsid w:val="00946BEF"/>
    <w:rsid w:val="0095045D"/>
    <w:rsid w:val="0095055E"/>
    <w:rsid w:val="00950719"/>
    <w:rsid w:val="0095073C"/>
    <w:rsid w:val="00950D02"/>
    <w:rsid w:val="00951863"/>
    <w:rsid w:val="00951AE1"/>
    <w:rsid w:val="00952203"/>
    <w:rsid w:val="00952347"/>
    <w:rsid w:val="0095280B"/>
    <w:rsid w:val="00952A04"/>
    <w:rsid w:val="00952DB1"/>
    <w:rsid w:val="00953231"/>
    <w:rsid w:val="0095369B"/>
    <w:rsid w:val="00953BEC"/>
    <w:rsid w:val="00953F35"/>
    <w:rsid w:val="00953F3A"/>
    <w:rsid w:val="00954741"/>
    <w:rsid w:val="009551BC"/>
    <w:rsid w:val="00955335"/>
    <w:rsid w:val="009555D5"/>
    <w:rsid w:val="009566FC"/>
    <w:rsid w:val="009569DE"/>
    <w:rsid w:val="00957690"/>
    <w:rsid w:val="00957F77"/>
    <w:rsid w:val="00960AC0"/>
    <w:rsid w:val="00960B53"/>
    <w:rsid w:val="0096113D"/>
    <w:rsid w:val="00962D59"/>
    <w:rsid w:val="00963477"/>
    <w:rsid w:val="00963DD1"/>
    <w:rsid w:val="00964B42"/>
    <w:rsid w:val="00964CC3"/>
    <w:rsid w:val="0096546A"/>
    <w:rsid w:val="00965DE5"/>
    <w:rsid w:val="00966445"/>
    <w:rsid w:val="0096757B"/>
    <w:rsid w:val="00970D33"/>
    <w:rsid w:val="00970FE1"/>
    <w:rsid w:val="0097141D"/>
    <w:rsid w:val="00971504"/>
    <w:rsid w:val="009724EF"/>
    <w:rsid w:val="0097263D"/>
    <w:rsid w:val="009726AF"/>
    <w:rsid w:val="00972775"/>
    <w:rsid w:val="00973362"/>
    <w:rsid w:val="00974EFA"/>
    <w:rsid w:val="0097512D"/>
    <w:rsid w:val="009753A2"/>
    <w:rsid w:val="009756DD"/>
    <w:rsid w:val="00975AAC"/>
    <w:rsid w:val="00975CE9"/>
    <w:rsid w:val="00976664"/>
    <w:rsid w:val="00976BB5"/>
    <w:rsid w:val="0097720E"/>
    <w:rsid w:val="00977FB0"/>
    <w:rsid w:val="0098005A"/>
    <w:rsid w:val="009806E7"/>
    <w:rsid w:val="009809A3"/>
    <w:rsid w:val="00980A17"/>
    <w:rsid w:val="00980EFE"/>
    <w:rsid w:val="00981806"/>
    <w:rsid w:val="00982646"/>
    <w:rsid w:val="0098317F"/>
    <w:rsid w:val="00983500"/>
    <w:rsid w:val="00983912"/>
    <w:rsid w:val="00983B1A"/>
    <w:rsid w:val="00983F9E"/>
    <w:rsid w:val="00984012"/>
    <w:rsid w:val="009844DC"/>
    <w:rsid w:val="00984D88"/>
    <w:rsid w:val="009850B1"/>
    <w:rsid w:val="00985BDA"/>
    <w:rsid w:val="00985C89"/>
    <w:rsid w:val="00985F7E"/>
    <w:rsid w:val="00986664"/>
    <w:rsid w:val="0098674D"/>
    <w:rsid w:val="00987193"/>
    <w:rsid w:val="00987CA9"/>
    <w:rsid w:val="00990050"/>
    <w:rsid w:val="00990239"/>
    <w:rsid w:val="00990C83"/>
    <w:rsid w:val="0099198C"/>
    <w:rsid w:val="00991A22"/>
    <w:rsid w:val="00991B83"/>
    <w:rsid w:val="009925FE"/>
    <w:rsid w:val="0099266B"/>
    <w:rsid w:val="0099269C"/>
    <w:rsid w:val="009939E8"/>
    <w:rsid w:val="00993AAA"/>
    <w:rsid w:val="00993FD2"/>
    <w:rsid w:val="00994419"/>
    <w:rsid w:val="009948FF"/>
    <w:rsid w:val="00994A38"/>
    <w:rsid w:val="00994BE3"/>
    <w:rsid w:val="009951F7"/>
    <w:rsid w:val="009953A1"/>
    <w:rsid w:val="00995429"/>
    <w:rsid w:val="00995612"/>
    <w:rsid w:val="0099589A"/>
    <w:rsid w:val="00996100"/>
    <w:rsid w:val="009961CF"/>
    <w:rsid w:val="0099655F"/>
    <w:rsid w:val="00996B3F"/>
    <w:rsid w:val="00997195"/>
    <w:rsid w:val="009A0A1A"/>
    <w:rsid w:val="009A0B88"/>
    <w:rsid w:val="009A10D7"/>
    <w:rsid w:val="009A1356"/>
    <w:rsid w:val="009A23E8"/>
    <w:rsid w:val="009A275C"/>
    <w:rsid w:val="009A2770"/>
    <w:rsid w:val="009A2879"/>
    <w:rsid w:val="009A2FAB"/>
    <w:rsid w:val="009A3B72"/>
    <w:rsid w:val="009A3EC6"/>
    <w:rsid w:val="009A4021"/>
    <w:rsid w:val="009A4280"/>
    <w:rsid w:val="009A429D"/>
    <w:rsid w:val="009A6146"/>
    <w:rsid w:val="009A63BD"/>
    <w:rsid w:val="009A7068"/>
    <w:rsid w:val="009A7641"/>
    <w:rsid w:val="009B03AC"/>
    <w:rsid w:val="009B0588"/>
    <w:rsid w:val="009B05FD"/>
    <w:rsid w:val="009B0D5B"/>
    <w:rsid w:val="009B0D79"/>
    <w:rsid w:val="009B0E7D"/>
    <w:rsid w:val="009B1048"/>
    <w:rsid w:val="009B2078"/>
    <w:rsid w:val="009B3462"/>
    <w:rsid w:val="009B3753"/>
    <w:rsid w:val="009B45E2"/>
    <w:rsid w:val="009B4AFE"/>
    <w:rsid w:val="009B4C65"/>
    <w:rsid w:val="009B5753"/>
    <w:rsid w:val="009B5A05"/>
    <w:rsid w:val="009B5A86"/>
    <w:rsid w:val="009B6299"/>
    <w:rsid w:val="009B66BD"/>
    <w:rsid w:val="009B6D1E"/>
    <w:rsid w:val="009B6D3A"/>
    <w:rsid w:val="009B70AF"/>
    <w:rsid w:val="009C0973"/>
    <w:rsid w:val="009C112A"/>
    <w:rsid w:val="009C12B1"/>
    <w:rsid w:val="009C1ABE"/>
    <w:rsid w:val="009C1C00"/>
    <w:rsid w:val="009C228C"/>
    <w:rsid w:val="009C26F4"/>
    <w:rsid w:val="009C2CC7"/>
    <w:rsid w:val="009C3143"/>
    <w:rsid w:val="009C32CB"/>
    <w:rsid w:val="009C380B"/>
    <w:rsid w:val="009C428C"/>
    <w:rsid w:val="009C43D9"/>
    <w:rsid w:val="009C4755"/>
    <w:rsid w:val="009C494A"/>
    <w:rsid w:val="009C4EE2"/>
    <w:rsid w:val="009C4FA7"/>
    <w:rsid w:val="009C53B8"/>
    <w:rsid w:val="009C57B2"/>
    <w:rsid w:val="009C5BAF"/>
    <w:rsid w:val="009C60E6"/>
    <w:rsid w:val="009C63EA"/>
    <w:rsid w:val="009C6D6B"/>
    <w:rsid w:val="009C702E"/>
    <w:rsid w:val="009C7840"/>
    <w:rsid w:val="009C7C15"/>
    <w:rsid w:val="009D0625"/>
    <w:rsid w:val="009D0A9E"/>
    <w:rsid w:val="009D131E"/>
    <w:rsid w:val="009D1821"/>
    <w:rsid w:val="009D1C7F"/>
    <w:rsid w:val="009D1CF1"/>
    <w:rsid w:val="009D1FB6"/>
    <w:rsid w:val="009D2395"/>
    <w:rsid w:val="009D2E1B"/>
    <w:rsid w:val="009D2E39"/>
    <w:rsid w:val="009D3048"/>
    <w:rsid w:val="009D364D"/>
    <w:rsid w:val="009D3A79"/>
    <w:rsid w:val="009D3B6E"/>
    <w:rsid w:val="009D3FFD"/>
    <w:rsid w:val="009D40BD"/>
    <w:rsid w:val="009D45BD"/>
    <w:rsid w:val="009D4932"/>
    <w:rsid w:val="009D4A1C"/>
    <w:rsid w:val="009D53D7"/>
    <w:rsid w:val="009D65B4"/>
    <w:rsid w:val="009D6896"/>
    <w:rsid w:val="009D6D47"/>
    <w:rsid w:val="009D71A4"/>
    <w:rsid w:val="009D7203"/>
    <w:rsid w:val="009D7454"/>
    <w:rsid w:val="009D7B4E"/>
    <w:rsid w:val="009D7C98"/>
    <w:rsid w:val="009E009E"/>
    <w:rsid w:val="009E14B2"/>
    <w:rsid w:val="009E15D1"/>
    <w:rsid w:val="009E1824"/>
    <w:rsid w:val="009E250F"/>
    <w:rsid w:val="009E267B"/>
    <w:rsid w:val="009E2FA9"/>
    <w:rsid w:val="009E3750"/>
    <w:rsid w:val="009E3817"/>
    <w:rsid w:val="009E3A53"/>
    <w:rsid w:val="009E4370"/>
    <w:rsid w:val="009E45FF"/>
    <w:rsid w:val="009E5344"/>
    <w:rsid w:val="009E57B6"/>
    <w:rsid w:val="009E5C77"/>
    <w:rsid w:val="009E628E"/>
    <w:rsid w:val="009E6641"/>
    <w:rsid w:val="009E6C95"/>
    <w:rsid w:val="009E77C1"/>
    <w:rsid w:val="009E790F"/>
    <w:rsid w:val="009E7A88"/>
    <w:rsid w:val="009E7D36"/>
    <w:rsid w:val="009E7D4D"/>
    <w:rsid w:val="009F13AC"/>
    <w:rsid w:val="009F1407"/>
    <w:rsid w:val="009F17D7"/>
    <w:rsid w:val="009F21E7"/>
    <w:rsid w:val="009F3140"/>
    <w:rsid w:val="009F31B7"/>
    <w:rsid w:val="009F35CD"/>
    <w:rsid w:val="009F383C"/>
    <w:rsid w:val="009F393A"/>
    <w:rsid w:val="009F3AE7"/>
    <w:rsid w:val="009F3B10"/>
    <w:rsid w:val="009F3B68"/>
    <w:rsid w:val="009F4318"/>
    <w:rsid w:val="009F4483"/>
    <w:rsid w:val="009F47D3"/>
    <w:rsid w:val="009F4AA1"/>
    <w:rsid w:val="009F4CF4"/>
    <w:rsid w:val="009F4DE7"/>
    <w:rsid w:val="009F5141"/>
    <w:rsid w:val="009F53AB"/>
    <w:rsid w:val="009F54E9"/>
    <w:rsid w:val="009F57F6"/>
    <w:rsid w:val="009F5913"/>
    <w:rsid w:val="009F5AD5"/>
    <w:rsid w:val="009F5E3E"/>
    <w:rsid w:val="009F5E91"/>
    <w:rsid w:val="009F5F0D"/>
    <w:rsid w:val="009F6039"/>
    <w:rsid w:val="009F613E"/>
    <w:rsid w:val="009F6190"/>
    <w:rsid w:val="009F6365"/>
    <w:rsid w:val="009F6461"/>
    <w:rsid w:val="009F661F"/>
    <w:rsid w:val="009F6846"/>
    <w:rsid w:val="009F6B71"/>
    <w:rsid w:val="009F6C73"/>
    <w:rsid w:val="009F6FBD"/>
    <w:rsid w:val="009F779B"/>
    <w:rsid w:val="009F7C3D"/>
    <w:rsid w:val="009F7C40"/>
    <w:rsid w:val="00A002FF"/>
    <w:rsid w:val="00A0048C"/>
    <w:rsid w:val="00A00698"/>
    <w:rsid w:val="00A00AB0"/>
    <w:rsid w:val="00A00F4C"/>
    <w:rsid w:val="00A01047"/>
    <w:rsid w:val="00A010F0"/>
    <w:rsid w:val="00A01AD4"/>
    <w:rsid w:val="00A01EE9"/>
    <w:rsid w:val="00A0218B"/>
    <w:rsid w:val="00A0252F"/>
    <w:rsid w:val="00A02782"/>
    <w:rsid w:val="00A02D1F"/>
    <w:rsid w:val="00A02D90"/>
    <w:rsid w:val="00A02F8D"/>
    <w:rsid w:val="00A03056"/>
    <w:rsid w:val="00A0396B"/>
    <w:rsid w:val="00A03993"/>
    <w:rsid w:val="00A03C44"/>
    <w:rsid w:val="00A03FAD"/>
    <w:rsid w:val="00A03FBB"/>
    <w:rsid w:val="00A04AAE"/>
    <w:rsid w:val="00A05502"/>
    <w:rsid w:val="00A05625"/>
    <w:rsid w:val="00A0603D"/>
    <w:rsid w:val="00A065A8"/>
    <w:rsid w:val="00A06B69"/>
    <w:rsid w:val="00A06F35"/>
    <w:rsid w:val="00A07009"/>
    <w:rsid w:val="00A071B9"/>
    <w:rsid w:val="00A07313"/>
    <w:rsid w:val="00A07424"/>
    <w:rsid w:val="00A07638"/>
    <w:rsid w:val="00A07851"/>
    <w:rsid w:val="00A07989"/>
    <w:rsid w:val="00A106A7"/>
    <w:rsid w:val="00A10998"/>
    <w:rsid w:val="00A11186"/>
    <w:rsid w:val="00A12A25"/>
    <w:rsid w:val="00A1335F"/>
    <w:rsid w:val="00A1375C"/>
    <w:rsid w:val="00A13C20"/>
    <w:rsid w:val="00A14011"/>
    <w:rsid w:val="00A14CAE"/>
    <w:rsid w:val="00A14CF1"/>
    <w:rsid w:val="00A14D28"/>
    <w:rsid w:val="00A1581B"/>
    <w:rsid w:val="00A15B4F"/>
    <w:rsid w:val="00A15EFB"/>
    <w:rsid w:val="00A16EAD"/>
    <w:rsid w:val="00A16F4D"/>
    <w:rsid w:val="00A1785D"/>
    <w:rsid w:val="00A17925"/>
    <w:rsid w:val="00A17964"/>
    <w:rsid w:val="00A179BB"/>
    <w:rsid w:val="00A202BA"/>
    <w:rsid w:val="00A20701"/>
    <w:rsid w:val="00A20718"/>
    <w:rsid w:val="00A20834"/>
    <w:rsid w:val="00A20A21"/>
    <w:rsid w:val="00A214C0"/>
    <w:rsid w:val="00A21854"/>
    <w:rsid w:val="00A218C2"/>
    <w:rsid w:val="00A2198F"/>
    <w:rsid w:val="00A22291"/>
    <w:rsid w:val="00A223DD"/>
    <w:rsid w:val="00A24073"/>
    <w:rsid w:val="00A24631"/>
    <w:rsid w:val="00A24A53"/>
    <w:rsid w:val="00A24A59"/>
    <w:rsid w:val="00A24ABD"/>
    <w:rsid w:val="00A24EEE"/>
    <w:rsid w:val="00A250E1"/>
    <w:rsid w:val="00A252E1"/>
    <w:rsid w:val="00A258B4"/>
    <w:rsid w:val="00A25F5C"/>
    <w:rsid w:val="00A2703E"/>
    <w:rsid w:val="00A27074"/>
    <w:rsid w:val="00A27169"/>
    <w:rsid w:val="00A278DC"/>
    <w:rsid w:val="00A27BF6"/>
    <w:rsid w:val="00A27F52"/>
    <w:rsid w:val="00A302D4"/>
    <w:rsid w:val="00A31D75"/>
    <w:rsid w:val="00A328C8"/>
    <w:rsid w:val="00A329D2"/>
    <w:rsid w:val="00A32B22"/>
    <w:rsid w:val="00A32F3C"/>
    <w:rsid w:val="00A33200"/>
    <w:rsid w:val="00A3333B"/>
    <w:rsid w:val="00A34FDB"/>
    <w:rsid w:val="00A350FC"/>
    <w:rsid w:val="00A353E2"/>
    <w:rsid w:val="00A35576"/>
    <w:rsid w:val="00A36345"/>
    <w:rsid w:val="00A368A7"/>
    <w:rsid w:val="00A36CB1"/>
    <w:rsid w:val="00A3758F"/>
    <w:rsid w:val="00A37931"/>
    <w:rsid w:val="00A37C0C"/>
    <w:rsid w:val="00A4040B"/>
    <w:rsid w:val="00A404A4"/>
    <w:rsid w:val="00A4074D"/>
    <w:rsid w:val="00A415D5"/>
    <w:rsid w:val="00A4163B"/>
    <w:rsid w:val="00A421EC"/>
    <w:rsid w:val="00A42A0B"/>
    <w:rsid w:val="00A42DC8"/>
    <w:rsid w:val="00A42F18"/>
    <w:rsid w:val="00A43856"/>
    <w:rsid w:val="00A438CA"/>
    <w:rsid w:val="00A43E44"/>
    <w:rsid w:val="00A43EF6"/>
    <w:rsid w:val="00A44221"/>
    <w:rsid w:val="00A44350"/>
    <w:rsid w:val="00A450BD"/>
    <w:rsid w:val="00A4526B"/>
    <w:rsid w:val="00A45C02"/>
    <w:rsid w:val="00A45DE9"/>
    <w:rsid w:val="00A46735"/>
    <w:rsid w:val="00A468F7"/>
    <w:rsid w:val="00A47296"/>
    <w:rsid w:val="00A47B58"/>
    <w:rsid w:val="00A47E74"/>
    <w:rsid w:val="00A502AC"/>
    <w:rsid w:val="00A5054C"/>
    <w:rsid w:val="00A50761"/>
    <w:rsid w:val="00A51145"/>
    <w:rsid w:val="00A51C94"/>
    <w:rsid w:val="00A5204B"/>
    <w:rsid w:val="00A524B4"/>
    <w:rsid w:val="00A5280B"/>
    <w:rsid w:val="00A53800"/>
    <w:rsid w:val="00A543BA"/>
    <w:rsid w:val="00A5458A"/>
    <w:rsid w:val="00A545C4"/>
    <w:rsid w:val="00A55203"/>
    <w:rsid w:val="00A5568D"/>
    <w:rsid w:val="00A55BD3"/>
    <w:rsid w:val="00A57291"/>
    <w:rsid w:val="00A576CC"/>
    <w:rsid w:val="00A61A02"/>
    <w:rsid w:val="00A648DE"/>
    <w:rsid w:val="00A64B49"/>
    <w:rsid w:val="00A64C63"/>
    <w:rsid w:val="00A6524F"/>
    <w:rsid w:val="00A652EF"/>
    <w:rsid w:val="00A657DC"/>
    <w:rsid w:val="00A6595D"/>
    <w:rsid w:val="00A65A7B"/>
    <w:rsid w:val="00A65EDB"/>
    <w:rsid w:val="00A65EFC"/>
    <w:rsid w:val="00A66819"/>
    <w:rsid w:val="00A675E1"/>
    <w:rsid w:val="00A67C3A"/>
    <w:rsid w:val="00A67EE9"/>
    <w:rsid w:val="00A700E4"/>
    <w:rsid w:val="00A7053E"/>
    <w:rsid w:val="00A706AD"/>
    <w:rsid w:val="00A72386"/>
    <w:rsid w:val="00A7266E"/>
    <w:rsid w:val="00A7298C"/>
    <w:rsid w:val="00A72BEE"/>
    <w:rsid w:val="00A734F1"/>
    <w:rsid w:val="00A743EE"/>
    <w:rsid w:val="00A7451D"/>
    <w:rsid w:val="00A74538"/>
    <w:rsid w:val="00A756FB"/>
    <w:rsid w:val="00A75A57"/>
    <w:rsid w:val="00A75C2A"/>
    <w:rsid w:val="00A75C50"/>
    <w:rsid w:val="00A76B7F"/>
    <w:rsid w:val="00A8013C"/>
    <w:rsid w:val="00A8042D"/>
    <w:rsid w:val="00A80584"/>
    <w:rsid w:val="00A80D81"/>
    <w:rsid w:val="00A81214"/>
    <w:rsid w:val="00A815CC"/>
    <w:rsid w:val="00A82475"/>
    <w:rsid w:val="00A8279C"/>
    <w:rsid w:val="00A83263"/>
    <w:rsid w:val="00A832B4"/>
    <w:rsid w:val="00A840A7"/>
    <w:rsid w:val="00A8487A"/>
    <w:rsid w:val="00A85066"/>
    <w:rsid w:val="00A85227"/>
    <w:rsid w:val="00A856B6"/>
    <w:rsid w:val="00A860D3"/>
    <w:rsid w:val="00A86972"/>
    <w:rsid w:val="00A86AF6"/>
    <w:rsid w:val="00A86BC4"/>
    <w:rsid w:val="00A875C7"/>
    <w:rsid w:val="00A876BC"/>
    <w:rsid w:val="00A8784A"/>
    <w:rsid w:val="00A879D6"/>
    <w:rsid w:val="00A87C5E"/>
    <w:rsid w:val="00A90B6B"/>
    <w:rsid w:val="00A90B7D"/>
    <w:rsid w:val="00A90C14"/>
    <w:rsid w:val="00A91052"/>
    <w:rsid w:val="00A91118"/>
    <w:rsid w:val="00A924F8"/>
    <w:rsid w:val="00A92725"/>
    <w:rsid w:val="00A92A24"/>
    <w:rsid w:val="00A92E91"/>
    <w:rsid w:val="00A92F49"/>
    <w:rsid w:val="00A93012"/>
    <w:rsid w:val="00A930B2"/>
    <w:rsid w:val="00A937AD"/>
    <w:rsid w:val="00A93A50"/>
    <w:rsid w:val="00A93D97"/>
    <w:rsid w:val="00A943A5"/>
    <w:rsid w:val="00A950A7"/>
    <w:rsid w:val="00A95998"/>
    <w:rsid w:val="00A95A6C"/>
    <w:rsid w:val="00A95C43"/>
    <w:rsid w:val="00A95EE6"/>
    <w:rsid w:val="00A9667B"/>
    <w:rsid w:val="00A96C66"/>
    <w:rsid w:val="00A96E56"/>
    <w:rsid w:val="00A975B8"/>
    <w:rsid w:val="00A9775D"/>
    <w:rsid w:val="00A97928"/>
    <w:rsid w:val="00A97E7D"/>
    <w:rsid w:val="00AA08BF"/>
    <w:rsid w:val="00AA0B95"/>
    <w:rsid w:val="00AA128C"/>
    <w:rsid w:val="00AA1897"/>
    <w:rsid w:val="00AA19E3"/>
    <w:rsid w:val="00AA1CA1"/>
    <w:rsid w:val="00AA1DA3"/>
    <w:rsid w:val="00AA39DD"/>
    <w:rsid w:val="00AA3D40"/>
    <w:rsid w:val="00AA3DAD"/>
    <w:rsid w:val="00AA44CE"/>
    <w:rsid w:val="00AA4ED7"/>
    <w:rsid w:val="00AA4F40"/>
    <w:rsid w:val="00AA5065"/>
    <w:rsid w:val="00AA5FAC"/>
    <w:rsid w:val="00AA5FDE"/>
    <w:rsid w:val="00AA6242"/>
    <w:rsid w:val="00AA63E5"/>
    <w:rsid w:val="00AA6E06"/>
    <w:rsid w:val="00AB0938"/>
    <w:rsid w:val="00AB0D09"/>
    <w:rsid w:val="00AB0D58"/>
    <w:rsid w:val="00AB0FBB"/>
    <w:rsid w:val="00AB15C4"/>
    <w:rsid w:val="00AB1991"/>
    <w:rsid w:val="00AB1A54"/>
    <w:rsid w:val="00AB1D51"/>
    <w:rsid w:val="00AB1D81"/>
    <w:rsid w:val="00AB2308"/>
    <w:rsid w:val="00AB2BE6"/>
    <w:rsid w:val="00AB311E"/>
    <w:rsid w:val="00AB3610"/>
    <w:rsid w:val="00AB3CE6"/>
    <w:rsid w:val="00AB4939"/>
    <w:rsid w:val="00AB4CBF"/>
    <w:rsid w:val="00AB585C"/>
    <w:rsid w:val="00AB5A0C"/>
    <w:rsid w:val="00AB5B73"/>
    <w:rsid w:val="00AB5E70"/>
    <w:rsid w:val="00AB6929"/>
    <w:rsid w:val="00AB6B37"/>
    <w:rsid w:val="00AB7A98"/>
    <w:rsid w:val="00AC05C7"/>
    <w:rsid w:val="00AC0B3A"/>
    <w:rsid w:val="00AC134E"/>
    <w:rsid w:val="00AC1465"/>
    <w:rsid w:val="00AC18B4"/>
    <w:rsid w:val="00AC1AB2"/>
    <w:rsid w:val="00AC1EB7"/>
    <w:rsid w:val="00AC2290"/>
    <w:rsid w:val="00AC23E1"/>
    <w:rsid w:val="00AC27D9"/>
    <w:rsid w:val="00AC28B6"/>
    <w:rsid w:val="00AC2A74"/>
    <w:rsid w:val="00AC2C0D"/>
    <w:rsid w:val="00AC2D60"/>
    <w:rsid w:val="00AC2D66"/>
    <w:rsid w:val="00AC3420"/>
    <w:rsid w:val="00AC3BC9"/>
    <w:rsid w:val="00AC3DFE"/>
    <w:rsid w:val="00AC5422"/>
    <w:rsid w:val="00AC558D"/>
    <w:rsid w:val="00AC5C47"/>
    <w:rsid w:val="00AC6255"/>
    <w:rsid w:val="00AC63B3"/>
    <w:rsid w:val="00AC657E"/>
    <w:rsid w:val="00AC6E37"/>
    <w:rsid w:val="00AC76E9"/>
    <w:rsid w:val="00AD09B6"/>
    <w:rsid w:val="00AD18C0"/>
    <w:rsid w:val="00AD20AD"/>
    <w:rsid w:val="00AD2AD7"/>
    <w:rsid w:val="00AD2B2B"/>
    <w:rsid w:val="00AD4424"/>
    <w:rsid w:val="00AD5B2F"/>
    <w:rsid w:val="00AD5D3A"/>
    <w:rsid w:val="00AD60C1"/>
    <w:rsid w:val="00AD615F"/>
    <w:rsid w:val="00AD6AE9"/>
    <w:rsid w:val="00AE03D2"/>
    <w:rsid w:val="00AE0414"/>
    <w:rsid w:val="00AE098A"/>
    <w:rsid w:val="00AE1460"/>
    <w:rsid w:val="00AE1DFE"/>
    <w:rsid w:val="00AE264D"/>
    <w:rsid w:val="00AE3E0C"/>
    <w:rsid w:val="00AE3E67"/>
    <w:rsid w:val="00AE42FC"/>
    <w:rsid w:val="00AE50AA"/>
    <w:rsid w:val="00AE5610"/>
    <w:rsid w:val="00AE646A"/>
    <w:rsid w:val="00AE65E4"/>
    <w:rsid w:val="00AE6752"/>
    <w:rsid w:val="00AE6E01"/>
    <w:rsid w:val="00AE6F34"/>
    <w:rsid w:val="00AF0435"/>
    <w:rsid w:val="00AF09B5"/>
    <w:rsid w:val="00AF0E47"/>
    <w:rsid w:val="00AF1830"/>
    <w:rsid w:val="00AF18EA"/>
    <w:rsid w:val="00AF1C06"/>
    <w:rsid w:val="00AF1FB6"/>
    <w:rsid w:val="00AF2632"/>
    <w:rsid w:val="00AF2717"/>
    <w:rsid w:val="00AF27F9"/>
    <w:rsid w:val="00AF3077"/>
    <w:rsid w:val="00AF3107"/>
    <w:rsid w:val="00AF3134"/>
    <w:rsid w:val="00AF34B0"/>
    <w:rsid w:val="00AF4CA9"/>
    <w:rsid w:val="00AF6769"/>
    <w:rsid w:val="00AF6ACC"/>
    <w:rsid w:val="00AF6B22"/>
    <w:rsid w:val="00AF7211"/>
    <w:rsid w:val="00AF75DB"/>
    <w:rsid w:val="00AF794F"/>
    <w:rsid w:val="00B0049F"/>
    <w:rsid w:val="00B00DC7"/>
    <w:rsid w:val="00B00F35"/>
    <w:rsid w:val="00B014B7"/>
    <w:rsid w:val="00B01BCD"/>
    <w:rsid w:val="00B01C95"/>
    <w:rsid w:val="00B01E45"/>
    <w:rsid w:val="00B0208A"/>
    <w:rsid w:val="00B026F1"/>
    <w:rsid w:val="00B02E89"/>
    <w:rsid w:val="00B03361"/>
    <w:rsid w:val="00B033EE"/>
    <w:rsid w:val="00B036BA"/>
    <w:rsid w:val="00B04641"/>
    <w:rsid w:val="00B04BF3"/>
    <w:rsid w:val="00B055A1"/>
    <w:rsid w:val="00B057DE"/>
    <w:rsid w:val="00B05905"/>
    <w:rsid w:val="00B05A3E"/>
    <w:rsid w:val="00B05BD0"/>
    <w:rsid w:val="00B05DDA"/>
    <w:rsid w:val="00B065F4"/>
    <w:rsid w:val="00B06C5C"/>
    <w:rsid w:val="00B0718A"/>
    <w:rsid w:val="00B07734"/>
    <w:rsid w:val="00B1027D"/>
    <w:rsid w:val="00B10976"/>
    <w:rsid w:val="00B109B7"/>
    <w:rsid w:val="00B10AA2"/>
    <w:rsid w:val="00B10F58"/>
    <w:rsid w:val="00B11DA2"/>
    <w:rsid w:val="00B127D2"/>
    <w:rsid w:val="00B12AAC"/>
    <w:rsid w:val="00B12EB8"/>
    <w:rsid w:val="00B13106"/>
    <w:rsid w:val="00B13AF8"/>
    <w:rsid w:val="00B13CC8"/>
    <w:rsid w:val="00B1405A"/>
    <w:rsid w:val="00B1449B"/>
    <w:rsid w:val="00B14542"/>
    <w:rsid w:val="00B14615"/>
    <w:rsid w:val="00B1481F"/>
    <w:rsid w:val="00B14A26"/>
    <w:rsid w:val="00B14D1E"/>
    <w:rsid w:val="00B153D9"/>
    <w:rsid w:val="00B15415"/>
    <w:rsid w:val="00B15972"/>
    <w:rsid w:val="00B16405"/>
    <w:rsid w:val="00B16821"/>
    <w:rsid w:val="00B16D70"/>
    <w:rsid w:val="00B17698"/>
    <w:rsid w:val="00B17D2E"/>
    <w:rsid w:val="00B17E69"/>
    <w:rsid w:val="00B200D1"/>
    <w:rsid w:val="00B20A6E"/>
    <w:rsid w:val="00B20C9D"/>
    <w:rsid w:val="00B20E3A"/>
    <w:rsid w:val="00B21166"/>
    <w:rsid w:val="00B21266"/>
    <w:rsid w:val="00B2221B"/>
    <w:rsid w:val="00B22237"/>
    <w:rsid w:val="00B22387"/>
    <w:rsid w:val="00B234E9"/>
    <w:rsid w:val="00B23B90"/>
    <w:rsid w:val="00B2411B"/>
    <w:rsid w:val="00B248A1"/>
    <w:rsid w:val="00B24B36"/>
    <w:rsid w:val="00B24C2C"/>
    <w:rsid w:val="00B2517E"/>
    <w:rsid w:val="00B258A2"/>
    <w:rsid w:val="00B25D41"/>
    <w:rsid w:val="00B26101"/>
    <w:rsid w:val="00B26765"/>
    <w:rsid w:val="00B26C19"/>
    <w:rsid w:val="00B26D76"/>
    <w:rsid w:val="00B26E7A"/>
    <w:rsid w:val="00B26F24"/>
    <w:rsid w:val="00B271FF"/>
    <w:rsid w:val="00B27223"/>
    <w:rsid w:val="00B30739"/>
    <w:rsid w:val="00B30963"/>
    <w:rsid w:val="00B30ACD"/>
    <w:rsid w:val="00B31030"/>
    <w:rsid w:val="00B3114A"/>
    <w:rsid w:val="00B32384"/>
    <w:rsid w:val="00B3242F"/>
    <w:rsid w:val="00B3266F"/>
    <w:rsid w:val="00B3285A"/>
    <w:rsid w:val="00B32FD7"/>
    <w:rsid w:val="00B33096"/>
    <w:rsid w:val="00B33724"/>
    <w:rsid w:val="00B33735"/>
    <w:rsid w:val="00B33975"/>
    <w:rsid w:val="00B33D78"/>
    <w:rsid w:val="00B33DAE"/>
    <w:rsid w:val="00B33EE4"/>
    <w:rsid w:val="00B33EE6"/>
    <w:rsid w:val="00B34149"/>
    <w:rsid w:val="00B34F49"/>
    <w:rsid w:val="00B35397"/>
    <w:rsid w:val="00B35DDE"/>
    <w:rsid w:val="00B36066"/>
    <w:rsid w:val="00B36083"/>
    <w:rsid w:val="00B36243"/>
    <w:rsid w:val="00B364E0"/>
    <w:rsid w:val="00B36603"/>
    <w:rsid w:val="00B369E5"/>
    <w:rsid w:val="00B36A07"/>
    <w:rsid w:val="00B36EEE"/>
    <w:rsid w:val="00B3716A"/>
    <w:rsid w:val="00B3746D"/>
    <w:rsid w:val="00B374E6"/>
    <w:rsid w:val="00B4118E"/>
    <w:rsid w:val="00B41581"/>
    <w:rsid w:val="00B4203B"/>
    <w:rsid w:val="00B42A56"/>
    <w:rsid w:val="00B42BD2"/>
    <w:rsid w:val="00B42DD3"/>
    <w:rsid w:val="00B43153"/>
    <w:rsid w:val="00B439EC"/>
    <w:rsid w:val="00B43DAB"/>
    <w:rsid w:val="00B43E5A"/>
    <w:rsid w:val="00B43F52"/>
    <w:rsid w:val="00B4536D"/>
    <w:rsid w:val="00B45DFE"/>
    <w:rsid w:val="00B45FF2"/>
    <w:rsid w:val="00B46674"/>
    <w:rsid w:val="00B47946"/>
    <w:rsid w:val="00B47999"/>
    <w:rsid w:val="00B47C5D"/>
    <w:rsid w:val="00B500FC"/>
    <w:rsid w:val="00B506F2"/>
    <w:rsid w:val="00B50829"/>
    <w:rsid w:val="00B50904"/>
    <w:rsid w:val="00B50ED8"/>
    <w:rsid w:val="00B5109A"/>
    <w:rsid w:val="00B519F7"/>
    <w:rsid w:val="00B52161"/>
    <w:rsid w:val="00B523F4"/>
    <w:rsid w:val="00B52422"/>
    <w:rsid w:val="00B53A32"/>
    <w:rsid w:val="00B53F6D"/>
    <w:rsid w:val="00B54498"/>
    <w:rsid w:val="00B545D6"/>
    <w:rsid w:val="00B54A75"/>
    <w:rsid w:val="00B559C6"/>
    <w:rsid w:val="00B55C1C"/>
    <w:rsid w:val="00B55F0E"/>
    <w:rsid w:val="00B55FA6"/>
    <w:rsid w:val="00B56AF6"/>
    <w:rsid w:val="00B56DFF"/>
    <w:rsid w:val="00B56FEF"/>
    <w:rsid w:val="00B572E7"/>
    <w:rsid w:val="00B576F5"/>
    <w:rsid w:val="00B57C27"/>
    <w:rsid w:val="00B57E10"/>
    <w:rsid w:val="00B600B2"/>
    <w:rsid w:val="00B600D6"/>
    <w:rsid w:val="00B6031F"/>
    <w:rsid w:val="00B6078B"/>
    <w:rsid w:val="00B6087A"/>
    <w:rsid w:val="00B60925"/>
    <w:rsid w:val="00B60B79"/>
    <w:rsid w:val="00B61A8C"/>
    <w:rsid w:val="00B62526"/>
    <w:rsid w:val="00B62AA6"/>
    <w:rsid w:val="00B62D7C"/>
    <w:rsid w:val="00B62FC1"/>
    <w:rsid w:val="00B6337B"/>
    <w:rsid w:val="00B6393F"/>
    <w:rsid w:val="00B63AEA"/>
    <w:rsid w:val="00B648A0"/>
    <w:rsid w:val="00B64DD9"/>
    <w:rsid w:val="00B6705F"/>
    <w:rsid w:val="00B67076"/>
    <w:rsid w:val="00B673FD"/>
    <w:rsid w:val="00B67734"/>
    <w:rsid w:val="00B70382"/>
    <w:rsid w:val="00B70548"/>
    <w:rsid w:val="00B705F0"/>
    <w:rsid w:val="00B70E27"/>
    <w:rsid w:val="00B721D6"/>
    <w:rsid w:val="00B72C99"/>
    <w:rsid w:val="00B73934"/>
    <w:rsid w:val="00B7398B"/>
    <w:rsid w:val="00B74216"/>
    <w:rsid w:val="00B744BE"/>
    <w:rsid w:val="00B74646"/>
    <w:rsid w:val="00B74995"/>
    <w:rsid w:val="00B74D25"/>
    <w:rsid w:val="00B7538A"/>
    <w:rsid w:val="00B756A3"/>
    <w:rsid w:val="00B7574A"/>
    <w:rsid w:val="00B75A4E"/>
    <w:rsid w:val="00B75AB4"/>
    <w:rsid w:val="00B75BED"/>
    <w:rsid w:val="00B7613A"/>
    <w:rsid w:val="00B7690E"/>
    <w:rsid w:val="00B76C69"/>
    <w:rsid w:val="00B76CDF"/>
    <w:rsid w:val="00B76D69"/>
    <w:rsid w:val="00B77035"/>
    <w:rsid w:val="00B770FB"/>
    <w:rsid w:val="00B7750D"/>
    <w:rsid w:val="00B77C15"/>
    <w:rsid w:val="00B80219"/>
    <w:rsid w:val="00B80F01"/>
    <w:rsid w:val="00B812AE"/>
    <w:rsid w:val="00B8162A"/>
    <w:rsid w:val="00B823DC"/>
    <w:rsid w:val="00B832DF"/>
    <w:rsid w:val="00B83935"/>
    <w:rsid w:val="00B83FFC"/>
    <w:rsid w:val="00B846B8"/>
    <w:rsid w:val="00B84899"/>
    <w:rsid w:val="00B856CA"/>
    <w:rsid w:val="00B87371"/>
    <w:rsid w:val="00B8793A"/>
    <w:rsid w:val="00B87F5F"/>
    <w:rsid w:val="00B903DF"/>
    <w:rsid w:val="00B90429"/>
    <w:rsid w:val="00B905D3"/>
    <w:rsid w:val="00B90E29"/>
    <w:rsid w:val="00B90F5C"/>
    <w:rsid w:val="00B91B7A"/>
    <w:rsid w:val="00B925C8"/>
    <w:rsid w:val="00B928BD"/>
    <w:rsid w:val="00B92918"/>
    <w:rsid w:val="00B92B89"/>
    <w:rsid w:val="00B931C4"/>
    <w:rsid w:val="00B93F9A"/>
    <w:rsid w:val="00B944E2"/>
    <w:rsid w:val="00B94B3F"/>
    <w:rsid w:val="00B94CA4"/>
    <w:rsid w:val="00B94EAE"/>
    <w:rsid w:val="00B9511D"/>
    <w:rsid w:val="00B95295"/>
    <w:rsid w:val="00B9532F"/>
    <w:rsid w:val="00B95A2A"/>
    <w:rsid w:val="00B95C15"/>
    <w:rsid w:val="00B95DF0"/>
    <w:rsid w:val="00B96763"/>
    <w:rsid w:val="00B96B78"/>
    <w:rsid w:val="00B96F4A"/>
    <w:rsid w:val="00B97A5B"/>
    <w:rsid w:val="00B97EF3"/>
    <w:rsid w:val="00B97F19"/>
    <w:rsid w:val="00BA067D"/>
    <w:rsid w:val="00BA0830"/>
    <w:rsid w:val="00BA0832"/>
    <w:rsid w:val="00BA08C6"/>
    <w:rsid w:val="00BA0B63"/>
    <w:rsid w:val="00BA1A07"/>
    <w:rsid w:val="00BA20E5"/>
    <w:rsid w:val="00BA21FD"/>
    <w:rsid w:val="00BA30D9"/>
    <w:rsid w:val="00BA4729"/>
    <w:rsid w:val="00BA477C"/>
    <w:rsid w:val="00BA54BA"/>
    <w:rsid w:val="00BA5571"/>
    <w:rsid w:val="00BA598C"/>
    <w:rsid w:val="00BA5C67"/>
    <w:rsid w:val="00BA6217"/>
    <w:rsid w:val="00BA6B91"/>
    <w:rsid w:val="00BA6E04"/>
    <w:rsid w:val="00BA7BEF"/>
    <w:rsid w:val="00BA7C55"/>
    <w:rsid w:val="00BB0490"/>
    <w:rsid w:val="00BB0639"/>
    <w:rsid w:val="00BB09FF"/>
    <w:rsid w:val="00BB0E16"/>
    <w:rsid w:val="00BB17EF"/>
    <w:rsid w:val="00BB1832"/>
    <w:rsid w:val="00BB1AB1"/>
    <w:rsid w:val="00BB1F9E"/>
    <w:rsid w:val="00BB2005"/>
    <w:rsid w:val="00BB3FF9"/>
    <w:rsid w:val="00BB4259"/>
    <w:rsid w:val="00BB439D"/>
    <w:rsid w:val="00BB481A"/>
    <w:rsid w:val="00BB504E"/>
    <w:rsid w:val="00BB52E4"/>
    <w:rsid w:val="00BB57FD"/>
    <w:rsid w:val="00BB5997"/>
    <w:rsid w:val="00BB5BED"/>
    <w:rsid w:val="00BB62D0"/>
    <w:rsid w:val="00BB6D1E"/>
    <w:rsid w:val="00BB6FE7"/>
    <w:rsid w:val="00BB74CF"/>
    <w:rsid w:val="00BB76D3"/>
    <w:rsid w:val="00BB79F9"/>
    <w:rsid w:val="00BB7B9B"/>
    <w:rsid w:val="00BB7D20"/>
    <w:rsid w:val="00BC02A5"/>
    <w:rsid w:val="00BC078A"/>
    <w:rsid w:val="00BC0DB7"/>
    <w:rsid w:val="00BC180F"/>
    <w:rsid w:val="00BC21DF"/>
    <w:rsid w:val="00BC222D"/>
    <w:rsid w:val="00BC23B9"/>
    <w:rsid w:val="00BC2A56"/>
    <w:rsid w:val="00BC2D59"/>
    <w:rsid w:val="00BC35DC"/>
    <w:rsid w:val="00BC394B"/>
    <w:rsid w:val="00BC3DB1"/>
    <w:rsid w:val="00BC40C7"/>
    <w:rsid w:val="00BC4840"/>
    <w:rsid w:val="00BC4F81"/>
    <w:rsid w:val="00BC5037"/>
    <w:rsid w:val="00BC5998"/>
    <w:rsid w:val="00BC5A7B"/>
    <w:rsid w:val="00BC664C"/>
    <w:rsid w:val="00BC6A08"/>
    <w:rsid w:val="00BC6D17"/>
    <w:rsid w:val="00BC759C"/>
    <w:rsid w:val="00BC795F"/>
    <w:rsid w:val="00BC7FFB"/>
    <w:rsid w:val="00BD01C5"/>
    <w:rsid w:val="00BD04A5"/>
    <w:rsid w:val="00BD08CF"/>
    <w:rsid w:val="00BD0A56"/>
    <w:rsid w:val="00BD1370"/>
    <w:rsid w:val="00BD196E"/>
    <w:rsid w:val="00BD19D2"/>
    <w:rsid w:val="00BD1A25"/>
    <w:rsid w:val="00BD1DFE"/>
    <w:rsid w:val="00BD38F3"/>
    <w:rsid w:val="00BD3A0E"/>
    <w:rsid w:val="00BD3D3A"/>
    <w:rsid w:val="00BD4501"/>
    <w:rsid w:val="00BD49D2"/>
    <w:rsid w:val="00BD49DA"/>
    <w:rsid w:val="00BD4A5D"/>
    <w:rsid w:val="00BD6566"/>
    <w:rsid w:val="00BD67FE"/>
    <w:rsid w:val="00BD6D42"/>
    <w:rsid w:val="00BD742A"/>
    <w:rsid w:val="00BD7E68"/>
    <w:rsid w:val="00BD7EAB"/>
    <w:rsid w:val="00BE0176"/>
    <w:rsid w:val="00BE2064"/>
    <w:rsid w:val="00BE20BC"/>
    <w:rsid w:val="00BE27DF"/>
    <w:rsid w:val="00BE2B22"/>
    <w:rsid w:val="00BE307E"/>
    <w:rsid w:val="00BE3284"/>
    <w:rsid w:val="00BE3692"/>
    <w:rsid w:val="00BE4098"/>
    <w:rsid w:val="00BE4E90"/>
    <w:rsid w:val="00BE56FB"/>
    <w:rsid w:val="00BE589B"/>
    <w:rsid w:val="00BE5BAA"/>
    <w:rsid w:val="00BE6089"/>
    <w:rsid w:val="00BE617A"/>
    <w:rsid w:val="00BE74E0"/>
    <w:rsid w:val="00BE77EB"/>
    <w:rsid w:val="00BF057E"/>
    <w:rsid w:val="00BF171D"/>
    <w:rsid w:val="00BF17B3"/>
    <w:rsid w:val="00BF1B9A"/>
    <w:rsid w:val="00BF1FD2"/>
    <w:rsid w:val="00BF236E"/>
    <w:rsid w:val="00BF2BAE"/>
    <w:rsid w:val="00BF31A1"/>
    <w:rsid w:val="00BF3376"/>
    <w:rsid w:val="00BF36B0"/>
    <w:rsid w:val="00BF38AF"/>
    <w:rsid w:val="00BF3967"/>
    <w:rsid w:val="00BF3BDC"/>
    <w:rsid w:val="00BF4108"/>
    <w:rsid w:val="00BF48E1"/>
    <w:rsid w:val="00BF4CDC"/>
    <w:rsid w:val="00BF4DC8"/>
    <w:rsid w:val="00BF5284"/>
    <w:rsid w:val="00BF5311"/>
    <w:rsid w:val="00BF5C7B"/>
    <w:rsid w:val="00BF5DCE"/>
    <w:rsid w:val="00BF5F1C"/>
    <w:rsid w:val="00BF60EF"/>
    <w:rsid w:val="00BF689F"/>
    <w:rsid w:val="00BF7884"/>
    <w:rsid w:val="00BF7B7D"/>
    <w:rsid w:val="00BF7E49"/>
    <w:rsid w:val="00C0007D"/>
    <w:rsid w:val="00C00120"/>
    <w:rsid w:val="00C003DE"/>
    <w:rsid w:val="00C0078B"/>
    <w:rsid w:val="00C00C2D"/>
    <w:rsid w:val="00C013DA"/>
    <w:rsid w:val="00C018F9"/>
    <w:rsid w:val="00C01E7A"/>
    <w:rsid w:val="00C01FD1"/>
    <w:rsid w:val="00C023D0"/>
    <w:rsid w:val="00C02A54"/>
    <w:rsid w:val="00C02E9F"/>
    <w:rsid w:val="00C0304E"/>
    <w:rsid w:val="00C033EB"/>
    <w:rsid w:val="00C0401A"/>
    <w:rsid w:val="00C06037"/>
    <w:rsid w:val="00C06DE5"/>
    <w:rsid w:val="00C07009"/>
    <w:rsid w:val="00C07297"/>
    <w:rsid w:val="00C0748E"/>
    <w:rsid w:val="00C07949"/>
    <w:rsid w:val="00C07C02"/>
    <w:rsid w:val="00C07C1B"/>
    <w:rsid w:val="00C07E43"/>
    <w:rsid w:val="00C10D1E"/>
    <w:rsid w:val="00C10F5D"/>
    <w:rsid w:val="00C11829"/>
    <w:rsid w:val="00C11C00"/>
    <w:rsid w:val="00C1224B"/>
    <w:rsid w:val="00C127F2"/>
    <w:rsid w:val="00C12914"/>
    <w:rsid w:val="00C12A1F"/>
    <w:rsid w:val="00C14138"/>
    <w:rsid w:val="00C14A59"/>
    <w:rsid w:val="00C14CA5"/>
    <w:rsid w:val="00C14F58"/>
    <w:rsid w:val="00C14FAB"/>
    <w:rsid w:val="00C15694"/>
    <w:rsid w:val="00C1596D"/>
    <w:rsid w:val="00C160D9"/>
    <w:rsid w:val="00C16779"/>
    <w:rsid w:val="00C17708"/>
    <w:rsid w:val="00C17FBB"/>
    <w:rsid w:val="00C20B29"/>
    <w:rsid w:val="00C21BDA"/>
    <w:rsid w:val="00C21E65"/>
    <w:rsid w:val="00C2281B"/>
    <w:rsid w:val="00C232FA"/>
    <w:rsid w:val="00C23AA1"/>
    <w:rsid w:val="00C24713"/>
    <w:rsid w:val="00C24F2A"/>
    <w:rsid w:val="00C255C6"/>
    <w:rsid w:val="00C26976"/>
    <w:rsid w:val="00C26A18"/>
    <w:rsid w:val="00C27301"/>
    <w:rsid w:val="00C27EAF"/>
    <w:rsid w:val="00C30B6B"/>
    <w:rsid w:val="00C31141"/>
    <w:rsid w:val="00C31AAB"/>
    <w:rsid w:val="00C32B6B"/>
    <w:rsid w:val="00C32DD2"/>
    <w:rsid w:val="00C3338A"/>
    <w:rsid w:val="00C33658"/>
    <w:rsid w:val="00C33C8E"/>
    <w:rsid w:val="00C33CB7"/>
    <w:rsid w:val="00C34482"/>
    <w:rsid w:val="00C348C3"/>
    <w:rsid w:val="00C35595"/>
    <w:rsid w:val="00C358E3"/>
    <w:rsid w:val="00C3604D"/>
    <w:rsid w:val="00C36BCE"/>
    <w:rsid w:val="00C377D8"/>
    <w:rsid w:val="00C4048C"/>
    <w:rsid w:val="00C40491"/>
    <w:rsid w:val="00C40AC0"/>
    <w:rsid w:val="00C40BB3"/>
    <w:rsid w:val="00C41B99"/>
    <w:rsid w:val="00C4230F"/>
    <w:rsid w:val="00C4260A"/>
    <w:rsid w:val="00C428F1"/>
    <w:rsid w:val="00C4291A"/>
    <w:rsid w:val="00C43B9B"/>
    <w:rsid w:val="00C4410C"/>
    <w:rsid w:val="00C441CF"/>
    <w:rsid w:val="00C44408"/>
    <w:rsid w:val="00C44DD5"/>
    <w:rsid w:val="00C452E7"/>
    <w:rsid w:val="00C46158"/>
    <w:rsid w:val="00C46921"/>
    <w:rsid w:val="00C46C5D"/>
    <w:rsid w:val="00C46F48"/>
    <w:rsid w:val="00C47157"/>
    <w:rsid w:val="00C472D1"/>
    <w:rsid w:val="00C474BD"/>
    <w:rsid w:val="00C47747"/>
    <w:rsid w:val="00C50010"/>
    <w:rsid w:val="00C50519"/>
    <w:rsid w:val="00C50915"/>
    <w:rsid w:val="00C50CA3"/>
    <w:rsid w:val="00C50FEC"/>
    <w:rsid w:val="00C51056"/>
    <w:rsid w:val="00C511DC"/>
    <w:rsid w:val="00C5155C"/>
    <w:rsid w:val="00C515BC"/>
    <w:rsid w:val="00C51D2D"/>
    <w:rsid w:val="00C524D3"/>
    <w:rsid w:val="00C52EB0"/>
    <w:rsid w:val="00C5375F"/>
    <w:rsid w:val="00C53D3F"/>
    <w:rsid w:val="00C53F6B"/>
    <w:rsid w:val="00C544DA"/>
    <w:rsid w:val="00C5454E"/>
    <w:rsid w:val="00C54A32"/>
    <w:rsid w:val="00C55911"/>
    <w:rsid w:val="00C55919"/>
    <w:rsid w:val="00C55CF9"/>
    <w:rsid w:val="00C564E6"/>
    <w:rsid w:val="00C5709F"/>
    <w:rsid w:val="00C57173"/>
    <w:rsid w:val="00C5751C"/>
    <w:rsid w:val="00C57A76"/>
    <w:rsid w:val="00C57AF8"/>
    <w:rsid w:val="00C57D72"/>
    <w:rsid w:val="00C57FF1"/>
    <w:rsid w:val="00C607CC"/>
    <w:rsid w:val="00C61E0C"/>
    <w:rsid w:val="00C61FC3"/>
    <w:rsid w:val="00C62ADC"/>
    <w:rsid w:val="00C62C3B"/>
    <w:rsid w:val="00C62CD2"/>
    <w:rsid w:val="00C62FDA"/>
    <w:rsid w:val="00C63345"/>
    <w:rsid w:val="00C64C1D"/>
    <w:rsid w:val="00C66E6B"/>
    <w:rsid w:val="00C66E6D"/>
    <w:rsid w:val="00C670D3"/>
    <w:rsid w:val="00C6792E"/>
    <w:rsid w:val="00C7031A"/>
    <w:rsid w:val="00C7073C"/>
    <w:rsid w:val="00C70A89"/>
    <w:rsid w:val="00C719D3"/>
    <w:rsid w:val="00C71C69"/>
    <w:rsid w:val="00C71D29"/>
    <w:rsid w:val="00C71D4A"/>
    <w:rsid w:val="00C7228D"/>
    <w:rsid w:val="00C72A7D"/>
    <w:rsid w:val="00C7370F"/>
    <w:rsid w:val="00C7372E"/>
    <w:rsid w:val="00C740EE"/>
    <w:rsid w:val="00C74450"/>
    <w:rsid w:val="00C75367"/>
    <w:rsid w:val="00C75B06"/>
    <w:rsid w:val="00C75BD7"/>
    <w:rsid w:val="00C75DD9"/>
    <w:rsid w:val="00C75E69"/>
    <w:rsid w:val="00C769D1"/>
    <w:rsid w:val="00C77F62"/>
    <w:rsid w:val="00C77FD2"/>
    <w:rsid w:val="00C814C9"/>
    <w:rsid w:val="00C8212D"/>
    <w:rsid w:val="00C82FAE"/>
    <w:rsid w:val="00C8383F"/>
    <w:rsid w:val="00C83F48"/>
    <w:rsid w:val="00C84724"/>
    <w:rsid w:val="00C8547D"/>
    <w:rsid w:val="00C85572"/>
    <w:rsid w:val="00C862B7"/>
    <w:rsid w:val="00C8636F"/>
    <w:rsid w:val="00C86576"/>
    <w:rsid w:val="00C86954"/>
    <w:rsid w:val="00C86A7E"/>
    <w:rsid w:val="00C87287"/>
    <w:rsid w:val="00C8753F"/>
    <w:rsid w:val="00C87966"/>
    <w:rsid w:val="00C879C1"/>
    <w:rsid w:val="00C87AED"/>
    <w:rsid w:val="00C90FD5"/>
    <w:rsid w:val="00C91398"/>
    <w:rsid w:val="00C918A2"/>
    <w:rsid w:val="00C91AD9"/>
    <w:rsid w:val="00C92295"/>
    <w:rsid w:val="00C92D2F"/>
    <w:rsid w:val="00C92E00"/>
    <w:rsid w:val="00C933FA"/>
    <w:rsid w:val="00C939F2"/>
    <w:rsid w:val="00C9468B"/>
    <w:rsid w:val="00C946CE"/>
    <w:rsid w:val="00C946F6"/>
    <w:rsid w:val="00C94A31"/>
    <w:rsid w:val="00C95104"/>
    <w:rsid w:val="00C95CAF"/>
    <w:rsid w:val="00C97825"/>
    <w:rsid w:val="00CA053C"/>
    <w:rsid w:val="00CA06C5"/>
    <w:rsid w:val="00CA2B2C"/>
    <w:rsid w:val="00CA2B87"/>
    <w:rsid w:val="00CA2E54"/>
    <w:rsid w:val="00CA3940"/>
    <w:rsid w:val="00CA4004"/>
    <w:rsid w:val="00CA4696"/>
    <w:rsid w:val="00CA4B0C"/>
    <w:rsid w:val="00CA4B65"/>
    <w:rsid w:val="00CA5475"/>
    <w:rsid w:val="00CA57FF"/>
    <w:rsid w:val="00CA58AA"/>
    <w:rsid w:val="00CA5D31"/>
    <w:rsid w:val="00CA6090"/>
    <w:rsid w:val="00CA66A6"/>
    <w:rsid w:val="00CA7005"/>
    <w:rsid w:val="00CA72C0"/>
    <w:rsid w:val="00CA7364"/>
    <w:rsid w:val="00CA7958"/>
    <w:rsid w:val="00CA7B5F"/>
    <w:rsid w:val="00CA7B83"/>
    <w:rsid w:val="00CA7E4C"/>
    <w:rsid w:val="00CA7F3B"/>
    <w:rsid w:val="00CB0A2A"/>
    <w:rsid w:val="00CB11C1"/>
    <w:rsid w:val="00CB1A5D"/>
    <w:rsid w:val="00CB1BD2"/>
    <w:rsid w:val="00CB2137"/>
    <w:rsid w:val="00CB28C9"/>
    <w:rsid w:val="00CB2A6D"/>
    <w:rsid w:val="00CB2C5B"/>
    <w:rsid w:val="00CB335C"/>
    <w:rsid w:val="00CB3490"/>
    <w:rsid w:val="00CB3ECD"/>
    <w:rsid w:val="00CB4510"/>
    <w:rsid w:val="00CB4DEC"/>
    <w:rsid w:val="00CB5C40"/>
    <w:rsid w:val="00CB5E11"/>
    <w:rsid w:val="00CB61E5"/>
    <w:rsid w:val="00CB64F2"/>
    <w:rsid w:val="00CB68EE"/>
    <w:rsid w:val="00CB6988"/>
    <w:rsid w:val="00CB6B95"/>
    <w:rsid w:val="00CB6D95"/>
    <w:rsid w:val="00CB70FA"/>
    <w:rsid w:val="00CB7CD3"/>
    <w:rsid w:val="00CC03C2"/>
    <w:rsid w:val="00CC0CA5"/>
    <w:rsid w:val="00CC0DFB"/>
    <w:rsid w:val="00CC0FCB"/>
    <w:rsid w:val="00CC10CE"/>
    <w:rsid w:val="00CC18FC"/>
    <w:rsid w:val="00CC1E69"/>
    <w:rsid w:val="00CC3873"/>
    <w:rsid w:val="00CC3C72"/>
    <w:rsid w:val="00CC3CB2"/>
    <w:rsid w:val="00CC422E"/>
    <w:rsid w:val="00CC4260"/>
    <w:rsid w:val="00CC4B9C"/>
    <w:rsid w:val="00CC60A7"/>
    <w:rsid w:val="00CC6229"/>
    <w:rsid w:val="00CC6246"/>
    <w:rsid w:val="00CC70D6"/>
    <w:rsid w:val="00CC7A7E"/>
    <w:rsid w:val="00CC7ADE"/>
    <w:rsid w:val="00CC7FE6"/>
    <w:rsid w:val="00CD010E"/>
    <w:rsid w:val="00CD07F4"/>
    <w:rsid w:val="00CD08D5"/>
    <w:rsid w:val="00CD1907"/>
    <w:rsid w:val="00CD1C19"/>
    <w:rsid w:val="00CD247D"/>
    <w:rsid w:val="00CD27DD"/>
    <w:rsid w:val="00CD2B7B"/>
    <w:rsid w:val="00CD2E34"/>
    <w:rsid w:val="00CD387A"/>
    <w:rsid w:val="00CD3CA0"/>
    <w:rsid w:val="00CD3E53"/>
    <w:rsid w:val="00CD400C"/>
    <w:rsid w:val="00CD41ED"/>
    <w:rsid w:val="00CD4458"/>
    <w:rsid w:val="00CD4C18"/>
    <w:rsid w:val="00CD4F41"/>
    <w:rsid w:val="00CD5131"/>
    <w:rsid w:val="00CD5142"/>
    <w:rsid w:val="00CD560A"/>
    <w:rsid w:val="00CD575B"/>
    <w:rsid w:val="00CD5816"/>
    <w:rsid w:val="00CD595C"/>
    <w:rsid w:val="00CD7277"/>
    <w:rsid w:val="00CD7368"/>
    <w:rsid w:val="00CD7625"/>
    <w:rsid w:val="00CD7A37"/>
    <w:rsid w:val="00CE055D"/>
    <w:rsid w:val="00CE0E43"/>
    <w:rsid w:val="00CE1D50"/>
    <w:rsid w:val="00CE1F5C"/>
    <w:rsid w:val="00CE2734"/>
    <w:rsid w:val="00CE2795"/>
    <w:rsid w:val="00CE37AB"/>
    <w:rsid w:val="00CE3CA4"/>
    <w:rsid w:val="00CE4141"/>
    <w:rsid w:val="00CE4810"/>
    <w:rsid w:val="00CE568A"/>
    <w:rsid w:val="00CE6485"/>
    <w:rsid w:val="00CE6880"/>
    <w:rsid w:val="00CE6B51"/>
    <w:rsid w:val="00CE7497"/>
    <w:rsid w:val="00CF08B7"/>
    <w:rsid w:val="00CF0FFC"/>
    <w:rsid w:val="00CF1650"/>
    <w:rsid w:val="00CF18D7"/>
    <w:rsid w:val="00CF1AD5"/>
    <w:rsid w:val="00CF1EF7"/>
    <w:rsid w:val="00CF21E4"/>
    <w:rsid w:val="00CF2486"/>
    <w:rsid w:val="00CF2952"/>
    <w:rsid w:val="00CF2F92"/>
    <w:rsid w:val="00CF3058"/>
    <w:rsid w:val="00CF36E5"/>
    <w:rsid w:val="00CF39B8"/>
    <w:rsid w:val="00CF3B78"/>
    <w:rsid w:val="00CF403A"/>
    <w:rsid w:val="00CF441B"/>
    <w:rsid w:val="00CF4B65"/>
    <w:rsid w:val="00CF4C1F"/>
    <w:rsid w:val="00CF50FF"/>
    <w:rsid w:val="00CF5791"/>
    <w:rsid w:val="00CF5861"/>
    <w:rsid w:val="00CF5E54"/>
    <w:rsid w:val="00CF690C"/>
    <w:rsid w:val="00CF6AE4"/>
    <w:rsid w:val="00CF6C8B"/>
    <w:rsid w:val="00CF6F82"/>
    <w:rsid w:val="00D006EF"/>
    <w:rsid w:val="00D0088A"/>
    <w:rsid w:val="00D0198F"/>
    <w:rsid w:val="00D01B44"/>
    <w:rsid w:val="00D01BFB"/>
    <w:rsid w:val="00D023A3"/>
    <w:rsid w:val="00D02772"/>
    <w:rsid w:val="00D02E17"/>
    <w:rsid w:val="00D04BBE"/>
    <w:rsid w:val="00D0509E"/>
    <w:rsid w:val="00D060A0"/>
    <w:rsid w:val="00D06A9B"/>
    <w:rsid w:val="00D06BB2"/>
    <w:rsid w:val="00D0737B"/>
    <w:rsid w:val="00D07526"/>
    <w:rsid w:val="00D07D14"/>
    <w:rsid w:val="00D12CE1"/>
    <w:rsid w:val="00D13425"/>
    <w:rsid w:val="00D13AE8"/>
    <w:rsid w:val="00D13CA0"/>
    <w:rsid w:val="00D14C3B"/>
    <w:rsid w:val="00D1657C"/>
    <w:rsid w:val="00D16DED"/>
    <w:rsid w:val="00D177ED"/>
    <w:rsid w:val="00D17F86"/>
    <w:rsid w:val="00D20008"/>
    <w:rsid w:val="00D20A74"/>
    <w:rsid w:val="00D218F5"/>
    <w:rsid w:val="00D21FCF"/>
    <w:rsid w:val="00D22728"/>
    <w:rsid w:val="00D22824"/>
    <w:rsid w:val="00D22F58"/>
    <w:rsid w:val="00D23049"/>
    <w:rsid w:val="00D234F6"/>
    <w:rsid w:val="00D2384A"/>
    <w:rsid w:val="00D23A5E"/>
    <w:rsid w:val="00D24002"/>
    <w:rsid w:val="00D24DD3"/>
    <w:rsid w:val="00D24EAB"/>
    <w:rsid w:val="00D250DB"/>
    <w:rsid w:val="00D25178"/>
    <w:rsid w:val="00D2584B"/>
    <w:rsid w:val="00D26882"/>
    <w:rsid w:val="00D26A92"/>
    <w:rsid w:val="00D26CD7"/>
    <w:rsid w:val="00D26F66"/>
    <w:rsid w:val="00D2749D"/>
    <w:rsid w:val="00D3026E"/>
    <w:rsid w:val="00D306C0"/>
    <w:rsid w:val="00D3180B"/>
    <w:rsid w:val="00D31F45"/>
    <w:rsid w:val="00D31F9F"/>
    <w:rsid w:val="00D32275"/>
    <w:rsid w:val="00D3355A"/>
    <w:rsid w:val="00D33628"/>
    <w:rsid w:val="00D33825"/>
    <w:rsid w:val="00D34526"/>
    <w:rsid w:val="00D358C6"/>
    <w:rsid w:val="00D35BC8"/>
    <w:rsid w:val="00D35E48"/>
    <w:rsid w:val="00D369FE"/>
    <w:rsid w:val="00D37124"/>
    <w:rsid w:val="00D378C6"/>
    <w:rsid w:val="00D37AEB"/>
    <w:rsid w:val="00D40337"/>
    <w:rsid w:val="00D409BB"/>
    <w:rsid w:val="00D40B76"/>
    <w:rsid w:val="00D40CE3"/>
    <w:rsid w:val="00D40E09"/>
    <w:rsid w:val="00D41467"/>
    <w:rsid w:val="00D4188E"/>
    <w:rsid w:val="00D41F14"/>
    <w:rsid w:val="00D4202C"/>
    <w:rsid w:val="00D422A8"/>
    <w:rsid w:val="00D427E4"/>
    <w:rsid w:val="00D42A86"/>
    <w:rsid w:val="00D42A99"/>
    <w:rsid w:val="00D432D0"/>
    <w:rsid w:val="00D43753"/>
    <w:rsid w:val="00D4472C"/>
    <w:rsid w:val="00D44BE0"/>
    <w:rsid w:val="00D451AA"/>
    <w:rsid w:val="00D45533"/>
    <w:rsid w:val="00D4598B"/>
    <w:rsid w:val="00D45A27"/>
    <w:rsid w:val="00D462D4"/>
    <w:rsid w:val="00D47810"/>
    <w:rsid w:val="00D47F48"/>
    <w:rsid w:val="00D501F9"/>
    <w:rsid w:val="00D50DAA"/>
    <w:rsid w:val="00D516A1"/>
    <w:rsid w:val="00D538A2"/>
    <w:rsid w:val="00D5434B"/>
    <w:rsid w:val="00D544FC"/>
    <w:rsid w:val="00D54F7E"/>
    <w:rsid w:val="00D550AC"/>
    <w:rsid w:val="00D556EC"/>
    <w:rsid w:val="00D55AE8"/>
    <w:rsid w:val="00D55C81"/>
    <w:rsid w:val="00D566FD"/>
    <w:rsid w:val="00D56B1E"/>
    <w:rsid w:val="00D572E9"/>
    <w:rsid w:val="00D578CD"/>
    <w:rsid w:val="00D604E2"/>
    <w:rsid w:val="00D60538"/>
    <w:rsid w:val="00D605E4"/>
    <w:rsid w:val="00D60774"/>
    <w:rsid w:val="00D60F53"/>
    <w:rsid w:val="00D617A7"/>
    <w:rsid w:val="00D6233F"/>
    <w:rsid w:val="00D62350"/>
    <w:rsid w:val="00D62682"/>
    <w:rsid w:val="00D62767"/>
    <w:rsid w:val="00D629CD"/>
    <w:rsid w:val="00D62A9A"/>
    <w:rsid w:val="00D6303B"/>
    <w:rsid w:val="00D6413E"/>
    <w:rsid w:val="00D64F76"/>
    <w:rsid w:val="00D65281"/>
    <w:rsid w:val="00D65BEB"/>
    <w:rsid w:val="00D65C34"/>
    <w:rsid w:val="00D6647D"/>
    <w:rsid w:val="00D66703"/>
    <w:rsid w:val="00D66E01"/>
    <w:rsid w:val="00D670E9"/>
    <w:rsid w:val="00D67C14"/>
    <w:rsid w:val="00D706A1"/>
    <w:rsid w:val="00D70AC5"/>
    <w:rsid w:val="00D71502"/>
    <w:rsid w:val="00D7181B"/>
    <w:rsid w:val="00D727BC"/>
    <w:rsid w:val="00D72D8E"/>
    <w:rsid w:val="00D74175"/>
    <w:rsid w:val="00D74ED4"/>
    <w:rsid w:val="00D753AF"/>
    <w:rsid w:val="00D75C06"/>
    <w:rsid w:val="00D75CF3"/>
    <w:rsid w:val="00D75F23"/>
    <w:rsid w:val="00D76310"/>
    <w:rsid w:val="00D769C2"/>
    <w:rsid w:val="00D76AFA"/>
    <w:rsid w:val="00D76D22"/>
    <w:rsid w:val="00D770E4"/>
    <w:rsid w:val="00D80062"/>
    <w:rsid w:val="00D80293"/>
    <w:rsid w:val="00D80665"/>
    <w:rsid w:val="00D80972"/>
    <w:rsid w:val="00D80C7F"/>
    <w:rsid w:val="00D81248"/>
    <w:rsid w:val="00D81269"/>
    <w:rsid w:val="00D815C8"/>
    <w:rsid w:val="00D81644"/>
    <w:rsid w:val="00D818C3"/>
    <w:rsid w:val="00D81B85"/>
    <w:rsid w:val="00D81F43"/>
    <w:rsid w:val="00D82A27"/>
    <w:rsid w:val="00D82C33"/>
    <w:rsid w:val="00D83374"/>
    <w:rsid w:val="00D83505"/>
    <w:rsid w:val="00D8350E"/>
    <w:rsid w:val="00D83AB8"/>
    <w:rsid w:val="00D83B27"/>
    <w:rsid w:val="00D83BE1"/>
    <w:rsid w:val="00D83EEC"/>
    <w:rsid w:val="00D843D0"/>
    <w:rsid w:val="00D843FF"/>
    <w:rsid w:val="00D8498A"/>
    <w:rsid w:val="00D854D9"/>
    <w:rsid w:val="00D85726"/>
    <w:rsid w:val="00D85A37"/>
    <w:rsid w:val="00D86ACF"/>
    <w:rsid w:val="00D871AA"/>
    <w:rsid w:val="00D875AB"/>
    <w:rsid w:val="00D876B5"/>
    <w:rsid w:val="00D90196"/>
    <w:rsid w:val="00D90FA3"/>
    <w:rsid w:val="00D91023"/>
    <w:rsid w:val="00D9114D"/>
    <w:rsid w:val="00D91537"/>
    <w:rsid w:val="00D916C9"/>
    <w:rsid w:val="00D920D1"/>
    <w:rsid w:val="00D92673"/>
    <w:rsid w:val="00D9302F"/>
    <w:rsid w:val="00D931EA"/>
    <w:rsid w:val="00D932F4"/>
    <w:rsid w:val="00D93DA8"/>
    <w:rsid w:val="00D93F69"/>
    <w:rsid w:val="00D9419B"/>
    <w:rsid w:val="00D943DA"/>
    <w:rsid w:val="00D94732"/>
    <w:rsid w:val="00D9475F"/>
    <w:rsid w:val="00D949E0"/>
    <w:rsid w:val="00D956FD"/>
    <w:rsid w:val="00D95D2F"/>
    <w:rsid w:val="00D95EAA"/>
    <w:rsid w:val="00D96395"/>
    <w:rsid w:val="00D9667F"/>
    <w:rsid w:val="00D96FC3"/>
    <w:rsid w:val="00D97007"/>
    <w:rsid w:val="00D97B71"/>
    <w:rsid w:val="00D97EBA"/>
    <w:rsid w:val="00DA01B8"/>
    <w:rsid w:val="00DA0380"/>
    <w:rsid w:val="00DA083F"/>
    <w:rsid w:val="00DA1033"/>
    <w:rsid w:val="00DA17DA"/>
    <w:rsid w:val="00DA197C"/>
    <w:rsid w:val="00DA1B1D"/>
    <w:rsid w:val="00DA1CA4"/>
    <w:rsid w:val="00DA2492"/>
    <w:rsid w:val="00DA2B09"/>
    <w:rsid w:val="00DA2F6A"/>
    <w:rsid w:val="00DA336E"/>
    <w:rsid w:val="00DA3CA3"/>
    <w:rsid w:val="00DA3DE7"/>
    <w:rsid w:val="00DA3E05"/>
    <w:rsid w:val="00DA401A"/>
    <w:rsid w:val="00DA42E6"/>
    <w:rsid w:val="00DA4537"/>
    <w:rsid w:val="00DA4E13"/>
    <w:rsid w:val="00DA543B"/>
    <w:rsid w:val="00DA5E9D"/>
    <w:rsid w:val="00DA70D9"/>
    <w:rsid w:val="00DA7D4B"/>
    <w:rsid w:val="00DB02FB"/>
    <w:rsid w:val="00DB0AF8"/>
    <w:rsid w:val="00DB0C05"/>
    <w:rsid w:val="00DB1868"/>
    <w:rsid w:val="00DB1A57"/>
    <w:rsid w:val="00DB2C7E"/>
    <w:rsid w:val="00DB3644"/>
    <w:rsid w:val="00DB37C1"/>
    <w:rsid w:val="00DB3E25"/>
    <w:rsid w:val="00DB4ADC"/>
    <w:rsid w:val="00DB4DDB"/>
    <w:rsid w:val="00DB5417"/>
    <w:rsid w:val="00DB546F"/>
    <w:rsid w:val="00DB555B"/>
    <w:rsid w:val="00DB577B"/>
    <w:rsid w:val="00DB5B67"/>
    <w:rsid w:val="00DB7731"/>
    <w:rsid w:val="00DB7C44"/>
    <w:rsid w:val="00DC002D"/>
    <w:rsid w:val="00DC064B"/>
    <w:rsid w:val="00DC0A60"/>
    <w:rsid w:val="00DC0DC5"/>
    <w:rsid w:val="00DC273D"/>
    <w:rsid w:val="00DC27B3"/>
    <w:rsid w:val="00DC2813"/>
    <w:rsid w:val="00DC28A2"/>
    <w:rsid w:val="00DC28ED"/>
    <w:rsid w:val="00DC37EB"/>
    <w:rsid w:val="00DC3CBD"/>
    <w:rsid w:val="00DC3CF1"/>
    <w:rsid w:val="00DC42E4"/>
    <w:rsid w:val="00DC4935"/>
    <w:rsid w:val="00DC50C3"/>
    <w:rsid w:val="00DC67BE"/>
    <w:rsid w:val="00DC6EF2"/>
    <w:rsid w:val="00DC71AF"/>
    <w:rsid w:val="00DC7665"/>
    <w:rsid w:val="00DC7942"/>
    <w:rsid w:val="00DC7E69"/>
    <w:rsid w:val="00DC7E88"/>
    <w:rsid w:val="00DC7F67"/>
    <w:rsid w:val="00DD0022"/>
    <w:rsid w:val="00DD02B2"/>
    <w:rsid w:val="00DD06AF"/>
    <w:rsid w:val="00DD1020"/>
    <w:rsid w:val="00DD12B7"/>
    <w:rsid w:val="00DD1336"/>
    <w:rsid w:val="00DD15AD"/>
    <w:rsid w:val="00DD1F2E"/>
    <w:rsid w:val="00DD2326"/>
    <w:rsid w:val="00DD2D3E"/>
    <w:rsid w:val="00DD3A6C"/>
    <w:rsid w:val="00DD3BD9"/>
    <w:rsid w:val="00DD49B6"/>
    <w:rsid w:val="00DD5A19"/>
    <w:rsid w:val="00DD5B67"/>
    <w:rsid w:val="00DD6CDD"/>
    <w:rsid w:val="00DD7070"/>
    <w:rsid w:val="00DD783F"/>
    <w:rsid w:val="00DD79AB"/>
    <w:rsid w:val="00DE013F"/>
    <w:rsid w:val="00DE018F"/>
    <w:rsid w:val="00DE068C"/>
    <w:rsid w:val="00DE09FB"/>
    <w:rsid w:val="00DE1657"/>
    <w:rsid w:val="00DE21D0"/>
    <w:rsid w:val="00DE253C"/>
    <w:rsid w:val="00DE2F06"/>
    <w:rsid w:val="00DE2F5F"/>
    <w:rsid w:val="00DE320D"/>
    <w:rsid w:val="00DE3325"/>
    <w:rsid w:val="00DE3583"/>
    <w:rsid w:val="00DE396F"/>
    <w:rsid w:val="00DE3BE3"/>
    <w:rsid w:val="00DE3FF4"/>
    <w:rsid w:val="00DE410E"/>
    <w:rsid w:val="00DE4D55"/>
    <w:rsid w:val="00DE51C7"/>
    <w:rsid w:val="00DE584A"/>
    <w:rsid w:val="00DE5B37"/>
    <w:rsid w:val="00DE69FD"/>
    <w:rsid w:val="00DE7429"/>
    <w:rsid w:val="00DE76DA"/>
    <w:rsid w:val="00DE7B95"/>
    <w:rsid w:val="00DF0416"/>
    <w:rsid w:val="00DF05DC"/>
    <w:rsid w:val="00DF09DD"/>
    <w:rsid w:val="00DF1791"/>
    <w:rsid w:val="00DF17DB"/>
    <w:rsid w:val="00DF1AAC"/>
    <w:rsid w:val="00DF2480"/>
    <w:rsid w:val="00DF267C"/>
    <w:rsid w:val="00DF2FF5"/>
    <w:rsid w:val="00DF39FF"/>
    <w:rsid w:val="00DF437D"/>
    <w:rsid w:val="00DF4774"/>
    <w:rsid w:val="00DF4AC7"/>
    <w:rsid w:val="00DF4B91"/>
    <w:rsid w:val="00DF532A"/>
    <w:rsid w:val="00DF5DE8"/>
    <w:rsid w:val="00DF661C"/>
    <w:rsid w:val="00DF6869"/>
    <w:rsid w:val="00DF6BDA"/>
    <w:rsid w:val="00DF6D5B"/>
    <w:rsid w:val="00DF70C8"/>
    <w:rsid w:val="00E005FD"/>
    <w:rsid w:val="00E00E49"/>
    <w:rsid w:val="00E00F76"/>
    <w:rsid w:val="00E01079"/>
    <w:rsid w:val="00E010B6"/>
    <w:rsid w:val="00E0112F"/>
    <w:rsid w:val="00E0114B"/>
    <w:rsid w:val="00E0145D"/>
    <w:rsid w:val="00E01AA3"/>
    <w:rsid w:val="00E01C9C"/>
    <w:rsid w:val="00E01E2E"/>
    <w:rsid w:val="00E02080"/>
    <w:rsid w:val="00E02C8E"/>
    <w:rsid w:val="00E042C5"/>
    <w:rsid w:val="00E0465A"/>
    <w:rsid w:val="00E047F1"/>
    <w:rsid w:val="00E04DAA"/>
    <w:rsid w:val="00E055ED"/>
    <w:rsid w:val="00E05982"/>
    <w:rsid w:val="00E0660D"/>
    <w:rsid w:val="00E073A5"/>
    <w:rsid w:val="00E0748C"/>
    <w:rsid w:val="00E1014A"/>
    <w:rsid w:val="00E1068D"/>
    <w:rsid w:val="00E1073C"/>
    <w:rsid w:val="00E10CCA"/>
    <w:rsid w:val="00E10E45"/>
    <w:rsid w:val="00E1127E"/>
    <w:rsid w:val="00E1181E"/>
    <w:rsid w:val="00E1214C"/>
    <w:rsid w:val="00E123E4"/>
    <w:rsid w:val="00E12F07"/>
    <w:rsid w:val="00E13541"/>
    <w:rsid w:val="00E1384D"/>
    <w:rsid w:val="00E13BA9"/>
    <w:rsid w:val="00E14298"/>
    <w:rsid w:val="00E1438B"/>
    <w:rsid w:val="00E14EB2"/>
    <w:rsid w:val="00E14FB0"/>
    <w:rsid w:val="00E152E8"/>
    <w:rsid w:val="00E15407"/>
    <w:rsid w:val="00E1572A"/>
    <w:rsid w:val="00E15938"/>
    <w:rsid w:val="00E15FAF"/>
    <w:rsid w:val="00E16BE9"/>
    <w:rsid w:val="00E16DA2"/>
    <w:rsid w:val="00E16E92"/>
    <w:rsid w:val="00E16F1B"/>
    <w:rsid w:val="00E175BD"/>
    <w:rsid w:val="00E17719"/>
    <w:rsid w:val="00E17BD1"/>
    <w:rsid w:val="00E2013B"/>
    <w:rsid w:val="00E201A0"/>
    <w:rsid w:val="00E201C0"/>
    <w:rsid w:val="00E20952"/>
    <w:rsid w:val="00E21413"/>
    <w:rsid w:val="00E21721"/>
    <w:rsid w:val="00E21B3B"/>
    <w:rsid w:val="00E23141"/>
    <w:rsid w:val="00E23711"/>
    <w:rsid w:val="00E237EE"/>
    <w:rsid w:val="00E23DA2"/>
    <w:rsid w:val="00E2460D"/>
    <w:rsid w:val="00E246EC"/>
    <w:rsid w:val="00E247EF"/>
    <w:rsid w:val="00E24BBE"/>
    <w:rsid w:val="00E24D01"/>
    <w:rsid w:val="00E24D05"/>
    <w:rsid w:val="00E25366"/>
    <w:rsid w:val="00E2617C"/>
    <w:rsid w:val="00E26842"/>
    <w:rsid w:val="00E26CEC"/>
    <w:rsid w:val="00E26E28"/>
    <w:rsid w:val="00E26EA0"/>
    <w:rsid w:val="00E279D0"/>
    <w:rsid w:val="00E27D13"/>
    <w:rsid w:val="00E304B4"/>
    <w:rsid w:val="00E304F6"/>
    <w:rsid w:val="00E3065F"/>
    <w:rsid w:val="00E312E7"/>
    <w:rsid w:val="00E31601"/>
    <w:rsid w:val="00E31679"/>
    <w:rsid w:val="00E32458"/>
    <w:rsid w:val="00E32831"/>
    <w:rsid w:val="00E3293E"/>
    <w:rsid w:val="00E32AAB"/>
    <w:rsid w:val="00E32BE8"/>
    <w:rsid w:val="00E32D09"/>
    <w:rsid w:val="00E32D86"/>
    <w:rsid w:val="00E332BF"/>
    <w:rsid w:val="00E332F3"/>
    <w:rsid w:val="00E33413"/>
    <w:rsid w:val="00E3431B"/>
    <w:rsid w:val="00E34D9C"/>
    <w:rsid w:val="00E355EB"/>
    <w:rsid w:val="00E35738"/>
    <w:rsid w:val="00E35923"/>
    <w:rsid w:val="00E359BE"/>
    <w:rsid w:val="00E359DD"/>
    <w:rsid w:val="00E35C00"/>
    <w:rsid w:val="00E366A3"/>
    <w:rsid w:val="00E36EA0"/>
    <w:rsid w:val="00E373F4"/>
    <w:rsid w:val="00E3762A"/>
    <w:rsid w:val="00E37F8A"/>
    <w:rsid w:val="00E403CD"/>
    <w:rsid w:val="00E403EC"/>
    <w:rsid w:val="00E40BDE"/>
    <w:rsid w:val="00E40C55"/>
    <w:rsid w:val="00E40F7F"/>
    <w:rsid w:val="00E41061"/>
    <w:rsid w:val="00E411A5"/>
    <w:rsid w:val="00E4164A"/>
    <w:rsid w:val="00E4178D"/>
    <w:rsid w:val="00E4199B"/>
    <w:rsid w:val="00E41A5F"/>
    <w:rsid w:val="00E41C1D"/>
    <w:rsid w:val="00E42398"/>
    <w:rsid w:val="00E427D5"/>
    <w:rsid w:val="00E433E5"/>
    <w:rsid w:val="00E439F3"/>
    <w:rsid w:val="00E43B48"/>
    <w:rsid w:val="00E43D99"/>
    <w:rsid w:val="00E43DCD"/>
    <w:rsid w:val="00E443CE"/>
    <w:rsid w:val="00E44FE7"/>
    <w:rsid w:val="00E45DB3"/>
    <w:rsid w:val="00E45F71"/>
    <w:rsid w:val="00E463C1"/>
    <w:rsid w:val="00E4703D"/>
    <w:rsid w:val="00E47BBA"/>
    <w:rsid w:val="00E47E06"/>
    <w:rsid w:val="00E50975"/>
    <w:rsid w:val="00E5116B"/>
    <w:rsid w:val="00E51349"/>
    <w:rsid w:val="00E51688"/>
    <w:rsid w:val="00E516FE"/>
    <w:rsid w:val="00E51A4C"/>
    <w:rsid w:val="00E51D6B"/>
    <w:rsid w:val="00E52527"/>
    <w:rsid w:val="00E525BA"/>
    <w:rsid w:val="00E531C7"/>
    <w:rsid w:val="00E53DC6"/>
    <w:rsid w:val="00E5412F"/>
    <w:rsid w:val="00E5423F"/>
    <w:rsid w:val="00E544D8"/>
    <w:rsid w:val="00E54B30"/>
    <w:rsid w:val="00E55195"/>
    <w:rsid w:val="00E571CE"/>
    <w:rsid w:val="00E574A3"/>
    <w:rsid w:val="00E5786D"/>
    <w:rsid w:val="00E57D04"/>
    <w:rsid w:val="00E57DED"/>
    <w:rsid w:val="00E60195"/>
    <w:rsid w:val="00E60207"/>
    <w:rsid w:val="00E603A6"/>
    <w:rsid w:val="00E6060B"/>
    <w:rsid w:val="00E6090A"/>
    <w:rsid w:val="00E60AB7"/>
    <w:rsid w:val="00E60C2C"/>
    <w:rsid w:val="00E60D13"/>
    <w:rsid w:val="00E60E21"/>
    <w:rsid w:val="00E6127B"/>
    <w:rsid w:val="00E62929"/>
    <w:rsid w:val="00E62AF7"/>
    <w:rsid w:val="00E62B2E"/>
    <w:rsid w:val="00E63800"/>
    <w:rsid w:val="00E64FF5"/>
    <w:rsid w:val="00E6603D"/>
    <w:rsid w:val="00E666AC"/>
    <w:rsid w:val="00E677FD"/>
    <w:rsid w:val="00E6789A"/>
    <w:rsid w:val="00E67BE9"/>
    <w:rsid w:val="00E67C17"/>
    <w:rsid w:val="00E7044E"/>
    <w:rsid w:val="00E71197"/>
    <w:rsid w:val="00E71327"/>
    <w:rsid w:val="00E71365"/>
    <w:rsid w:val="00E71CAE"/>
    <w:rsid w:val="00E7201F"/>
    <w:rsid w:val="00E7220F"/>
    <w:rsid w:val="00E7255A"/>
    <w:rsid w:val="00E7370F"/>
    <w:rsid w:val="00E73B83"/>
    <w:rsid w:val="00E74790"/>
    <w:rsid w:val="00E748F3"/>
    <w:rsid w:val="00E74981"/>
    <w:rsid w:val="00E75035"/>
    <w:rsid w:val="00E7515D"/>
    <w:rsid w:val="00E75FD8"/>
    <w:rsid w:val="00E76416"/>
    <w:rsid w:val="00E77B50"/>
    <w:rsid w:val="00E77E89"/>
    <w:rsid w:val="00E8043C"/>
    <w:rsid w:val="00E806CA"/>
    <w:rsid w:val="00E80A4F"/>
    <w:rsid w:val="00E8149B"/>
    <w:rsid w:val="00E81C06"/>
    <w:rsid w:val="00E820CE"/>
    <w:rsid w:val="00E820FE"/>
    <w:rsid w:val="00E8288B"/>
    <w:rsid w:val="00E82E36"/>
    <w:rsid w:val="00E834B9"/>
    <w:rsid w:val="00E840AE"/>
    <w:rsid w:val="00E84816"/>
    <w:rsid w:val="00E84B96"/>
    <w:rsid w:val="00E85568"/>
    <w:rsid w:val="00E85F68"/>
    <w:rsid w:val="00E86143"/>
    <w:rsid w:val="00E8644A"/>
    <w:rsid w:val="00E87076"/>
    <w:rsid w:val="00E8720C"/>
    <w:rsid w:val="00E8784B"/>
    <w:rsid w:val="00E87AB0"/>
    <w:rsid w:val="00E9097C"/>
    <w:rsid w:val="00E9126D"/>
    <w:rsid w:val="00E91F5B"/>
    <w:rsid w:val="00E930AC"/>
    <w:rsid w:val="00E936A8"/>
    <w:rsid w:val="00E939CA"/>
    <w:rsid w:val="00E93FC3"/>
    <w:rsid w:val="00E942B9"/>
    <w:rsid w:val="00E943B9"/>
    <w:rsid w:val="00E94D2D"/>
    <w:rsid w:val="00E95332"/>
    <w:rsid w:val="00E96494"/>
    <w:rsid w:val="00E969C4"/>
    <w:rsid w:val="00E9719B"/>
    <w:rsid w:val="00E97A90"/>
    <w:rsid w:val="00EA0185"/>
    <w:rsid w:val="00EA06EE"/>
    <w:rsid w:val="00EA0BAB"/>
    <w:rsid w:val="00EA0C2F"/>
    <w:rsid w:val="00EA1A50"/>
    <w:rsid w:val="00EA1BEB"/>
    <w:rsid w:val="00EA2061"/>
    <w:rsid w:val="00EA2605"/>
    <w:rsid w:val="00EA27C1"/>
    <w:rsid w:val="00EA27E3"/>
    <w:rsid w:val="00EA2B87"/>
    <w:rsid w:val="00EA2C6C"/>
    <w:rsid w:val="00EA370A"/>
    <w:rsid w:val="00EA379C"/>
    <w:rsid w:val="00EA3C86"/>
    <w:rsid w:val="00EA4751"/>
    <w:rsid w:val="00EA483A"/>
    <w:rsid w:val="00EA4EBC"/>
    <w:rsid w:val="00EA4F27"/>
    <w:rsid w:val="00EA595C"/>
    <w:rsid w:val="00EA60AB"/>
    <w:rsid w:val="00EA611B"/>
    <w:rsid w:val="00EA6474"/>
    <w:rsid w:val="00EA6EA8"/>
    <w:rsid w:val="00EA74DB"/>
    <w:rsid w:val="00EA7502"/>
    <w:rsid w:val="00EA7C3A"/>
    <w:rsid w:val="00EB0509"/>
    <w:rsid w:val="00EB066F"/>
    <w:rsid w:val="00EB0707"/>
    <w:rsid w:val="00EB09BC"/>
    <w:rsid w:val="00EB155F"/>
    <w:rsid w:val="00EB1E4F"/>
    <w:rsid w:val="00EB287A"/>
    <w:rsid w:val="00EB2D69"/>
    <w:rsid w:val="00EB4E38"/>
    <w:rsid w:val="00EB549B"/>
    <w:rsid w:val="00EB566D"/>
    <w:rsid w:val="00EB5C3E"/>
    <w:rsid w:val="00EB69D7"/>
    <w:rsid w:val="00EB6B7E"/>
    <w:rsid w:val="00EB71A9"/>
    <w:rsid w:val="00EB7EE3"/>
    <w:rsid w:val="00EC0465"/>
    <w:rsid w:val="00EC09D3"/>
    <w:rsid w:val="00EC0FFA"/>
    <w:rsid w:val="00EC1696"/>
    <w:rsid w:val="00EC190B"/>
    <w:rsid w:val="00EC1C10"/>
    <w:rsid w:val="00EC1C91"/>
    <w:rsid w:val="00EC2200"/>
    <w:rsid w:val="00EC2F18"/>
    <w:rsid w:val="00EC3A7A"/>
    <w:rsid w:val="00EC3C19"/>
    <w:rsid w:val="00EC3CD3"/>
    <w:rsid w:val="00EC4A47"/>
    <w:rsid w:val="00EC5222"/>
    <w:rsid w:val="00EC54B1"/>
    <w:rsid w:val="00EC5A7A"/>
    <w:rsid w:val="00EC5DF6"/>
    <w:rsid w:val="00EC6645"/>
    <w:rsid w:val="00EC6A77"/>
    <w:rsid w:val="00EC73F1"/>
    <w:rsid w:val="00EC749F"/>
    <w:rsid w:val="00EC74C1"/>
    <w:rsid w:val="00EC7604"/>
    <w:rsid w:val="00ED05B2"/>
    <w:rsid w:val="00ED152C"/>
    <w:rsid w:val="00ED1578"/>
    <w:rsid w:val="00ED18A9"/>
    <w:rsid w:val="00ED1D84"/>
    <w:rsid w:val="00ED1FF1"/>
    <w:rsid w:val="00ED2216"/>
    <w:rsid w:val="00ED259B"/>
    <w:rsid w:val="00ED2CE0"/>
    <w:rsid w:val="00ED3031"/>
    <w:rsid w:val="00ED3AFF"/>
    <w:rsid w:val="00ED3C4A"/>
    <w:rsid w:val="00ED3DD6"/>
    <w:rsid w:val="00ED3EFF"/>
    <w:rsid w:val="00ED3F87"/>
    <w:rsid w:val="00ED41F9"/>
    <w:rsid w:val="00ED4556"/>
    <w:rsid w:val="00ED4A27"/>
    <w:rsid w:val="00ED4EAB"/>
    <w:rsid w:val="00ED522A"/>
    <w:rsid w:val="00ED539D"/>
    <w:rsid w:val="00ED5676"/>
    <w:rsid w:val="00ED61FF"/>
    <w:rsid w:val="00ED6484"/>
    <w:rsid w:val="00ED6EBB"/>
    <w:rsid w:val="00ED72A9"/>
    <w:rsid w:val="00ED72E9"/>
    <w:rsid w:val="00ED74A5"/>
    <w:rsid w:val="00ED76A9"/>
    <w:rsid w:val="00ED7D9C"/>
    <w:rsid w:val="00EE0295"/>
    <w:rsid w:val="00EE0A58"/>
    <w:rsid w:val="00EE1D4F"/>
    <w:rsid w:val="00EE2167"/>
    <w:rsid w:val="00EE283A"/>
    <w:rsid w:val="00EE304B"/>
    <w:rsid w:val="00EE44B9"/>
    <w:rsid w:val="00EE5598"/>
    <w:rsid w:val="00EE5960"/>
    <w:rsid w:val="00EE5B62"/>
    <w:rsid w:val="00EE5BAB"/>
    <w:rsid w:val="00EE6386"/>
    <w:rsid w:val="00EE708F"/>
    <w:rsid w:val="00EE7CD2"/>
    <w:rsid w:val="00EF087E"/>
    <w:rsid w:val="00EF1223"/>
    <w:rsid w:val="00EF13E4"/>
    <w:rsid w:val="00EF1772"/>
    <w:rsid w:val="00EF1F4A"/>
    <w:rsid w:val="00EF209F"/>
    <w:rsid w:val="00EF2688"/>
    <w:rsid w:val="00EF2A3A"/>
    <w:rsid w:val="00EF3776"/>
    <w:rsid w:val="00EF3DCB"/>
    <w:rsid w:val="00EF4395"/>
    <w:rsid w:val="00EF4456"/>
    <w:rsid w:val="00EF491D"/>
    <w:rsid w:val="00EF4B20"/>
    <w:rsid w:val="00EF5294"/>
    <w:rsid w:val="00EF5F13"/>
    <w:rsid w:val="00EF65DC"/>
    <w:rsid w:val="00EF6A12"/>
    <w:rsid w:val="00EF6D0A"/>
    <w:rsid w:val="00EF73C5"/>
    <w:rsid w:val="00EF7B25"/>
    <w:rsid w:val="00EF7BAD"/>
    <w:rsid w:val="00EF7EDA"/>
    <w:rsid w:val="00F00634"/>
    <w:rsid w:val="00F00994"/>
    <w:rsid w:val="00F00AFF"/>
    <w:rsid w:val="00F0104D"/>
    <w:rsid w:val="00F01548"/>
    <w:rsid w:val="00F01FE3"/>
    <w:rsid w:val="00F02096"/>
    <w:rsid w:val="00F02A7B"/>
    <w:rsid w:val="00F03521"/>
    <w:rsid w:val="00F03AF3"/>
    <w:rsid w:val="00F03D69"/>
    <w:rsid w:val="00F03DEE"/>
    <w:rsid w:val="00F04270"/>
    <w:rsid w:val="00F043C1"/>
    <w:rsid w:val="00F05A41"/>
    <w:rsid w:val="00F06046"/>
    <w:rsid w:val="00F10F0E"/>
    <w:rsid w:val="00F117B8"/>
    <w:rsid w:val="00F11A46"/>
    <w:rsid w:val="00F11D5E"/>
    <w:rsid w:val="00F124C5"/>
    <w:rsid w:val="00F1299A"/>
    <w:rsid w:val="00F12A85"/>
    <w:rsid w:val="00F12D7D"/>
    <w:rsid w:val="00F12E0D"/>
    <w:rsid w:val="00F12F5A"/>
    <w:rsid w:val="00F1316E"/>
    <w:rsid w:val="00F137F7"/>
    <w:rsid w:val="00F1384B"/>
    <w:rsid w:val="00F13D3A"/>
    <w:rsid w:val="00F143E0"/>
    <w:rsid w:val="00F1463C"/>
    <w:rsid w:val="00F14814"/>
    <w:rsid w:val="00F14931"/>
    <w:rsid w:val="00F15271"/>
    <w:rsid w:val="00F15559"/>
    <w:rsid w:val="00F15ACF"/>
    <w:rsid w:val="00F160C4"/>
    <w:rsid w:val="00F16AFA"/>
    <w:rsid w:val="00F178FF"/>
    <w:rsid w:val="00F17AD0"/>
    <w:rsid w:val="00F21C15"/>
    <w:rsid w:val="00F21D50"/>
    <w:rsid w:val="00F22785"/>
    <w:rsid w:val="00F22AA5"/>
    <w:rsid w:val="00F22AB9"/>
    <w:rsid w:val="00F22C32"/>
    <w:rsid w:val="00F2343D"/>
    <w:rsid w:val="00F23D6F"/>
    <w:rsid w:val="00F23FC2"/>
    <w:rsid w:val="00F2485E"/>
    <w:rsid w:val="00F25A70"/>
    <w:rsid w:val="00F25D73"/>
    <w:rsid w:val="00F26593"/>
    <w:rsid w:val="00F267B9"/>
    <w:rsid w:val="00F26973"/>
    <w:rsid w:val="00F26C04"/>
    <w:rsid w:val="00F26CBD"/>
    <w:rsid w:val="00F26E2C"/>
    <w:rsid w:val="00F27155"/>
    <w:rsid w:val="00F2741A"/>
    <w:rsid w:val="00F27A87"/>
    <w:rsid w:val="00F319D4"/>
    <w:rsid w:val="00F32741"/>
    <w:rsid w:val="00F32DA5"/>
    <w:rsid w:val="00F331CF"/>
    <w:rsid w:val="00F342D1"/>
    <w:rsid w:val="00F346DF"/>
    <w:rsid w:val="00F349F1"/>
    <w:rsid w:val="00F34BE2"/>
    <w:rsid w:val="00F35A77"/>
    <w:rsid w:val="00F35D01"/>
    <w:rsid w:val="00F35F60"/>
    <w:rsid w:val="00F36CC5"/>
    <w:rsid w:val="00F36CFF"/>
    <w:rsid w:val="00F371F5"/>
    <w:rsid w:val="00F404BE"/>
    <w:rsid w:val="00F40BA3"/>
    <w:rsid w:val="00F4109B"/>
    <w:rsid w:val="00F41A87"/>
    <w:rsid w:val="00F41CEC"/>
    <w:rsid w:val="00F424F2"/>
    <w:rsid w:val="00F42B75"/>
    <w:rsid w:val="00F42BBF"/>
    <w:rsid w:val="00F42C42"/>
    <w:rsid w:val="00F43044"/>
    <w:rsid w:val="00F43100"/>
    <w:rsid w:val="00F43CD3"/>
    <w:rsid w:val="00F43CF5"/>
    <w:rsid w:val="00F43DCB"/>
    <w:rsid w:val="00F43F15"/>
    <w:rsid w:val="00F44218"/>
    <w:rsid w:val="00F443AE"/>
    <w:rsid w:val="00F44B0C"/>
    <w:rsid w:val="00F44F6A"/>
    <w:rsid w:val="00F45606"/>
    <w:rsid w:val="00F46495"/>
    <w:rsid w:val="00F466D3"/>
    <w:rsid w:val="00F46CFA"/>
    <w:rsid w:val="00F47B5F"/>
    <w:rsid w:val="00F501A1"/>
    <w:rsid w:val="00F51EC7"/>
    <w:rsid w:val="00F5293C"/>
    <w:rsid w:val="00F52C21"/>
    <w:rsid w:val="00F542BB"/>
    <w:rsid w:val="00F5570C"/>
    <w:rsid w:val="00F55947"/>
    <w:rsid w:val="00F55B78"/>
    <w:rsid w:val="00F56290"/>
    <w:rsid w:val="00F563C5"/>
    <w:rsid w:val="00F565D5"/>
    <w:rsid w:val="00F56A2B"/>
    <w:rsid w:val="00F56CCD"/>
    <w:rsid w:val="00F5734D"/>
    <w:rsid w:val="00F577AE"/>
    <w:rsid w:val="00F57A02"/>
    <w:rsid w:val="00F60111"/>
    <w:rsid w:val="00F6015C"/>
    <w:rsid w:val="00F60644"/>
    <w:rsid w:val="00F606C0"/>
    <w:rsid w:val="00F60A97"/>
    <w:rsid w:val="00F61D97"/>
    <w:rsid w:val="00F62563"/>
    <w:rsid w:val="00F629E8"/>
    <w:rsid w:val="00F62D49"/>
    <w:rsid w:val="00F632FF"/>
    <w:rsid w:val="00F63926"/>
    <w:rsid w:val="00F6416D"/>
    <w:rsid w:val="00F641F8"/>
    <w:rsid w:val="00F64496"/>
    <w:rsid w:val="00F64E30"/>
    <w:rsid w:val="00F64F1E"/>
    <w:rsid w:val="00F652F6"/>
    <w:rsid w:val="00F6541A"/>
    <w:rsid w:val="00F65B0F"/>
    <w:rsid w:val="00F660D7"/>
    <w:rsid w:val="00F66BF7"/>
    <w:rsid w:val="00F671C1"/>
    <w:rsid w:val="00F67486"/>
    <w:rsid w:val="00F67605"/>
    <w:rsid w:val="00F67677"/>
    <w:rsid w:val="00F677DD"/>
    <w:rsid w:val="00F67E27"/>
    <w:rsid w:val="00F67F76"/>
    <w:rsid w:val="00F7030F"/>
    <w:rsid w:val="00F70423"/>
    <w:rsid w:val="00F70552"/>
    <w:rsid w:val="00F70626"/>
    <w:rsid w:val="00F70ACE"/>
    <w:rsid w:val="00F71490"/>
    <w:rsid w:val="00F719C2"/>
    <w:rsid w:val="00F7243E"/>
    <w:rsid w:val="00F72617"/>
    <w:rsid w:val="00F7261F"/>
    <w:rsid w:val="00F72A25"/>
    <w:rsid w:val="00F731D0"/>
    <w:rsid w:val="00F73674"/>
    <w:rsid w:val="00F7384E"/>
    <w:rsid w:val="00F74195"/>
    <w:rsid w:val="00F74B9F"/>
    <w:rsid w:val="00F754A2"/>
    <w:rsid w:val="00F75805"/>
    <w:rsid w:val="00F761CF"/>
    <w:rsid w:val="00F76756"/>
    <w:rsid w:val="00F770E2"/>
    <w:rsid w:val="00F77713"/>
    <w:rsid w:val="00F77C04"/>
    <w:rsid w:val="00F81187"/>
    <w:rsid w:val="00F813A6"/>
    <w:rsid w:val="00F81C21"/>
    <w:rsid w:val="00F81D35"/>
    <w:rsid w:val="00F82CCC"/>
    <w:rsid w:val="00F830C9"/>
    <w:rsid w:val="00F832D0"/>
    <w:rsid w:val="00F83933"/>
    <w:rsid w:val="00F83B22"/>
    <w:rsid w:val="00F83DB9"/>
    <w:rsid w:val="00F84402"/>
    <w:rsid w:val="00F84A3D"/>
    <w:rsid w:val="00F84C48"/>
    <w:rsid w:val="00F85A80"/>
    <w:rsid w:val="00F85DE5"/>
    <w:rsid w:val="00F871A0"/>
    <w:rsid w:val="00F873CD"/>
    <w:rsid w:val="00F878F8"/>
    <w:rsid w:val="00F90DAE"/>
    <w:rsid w:val="00F91185"/>
    <w:rsid w:val="00F91227"/>
    <w:rsid w:val="00F91285"/>
    <w:rsid w:val="00F91687"/>
    <w:rsid w:val="00F91EF4"/>
    <w:rsid w:val="00F92503"/>
    <w:rsid w:val="00F92C0B"/>
    <w:rsid w:val="00F93287"/>
    <w:rsid w:val="00F935D5"/>
    <w:rsid w:val="00F93E6F"/>
    <w:rsid w:val="00F945E3"/>
    <w:rsid w:val="00F94827"/>
    <w:rsid w:val="00F95202"/>
    <w:rsid w:val="00F95350"/>
    <w:rsid w:val="00F956BF"/>
    <w:rsid w:val="00F95764"/>
    <w:rsid w:val="00F95DCB"/>
    <w:rsid w:val="00F95FD0"/>
    <w:rsid w:val="00F96178"/>
    <w:rsid w:val="00F96B10"/>
    <w:rsid w:val="00F96E35"/>
    <w:rsid w:val="00F97125"/>
    <w:rsid w:val="00F97765"/>
    <w:rsid w:val="00FA0251"/>
    <w:rsid w:val="00FA0A8F"/>
    <w:rsid w:val="00FA16E4"/>
    <w:rsid w:val="00FA1ACF"/>
    <w:rsid w:val="00FA1CC0"/>
    <w:rsid w:val="00FA1D11"/>
    <w:rsid w:val="00FA1ECC"/>
    <w:rsid w:val="00FA1F3C"/>
    <w:rsid w:val="00FA209A"/>
    <w:rsid w:val="00FA22E2"/>
    <w:rsid w:val="00FA25C2"/>
    <w:rsid w:val="00FA25FE"/>
    <w:rsid w:val="00FA303A"/>
    <w:rsid w:val="00FA3549"/>
    <w:rsid w:val="00FA3628"/>
    <w:rsid w:val="00FA3726"/>
    <w:rsid w:val="00FA4F00"/>
    <w:rsid w:val="00FA5226"/>
    <w:rsid w:val="00FA58C1"/>
    <w:rsid w:val="00FA59E2"/>
    <w:rsid w:val="00FA6012"/>
    <w:rsid w:val="00FA6AE2"/>
    <w:rsid w:val="00FA7156"/>
    <w:rsid w:val="00FA745C"/>
    <w:rsid w:val="00FA76E5"/>
    <w:rsid w:val="00FA7C0A"/>
    <w:rsid w:val="00FB04FF"/>
    <w:rsid w:val="00FB124B"/>
    <w:rsid w:val="00FB13C6"/>
    <w:rsid w:val="00FB1453"/>
    <w:rsid w:val="00FB1944"/>
    <w:rsid w:val="00FB1C95"/>
    <w:rsid w:val="00FB1E52"/>
    <w:rsid w:val="00FB1E6A"/>
    <w:rsid w:val="00FB2185"/>
    <w:rsid w:val="00FB248B"/>
    <w:rsid w:val="00FB2829"/>
    <w:rsid w:val="00FB3001"/>
    <w:rsid w:val="00FB3FF1"/>
    <w:rsid w:val="00FB410C"/>
    <w:rsid w:val="00FB4479"/>
    <w:rsid w:val="00FB4836"/>
    <w:rsid w:val="00FB4BCC"/>
    <w:rsid w:val="00FB58A8"/>
    <w:rsid w:val="00FB5BA1"/>
    <w:rsid w:val="00FB6154"/>
    <w:rsid w:val="00FB6396"/>
    <w:rsid w:val="00FB6831"/>
    <w:rsid w:val="00FB6966"/>
    <w:rsid w:val="00FB6ACB"/>
    <w:rsid w:val="00FB795A"/>
    <w:rsid w:val="00FB7977"/>
    <w:rsid w:val="00FB7BD9"/>
    <w:rsid w:val="00FB7F87"/>
    <w:rsid w:val="00FC0153"/>
    <w:rsid w:val="00FC0179"/>
    <w:rsid w:val="00FC0299"/>
    <w:rsid w:val="00FC1414"/>
    <w:rsid w:val="00FC1A50"/>
    <w:rsid w:val="00FC1B5B"/>
    <w:rsid w:val="00FC1BA5"/>
    <w:rsid w:val="00FC1BE6"/>
    <w:rsid w:val="00FC1F5C"/>
    <w:rsid w:val="00FC24F0"/>
    <w:rsid w:val="00FC421E"/>
    <w:rsid w:val="00FC4422"/>
    <w:rsid w:val="00FC517E"/>
    <w:rsid w:val="00FC5267"/>
    <w:rsid w:val="00FC5647"/>
    <w:rsid w:val="00FC5CA2"/>
    <w:rsid w:val="00FC5CE4"/>
    <w:rsid w:val="00FC5F26"/>
    <w:rsid w:val="00FC627D"/>
    <w:rsid w:val="00FC66D1"/>
    <w:rsid w:val="00FC695B"/>
    <w:rsid w:val="00FC6C78"/>
    <w:rsid w:val="00FC7B42"/>
    <w:rsid w:val="00FC7E23"/>
    <w:rsid w:val="00FD06D2"/>
    <w:rsid w:val="00FD0C33"/>
    <w:rsid w:val="00FD0CF5"/>
    <w:rsid w:val="00FD0D87"/>
    <w:rsid w:val="00FD0F17"/>
    <w:rsid w:val="00FD130A"/>
    <w:rsid w:val="00FD219F"/>
    <w:rsid w:val="00FD2429"/>
    <w:rsid w:val="00FD2CFF"/>
    <w:rsid w:val="00FD3103"/>
    <w:rsid w:val="00FD3F7B"/>
    <w:rsid w:val="00FD40F2"/>
    <w:rsid w:val="00FD4172"/>
    <w:rsid w:val="00FD4433"/>
    <w:rsid w:val="00FD559B"/>
    <w:rsid w:val="00FD5B74"/>
    <w:rsid w:val="00FD6CA4"/>
    <w:rsid w:val="00FD7083"/>
    <w:rsid w:val="00FD7831"/>
    <w:rsid w:val="00FD7A78"/>
    <w:rsid w:val="00FD7BFD"/>
    <w:rsid w:val="00FD7C84"/>
    <w:rsid w:val="00FE01A3"/>
    <w:rsid w:val="00FE0252"/>
    <w:rsid w:val="00FE08C5"/>
    <w:rsid w:val="00FE0F3F"/>
    <w:rsid w:val="00FE1A4D"/>
    <w:rsid w:val="00FE1BCA"/>
    <w:rsid w:val="00FE30CE"/>
    <w:rsid w:val="00FE3FA1"/>
    <w:rsid w:val="00FE4178"/>
    <w:rsid w:val="00FE4340"/>
    <w:rsid w:val="00FE56A4"/>
    <w:rsid w:val="00FE633D"/>
    <w:rsid w:val="00FF09DD"/>
    <w:rsid w:val="00FF0A5D"/>
    <w:rsid w:val="00FF0AB0"/>
    <w:rsid w:val="00FF101D"/>
    <w:rsid w:val="00FF266C"/>
    <w:rsid w:val="00FF2A80"/>
    <w:rsid w:val="00FF2C78"/>
    <w:rsid w:val="00FF2FD5"/>
    <w:rsid w:val="00FF31C7"/>
    <w:rsid w:val="00FF4181"/>
    <w:rsid w:val="00FF48E5"/>
    <w:rsid w:val="00FF4948"/>
    <w:rsid w:val="00FF4AAA"/>
    <w:rsid w:val="00FF4BC3"/>
    <w:rsid w:val="00FF5086"/>
    <w:rsid w:val="00FF5535"/>
    <w:rsid w:val="00FF5CEE"/>
    <w:rsid w:val="00FF638E"/>
    <w:rsid w:val="00FF641A"/>
    <w:rsid w:val="00FF6711"/>
    <w:rsid w:val="00FF6742"/>
    <w:rsid w:val="00FF6BAB"/>
    <w:rsid w:val="00FF6EA8"/>
    <w:rsid w:val="00FF6EEE"/>
    <w:rsid w:val="00FF725F"/>
    <w:rsid w:val="00FF73AB"/>
    <w:rsid w:val="00FF76E1"/>
    <w:rsid w:val="00FF791E"/>
    <w:rsid w:val="00FF7937"/>
    <w:rsid w:val="00FF7E5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BD4E5"/>
  <w15:chartTrackingRefBased/>
  <w15:docId w15:val="{868DD3DC-EB59-4983-950F-F297205D0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1A0"/>
    <w:pPr>
      <w:spacing w:line="274" w:lineRule="auto"/>
    </w:pPr>
    <w:rPr>
      <w:rFonts w:ascii="Arial" w:hAnsi="Arial"/>
    </w:rPr>
  </w:style>
  <w:style w:type="paragraph" w:styleId="Heading1">
    <w:name w:val="heading 1"/>
    <w:basedOn w:val="Normal"/>
    <w:next w:val="Normal"/>
    <w:link w:val="Heading1Char"/>
    <w:uiPriority w:val="9"/>
    <w:qFormat/>
    <w:rsid w:val="004D121F"/>
    <w:pPr>
      <w:keepNext/>
      <w:keepLines/>
      <w:numPr>
        <w:numId w:val="23"/>
      </w:numPr>
      <w:spacing w:before="360" w:after="360"/>
      <w:outlineLvl w:val="0"/>
    </w:pPr>
    <w:rPr>
      <w:rFonts w:eastAsia="Times New Roman" w:cs="Arial"/>
      <w:color w:val="6B3B57"/>
      <w:sz w:val="52"/>
      <w:szCs w:val="40"/>
      <w:lang w:eastAsia="en-AU"/>
    </w:rPr>
  </w:style>
  <w:style w:type="paragraph" w:styleId="Heading2">
    <w:name w:val="heading 2"/>
    <w:basedOn w:val="Normal"/>
    <w:next w:val="Normal"/>
    <w:link w:val="Heading2Char"/>
    <w:uiPriority w:val="9"/>
    <w:unhideWhenUsed/>
    <w:qFormat/>
    <w:rsid w:val="00363CFB"/>
    <w:pPr>
      <w:keepNext/>
      <w:keepLines/>
      <w:numPr>
        <w:ilvl w:val="1"/>
        <w:numId w:val="23"/>
      </w:numPr>
      <w:spacing w:before="360" w:after="240"/>
      <w:outlineLvl w:val="1"/>
    </w:pPr>
    <w:rPr>
      <w:rFonts w:eastAsiaTheme="majorEastAsia" w:cs="Arial"/>
      <w:color w:val="6B3B57"/>
      <w:sz w:val="40"/>
      <w:szCs w:val="40"/>
      <w:lang w:eastAsia="en-AU"/>
    </w:rPr>
  </w:style>
  <w:style w:type="paragraph" w:styleId="Heading3">
    <w:name w:val="heading 3"/>
    <w:basedOn w:val="Normal"/>
    <w:next w:val="Normal"/>
    <w:link w:val="Heading3Char"/>
    <w:uiPriority w:val="9"/>
    <w:unhideWhenUsed/>
    <w:qFormat/>
    <w:rsid w:val="00363CFB"/>
    <w:pPr>
      <w:keepNext/>
      <w:keepLines/>
      <w:numPr>
        <w:ilvl w:val="2"/>
        <w:numId w:val="23"/>
      </w:numPr>
      <w:spacing w:before="240" w:after="240"/>
      <w:outlineLvl w:val="2"/>
    </w:pPr>
    <w:rPr>
      <w:rFonts w:eastAsiaTheme="majorEastAsia" w:cs="Arial"/>
      <w:bCs/>
      <w:color w:val="6B3B57"/>
      <w:sz w:val="28"/>
      <w:szCs w:val="28"/>
    </w:rPr>
  </w:style>
  <w:style w:type="paragraph" w:styleId="Heading4">
    <w:name w:val="heading 4"/>
    <w:basedOn w:val="Normal"/>
    <w:next w:val="Normal"/>
    <w:link w:val="Heading4Char"/>
    <w:uiPriority w:val="9"/>
    <w:unhideWhenUsed/>
    <w:qFormat/>
    <w:rsid w:val="008C7722"/>
    <w:pPr>
      <w:keepNext/>
      <w:keepLines/>
      <w:numPr>
        <w:ilvl w:val="3"/>
        <w:numId w:val="23"/>
      </w:numPr>
      <w:spacing w:before="80" w:after="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ED72A9"/>
    <w:pPr>
      <w:keepNext/>
      <w:keepLines/>
      <w:numPr>
        <w:ilvl w:val="4"/>
        <w:numId w:val="23"/>
      </w:numPr>
      <w:spacing w:before="80" w:after="40"/>
      <w:outlineLvl w:val="4"/>
    </w:pPr>
    <w:rPr>
      <w:rFonts w:eastAsiaTheme="majorEastAsia" w:cstheme="majorBidi"/>
      <w:color w:val="6B3B57" w:themeColor="accent2"/>
    </w:rPr>
  </w:style>
  <w:style w:type="paragraph" w:styleId="Heading6">
    <w:name w:val="heading 6"/>
    <w:basedOn w:val="Normal"/>
    <w:next w:val="Normal"/>
    <w:link w:val="Heading6Char"/>
    <w:uiPriority w:val="9"/>
    <w:semiHidden/>
    <w:unhideWhenUsed/>
    <w:qFormat/>
    <w:rsid w:val="008C7722"/>
    <w:pPr>
      <w:keepNext/>
      <w:keepLines/>
      <w:numPr>
        <w:ilvl w:val="5"/>
        <w:numId w:val="23"/>
      </w:numPr>
      <w:spacing w:before="40" w:after="0"/>
      <w:outlineLvl w:val="5"/>
    </w:pPr>
    <w:rPr>
      <w:rFonts w:eastAsiaTheme="majorEastAsia" w:cstheme="majorBidi"/>
      <w:i/>
      <w:iCs/>
      <w:color w:val="964F6C" w:themeColor="text1" w:themeTint="A6"/>
    </w:rPr>
  </w:style>
  <w:style w:type="paragraph" w:styleId="Heading7">
    <w:name w:val="heading 7"/>
    <w:basedOn w:val="Normal"/>
    <w:next w:val="Normal"/>
    <w:link w:val="Heading7Char"/>
    <w:uiPriority w:val="9"/>
    <w:semiHidden/>
    <w:unhideWhenUsed/>
    <w:qFormat/>
    <w:rsid w:val="008C7722"/>
    <w:pPr>
      <w:keepNext/>
      <w:keepLines/>
      <w:numPr>
        <w:ilvl w:val="6"/>
        <w:numId w:val="23"/>
      </w:numPr>
      <w:spacing w:before="40" w:after="0"/>
      <w:outlineLvl w:val="6"/>
    </w:pPr>
    <w:rPr>
      <w:rFonts w:eastAsiaTheme="majorEastAsia" w:cstheme="majorBidi"/>
      <w:color w:val="964F6C" w:themeColor="text1" w:themeTint="A6"/>
    </w:rPr>
  </w:style>
  <w:style w:type="paragraph" w:styleId="Heading8">
    <w:name w:val="heading 8"/>
    <w:basedOn w:val="Normal"/>
    <w:next w:val="Normal"/>
    <w:link w:val="Heading8Char"/>
    <w:uiPriority w:val="9"/>
    <w:semiHidden/>
    <w:unhideWhenUsed/>
    <w:qFormat/>
    <w:rsid w:val="008C7722"/>
    <w:pPr>
      <w:keepNext/>
      <w:keepLines/>
      <w:numPr>
        <w:ilvl w:val="7"/>
        <w:numId w:val="23"/>
      </w:numPr>
      <w:spacing w:after="0"/>
      <w:outlineLvl w:val="7"/>
    </w:pPr>
    <w:rPr>
      <w:rFonts w:eastAsiaTheme="majorEastAsia" w:cstheme="majorBidi"/>
      <w:i/>
      <w:iCs/>
      <w:color w:val="5F3244" w:themeColor="text1" w:themeTint="D8"/>
    </w:rPr>
  </w:style>
  <w:style w:type="paragraph" w:styleId="Heading9">
    <w:name w:val="heading 9"/>
    <w:basedOn w:val="Normal"/>
    <w:next w:val="Normal"/>
    <w:link w:val="Heading9Char"/>
    <w:uiPriority w:val="9"/>
    <w:semiHidden/>
    <w:unhideWhenUsed/>
    <w:qFormat/>
    <w:rsid w:val="008C7722"/>
    <w:pPr>
      <w:keepNext/>
      <w:keepLines/>
      <w:numPr>
        <w:ilvl w:val="8"/>
        <w:numId w:val="23"/>
      </w:numPr>
      <w:spacing w:after="0"/>
      <w:outlineLvl w:val="8"/>
    </w:pPr>
    <w:rPr>
      <w:rFonts w:eastAsiaTheme="majorEastAsia" w:cstheme="majorBidi"/>
      <w:color w:val="5F32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21F"/>
    <w:rPr>
      <w:rFonts w:ascii="Arial" w:eastAsia="Times New Roman" w:hAnsi="Arial" w:cs="Arial"/>
      <w:color w:val="6B3B57"/>
      <w:sz w:val="52"/>
      <w:szCs w:val="40"/>
      <w:lang w:eastAsia="en-AU"/>
    </w:rPr>
  </w:style>
  <w:style w:type="character" w:customStyle="1" w:styleId="Heading2Char">
    <w:name w:val="Heading 2 Char"/>
    <w:basedOn w:val="DefaultParagraphFont"/>
    <w:link w:val="Heading2"/>
    <w:uiPriority w:val="9"/>
    <w:rsid w:val="00363CFB"/>
    <w:rPr>
      <w:rFonts w:ascii="Arial" w:eastAsiaTheme="majorEastAsia" w:hAnsi="Arial" w:cs="Arial"/>
      <w:color w:val="6B3B57"/>
      <w:sz w:val="40"/>
      <w:szCs w:val="40"/>
      <w:lang w:eastAsia="en-AU"/>
    </w:rPr>
  </w:style>
  <w:style w:type="character" w:customStyle="1" w:styleId="Heading3Char">
    <w:name w:val="Heading 3 Char"/>
    <w:basedOn w:val="DefaultParagraphFont"/>
    <w:link w:val="Heading3"/>
    <w:uiPriority w:val="9"/>
    <w:rsid w:val="00363CFB"/>
    <w:rPr>
      <w:rFonts w:ascii="Arial" w:eastAsiaTheme="majorEastAsia" w:hAnsi="Arial" w:cs="Arial"/>
      <w:bCs/>
      <w:color w:val="6B3B57"/>
      <w:sz w:val="28"/>
      <w:szCs w:val="28"/>
    </w:rPr>
  </w:style>
  <w:style w:type="character" w:customStyle="1" w:styleId="Heading4Char">
    <w:name w:val="Heading 4 Char"/>
    <w:basedOn w:val="DefaultParagraphFont"/>
    <w:link w:val="Heading4"/>
    <w:uiPriority w:val="9"/>
    <w:rsid w:val="008C7722"/>
    <w:rPr>
      <w:rFonts w:ascii="Inter" w:eastAsiaTheme="majorEastAsia" w:hAnsi="Inter" w:cstheme="majorBidi"/>
      <w:i/>
      <w:iCs/>
    </w:rPr>
  </w:style>
  <w:style w:type="character" w:customStyle="1" w:styleId="Heading5Char">
    <w:name w:val="Heading 5 Char"/>
    <w:basedOn w:val="DefaultParagraphFont"/>
    <w:link w:val="Heading5"/>
    <w:uiPriority w:val="9"/>
    <w:semiHidden/>
    <w:rsid w:val="00ED72A9"/>
    <w:rPr>
      <w:rFonts w:ascii="Inter" w:eastAsiaTheme="majorEastAsia" w:hAnsi="Inter" w:cstheme="majorBidi"/>
      <w:color w:val="6B3B57" w:themeColor="accent2"/>
    </w:rPr>
  </w:style>
  <w:style w:type="character" w:customStyle="1" w:styleId="Heading6Char">
    <w:name w:val="Heading 6 Char"/>
    <w:basedOn w:val="DefaultParagraphFont"/>
    <w:link w:val="Heading6"/>
    <w:uiPriority w:val="9"/>
    <w:semiHidden/>
    <w:rsid w:val="008C7722"/>
    <w:rPr>
      <w:rFonts w:ascii="Inter" w:eastAsiaTheme="majorEastAsia" w:hAnsi="Inter" w:cstheme="majorBidi"/>
      <w:i/>
      <w:iCs/>
      <w:color w:val="964F6C" w:themeColor="text1" w:themeTint="A6"/>
    </w:rPr>
  </w:style>
  <w:style w:type="character" w:customStyle="1" w:styleId="Heading7Char">
    <w:name w:val="Heading 7 Char"/>
    <w:basedOn w:val="DefaultParagraphFont"/>
    <w:link w:val="Heading7"/>
    <w:uiPriority w:val="9"/>
    <w:semiHidden/>
    <w:rsid w:val="008C7722"/>
    <w:rPr>
      <w:rFonts w:ascii="Inter" w:eastAsiaTheme="majorEastAsia" w:hAnsi="Inter" w:cstheme="majorBidi"/>
      <w:color w:val="964F6C" w:themeColor="text1" w:themeTint="A6"/>
    </w:rPr>
  </w:style>
  <w:style w:type="character" w:customStyle="1" w:styleId="Heading8Char">
    <w:name w:val="Heading 8 Char"/>
    <w:basedOn w:val="DefaultParagraphFont"/>
    <w:link w:val="Heading8"/>
    <w:uiPriority w:val="9"/>
    <w:semiHidden/>
    <w:rsid w:val="008C7722"/>
    <w:rPr>
      <w:rFonts w:ascii="Inter" w:eastAsiaTheme="majorEastAsia" w:hAnsi="Inter" w:cstheme="majorBidi"/>
      <w:i/>
      <w:iCs/>
      <w:color w:val="5F3244" w:themeColor="text1" w:themeTint="D8"/>
    </w:rPr>
  </w:style>
  <w:style w:type="character" w:customStyle="1" w:styleId="Heading9Char">
    <w:name w:val="Heading 9 Char"/>
    <w:basedOn w:val="DefaultParagraphFont"/>
    <w:link w:val="Heading9"/>
    <w:uiPriority w:val="9"/>
    <w:semiHidden/>
    <w:rsid w:val="008C7722"/>
    <w:rPr>
      <w:rFonts w:ascii="Inter" w:eastAsiaTheme="majorEastAsia" w:hAnsi="Inter" w:cstheme="majorBidi"/>
      <w:color w:val="5F3244" w:themeColor="text1" w:themeTint="D8"/>
    </w:rPr>
  </w:style>
  <w:style w:type="paragraph" w:styleId="Title">
    <w:name w:val="Title"/>
    <w:basedOn w:val="Normal"/>
    <w:next w:val="Normal"/>
    <w:link w:val="TitleChar"/>
    <w:uiPriority w:val="10"/>
    <w:qFormat/>
    <w:rsid w:val="00DD5B67"/>
    <w:pPr>
      <w:spacing w:after="480" w:line="216" w:lineRule="auto"/>
    </w:pPr>
    <w:rPr>
      <w:rFonts w:cs="Arial"/>
      <w:color w:val="351C26" w:themeColor="text1"/>
      <w:sz w:val="104"/>
      <w:szCs w:val="104"/>
    </w:rPr>
  </w:style>
  <w:style w:type="character" w:customStyle="1" w:styleId="TitleChar">
    <w:name w:val="Title Char"/>
    <w:basedOn w:val="DefaultParagraphFont"/>
    <w:link w:val="Title"/>
    <w:uiPriority w:val="10"/>
    <w:rsid w:val="00DD5B67"/>
    <w:rPr>
      <w:rFonts w:ascii="Arial" w:hAnsi="Arial" w:cs="Arial"/>
      <w:color w:val="351C26" w:themeColor="text1"/>
      <w:sz w:val="104"/>
      <w:szCs w:val="104"/>
    </w:rPr>
  </w:style>
  <w:style w:type="paragraph" w:styleId="Subtitle">
    <w:name w:val="Subtitle"/>
    <w:basedOn w:val="Normal"/>
    <w:next w:val="Normal"/>
    <w:link w:val="SubtitleChar"/>
    <w:uiPriority w:val="11"/>
    <w:qFormat/>
    <w:rsid w:val="00DD5B67"/>
    <w:pPr>
      <w:numPr>
        <w:ilvl w:val="1"/>
      </w:numPr>
      <w:spacing w:line="240" w:lineRule="auto"/>
    </w:pPr>
    <w:rPr>
      <w:rFonts w:eastAsiaTheme="majorEastAsia" w:cs="Arial"/>
      <w:color w:val="6B3B57"/>
      <w:spacing w:val="15"/>
      <w:sz w:val="40"/>
      <w:szCs w:val="24"/>
    </w:rPr>
  </w:style>
  <w:style w:type="character" w:customStyle="1" w:styleId="SubtitleChar">
    <w:name w:val="Subtitle Char"/>
    <w:basedOn w:val="DefaultParagraphFont"/>
    <w:link w:val="Subtitle"/>
    <w:uiPriority w:val="11"/>
    <w:rsid w:val="00DD5B67"/>
    <w:rPr>
      <w:rFonts w:ascii="Arial" w:eastAsiaTheme="majorEastAsia" w:hAnsi="Arial" w:cs="Arial"/>
      <w:color w:val="6B3B57"/>
      <w:spacing w:val="15"/>
      <w:sz w:val="40"/>
      <w:szCs w:val="24"/>
    </w:rPr>
  </w:style>
  <w:style w:type="paragraph" w:styleId="Quote">
    <w:name w:val="Quote"/>
    <w:basedOn w:val="Normal"/>
    <w:next w:val="Normal"/>
    <w:link w:val="QuoteChar"/>
    <w:uiPriority w:val="29"/>
    <w:qFormat/>
    <w:rsid w:val="008C7722"/>
    <w:pPr>
      <w:spacing w:before="280" w:after="280"/>
      <w:jc w:val="center"/>
    </w:pPr>
    <w:rPr>
      <w:i/>
      <w:iCs/>
      <w:color w:val="7B4158" w:themeColor="text1" w:themeTint="BF"/>
    </w:rPr>
  </w:style>
  <w:style w:type="character" w:customStyle="1" w:styleId="QuoteChar">
    <w:name w:val="Quote Char"/>
    <w:basedOn w:val="DefaultParagraphFont"/>
    <w:link w:val="Quote"/>
    <w:uiPriority w:val="29"/>
    <w:rsid w:val="008C7722"/>
    <w:rPr>
      <w:rFonts w:ascii="Inter" w:hAnsi="Inter"/>
      <w:i/>
      <w:iCs/>
      <w:color w:val="7B4158" w:themeColor="text1" w:themeTint="BF"/>
    </w:rPr>
  </w:style>
  <w:style w:type="paragraph" w:styleId="ListParagraph">
    <w:name w:val="List Paragraph"/>
    <w:basedOn w:val="Normal"/>
    <w:uiPriority w:val="34"/>
    <w:qFormat/>
    <w:rsid w:val="00F871A0"/>
    <w:pPr>
      <w:numPr>
        <w:numId w:val="22"/>
      </w:numPr>
      <w:ind w:left="754" w:hanging="357"/>
      <w:contextualSpacing/>
    </w:pPr>
  </w:style>
  <w:style w:type="character" w:styleId="IntenseEmphasis">
    <w:name w:val="Intense Emphasis"/>
    <w:basedOn w:val="DefaultParagraphFont"/>
    <w:uiPriority w:val="21"/>
    <w:rsid w:val="008C7722"/>
    <w:rPr>
      <w:i/>
      <w:iCs/>
      <w:color w:val="32CDC5" w:themeColor="accent1" w:themeShade="BF"/>
    </w:rPr>
  </w:style>
  <w:style w:type="paragraph" w:styleId="IntenseQuote">
    <w:name w:val="Intense Quote"/>
    <w:basedOn w:val="Normal"/>
    <w:next w:val="Normal"/>
    <w:link w:val="IntenseQuoteChar"/>
    <w:uiPriority w:val="30"/>
    <w:rsid w:val="008C7722"/>
    <w:pPr>
      <w:pBdr>
        <w:top w:val="single" w:sz="4" w:space="10" w:color="32CDC5" w:themeColor="accent1" w:themeShade="BF"/>
        <w:bottom w:val="single" w:sz="4" w:space="10" w:color="32CDC5" w:themeColor="accent1" w:themeShade="BF"/>
      </w:pBdr>
      <w:spacing w:before="360" w:after="360"/>
      <w:ind w:left="864" w:right="864"/>
      <w:jc w:val="center"/>
    </w:pPr>
    <w:rPr>
      <w:i/>
      <w:iCs/>
      <w:color w:val="32CDC5" w:themeColor="accent1" w:themeShade="BF"/>
    </w:rPr>
  </w:style>
  <w:style w:type="character" w:customStyle="1" w:styleId="IntenseQuoteChar">
    <w:name w:val="Intense Quote Char"/>
    <w:basedOn w:val="DefaultParagraphFont"/>
    <w:link w:val="IntenseQuote"/>
    <w:uiPriority w:val="30"/>
    <w:rsid w:val="008C7722"/>
    <w:rPr>
      <w:i/>
      <w:iCs/>
      <w:color w:val="32CDC5" w:themeColor="accent1" w:themeShade="BF"/>
    </w:rPr>
  </w:style>
  <w:style w:type="character" w:styleId="IntenseReference">
    <w:name w:val="Intense Reference"/>
    <w:basedOn w:val="DefaultParagraphFont"/>
    <w:uiPriority w:val="32"/>
    <w:rsid w:val="008C7722"/>
    <w:rPr>
      <w:b/>
      <w:bCs/>
      <w:smallCaps/>
      <w:color w:val="32CDC5" w:themeColor="accent1" w:themeShade="BF"/>
      <w:spacing w:val="5"/>
    </w:rPr>
  </w:style>
  <w:style w:type="paragraph" w:customStyle="1" w:styleId="AOCtext">
    <w:name w:val="AOC text"/>
    <w:basedOn w:val="Normal"/>
    <w:qFormat/>
    <w:rsid w:val="008C7722"/>
    <w:rPr>
      <w:sz w:val="28"/>
      <w:szCs w:val="28"/>
    </w:rPr>
  </w:style>
  <w:style w:type="paragraph" w:customStyle="1" w:styleId="TableParagraph">
    <w:name w:val="Table Paragraph"/>
    <w:basedOn w:val="Normal"/>
    <w:uiPriority w:val="1"/>
    <w:qFormat/>
    <w:rsid w:val="008C7722"/>
    <w:pPr>
      <w:spacing w:after="120"/>
    </w:pPr>
    <w:rPr>
      <w:rFonts w:eastAsiaTheme="minorEastAsia"/>
      <w:kern w:val="0"/>
    </w:rPr>
  </w:style>
  <w:style w:type="paragraph" w:styleId="TOCHeading">
    <w:name w:val="TOC Heading"/>
    <w:aliases w:val="Table Heading"/>
    <w:basedOn w:val="TableParagraph"/>
    <w:next w:val="Normal"/>
    <w:uiPriority w:val="39"/>
    <w:unhideWhenUsed/>
    <w:qFormat/>
    <w:rsid w:val="00271D48"/>
    <w:rPr>
      <w:b/>
      <w:sz w:val="24"/>
      <w:szCs w:val="24"/>
    </w:rPr>
  </w:style>
  <w:style w:type="paragraph" w:styleId="TOC3">
    <w:name w:val="toc 3"/>
    <w:basedOn w:val="Normal"/>
    <w:next w:val="Normal"/>
    <w:autoRedefine/>
    <w:uiPriority w:val="39"/>
    <w:unhideWhenUsed/>
    <w:rsid w:val="00C86A7E"/>
    <w:pPr>
      <w:spacing w:after="100"/>
      <w:ind w:left="440"/>
    </w:pPr>
    <w:rPr>
      <w:sz w:val="18"/>
    </w:rPr>
  </w:style>
  <w:style w:type="paragraph" w:styleId="TOC1">
    <w:name w:val="toc 1"/>
    <w:basedOn w:val="Normal"/>
    <w:next w:val="Normal"/>
    <w:autoRedefine/>
    <w:uiPriority w:val="39"/>
    <w:unhideWhenUsed/>
    <w:rsid w:val="00E1181E"/>
    <w:pPr>
      <w:spacing w:after="100"/>
    </w:pPr>
  </w:style>
  <w:style w:type="character" w:styleId="Hyperlink">
    <w:name w:val="Hyperlink"/>
    <w:basedOn w:val="DefaultParagraphFont"/>
    <w:uiPriority w:val="99"/>
    <w:unhideWhenUsed/>
    <w:rsid w:val="00BF48E1"/>
    <w:rPr>
      <w:color w:val="254C8C"/>
      <w:u w:val="single"/>
    </w:rPr>
  </w:style>
  <w:style w:type="paragraph" w:styleId="TOC2">
    <w:name w:val="toc 2"/>
    <w:basedOn w:val="Normal"/>
    <w:next w:val="Normal"/>
    <w:autoRedefine/>
    <w:uiPriority w:val="39"/>
    <w:unhideWhenUsed/>
    <w:rsid w:val="008C7722"/>
    <w:pPr>
      <w:spacing w:after="100"/>
      <w:ind w:left="220"/>
    </w:pPr>
  </w:style>
  <w:style w:type="character" w:styleId="CommentReference">
    <w:name w:val="annotation reference"/>
    <w:basedOn w:val="DefaultParagraphFont"/>
    <w:uiPriority w:val="99"/>
    <w:semiHidden/>
    <w:unhideWhenUsed/>
    <w:rsid w:val="008C7722"/>
    <w:rPr>
      <w:sz w:val="16"/>
      <w:szCs w:val="16"/>
    </w:rPr>
  </w:style>
  <w:style w:type="paragraph" w:styleId="CommentText">
    <w:name w:val="annotation text"/>
    <w:basedOn w:val="Normal"/>
    <w:link w:val="CommentTextChar"/>
    <w:uiPriority w:val="99"/>
    <w:unhideWhenUsed/>
    <w:rsid w:val="008C7722"/>
    <w:pPr>
      <w:widowControl w:val="0"/>
      <w:spacing w:after="0" w:line="240" w:lineRule="auto"/>
    </w:pPr>
    <w:rPr>
      <w:rFonts w:asciiTheme="minorHAnsi" w:hAnsiTheme="minorHAnsi"/>
      <w:kern w:val="0"/>
      <w:sz w:val="20"/>
      <w:szCs w:val="20"/>
      <w:lang w:val="en-US"/>
    </w:rPr>
  </w:style>
  <w:style w:type="character" w:customStyle="1" w:styleId="CommentTextChar">
    <w:name w:val="Comment Text Char"/>
    <w:basedOn w:val="DefaultParagraphFont"/>
    <w:link w:val="CommentText"/>
    <w:uiPriority w:val="99"/>
    <w:rsid w:val="008C7722"/>
    <w:rPr>
      <w:kern w:val="0"/>
      <w:sz w:val="20"/>
      <w:szCs w:val="20"/>
      <w:lang w:val="en-US"/>
    </w:rPr>
  </w:style>
  <w:style w:type="table" w:styleId="TableGrid">
    <w:name w:val="Table Grid"/>
    <w:basedOn w:val="TableNormal"/>
    <w:uiPriority w:val="39"/>
    <w:rsid w:val="008C7722"/>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77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22"/>
    <w:rPr>
      <w:rFonts w:ascii="Inter" w:hAnsi="Inter"/>
    </w:rPr>
  </w:style>
  <w:style w:type="paragraph" w:styleId="Footer">
    <w:name w:val="footer"/>
    <w:basedOn w:val="Normal"/>
    <w:link w:val="FooterChar"/>
    <w:uiPriority w:val="99"/>
    <w:unhideWhenUsed/>
    <w:rsid w:val="008C77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22"/>
    <w:rPr>
      <w:rFonts w:ascii="Inter" w:hAnsi="Inter"/>
    </w:rPr>
  </w:style>
  <w:style w:type="paragraph" w:styleId="NormalWeb">
    <w:name w:val="Normal (Web)"/>
    <w:basedOn w:val="Normal"/>
    <w:uiPriority w:val="99"/>
    <w:semiHidden/>
    <w:unhideWhenUsed/>
    <w:rsid w:val="008C7722"/>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character" w:styleId="Strong">
    <w:name w:val="Strong"/>
    <w:basedOn w:val="DefaultParagraphFont"/>
    <w:uiPriority w:val="22"/>
    <w:qFormat/>
    <w:rsid w:val="008C7722"/>
    <w:rPr>
      <w:b/>
      <w:bCs/>
    </w:rPr>
  </w:style>
  <w:style w:type="table" w:customStyle="1" w:styleId="ACSEStable">
    <w:name w:val="ACSES table"/>
    <w:basedOn w:val="TableNormal"/>
    <w:uiPriority w:val="99"/>
    <w:rsid w:val="00271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Inter" w:hAnsi="Inter"/>
        <w:b/>
        <w:sz w:val="22"/>
      </w:rPr>
      <w:tblPr/>
      <w:tcPr>
        <w:shd w:val="clear" w:color="auto" w:fill="78DED9" w:themeFill="accent1"/>
      </w:tcPr>
    </w:tblStylePr>
  </w:style>
  <w:style w:type="paragraph" w:styleId="Caption">
    <w:name w:val="caption"/>
    <w:basedOn w:val="Normal"/>
    <w:next w:val="Normal"/>
    <w:uiPriority w:val="35"/>
    <w:unhideWhenUsed/>
    <w:qFormat/>
    <w:rsid w:val="0088217D"/>
    <w:pPr>
      <w:spacing w:after="200" w:line="240" w:lineRule="auto"/>
    </w:pPr>
    <w:rPr>
      <w:i/>
      <w:iCs/>
      <w:color w:val="351C26" w:themeColor="text2"/>
    </w:rPr>
  </w:style>
  <w:style w:type="character" w:styleId="UnresolvedMention">
    <w:name w:val="Unresolved Mention"/>
    <w:basedOn w:val="DefaultParagraphFont"/>
    <w:uiPriority w:val="99"/>
    <w:semiHidden/>
    <w:unhideWhenUsed/>
    <w:rsid w:val="00F871A0"/>
    <w:rPr>
      <w:color w:val="605E5C"/>
      <w:shd w:val="clear" w:color="auto" w:fill="E1DFDD"/>
    </w:rPr>
  </w:style>
  <w:style w:type="paragraph" w:styleId="BodyText">
    <w:name w:val="Body Text"/>
    <w:basedOn w:val="Normal"/>
    <w:link w:val="BodyTextChar"/>
    <w:uiPriority w:val="1"/>
    <w:qFormat/>
    <w:rsid w:val="00592ADA"/>
    <w:pPr>
      <w:widowControl w:val="0"/>
      <w:autoSpaceDE w:val="0"/>
      <w:autoSpaceDN w:val="0"/>
      <w:spacing w:after="0" w:line="240" w:lineRule="auto"/>
    </w:pPr>
    <w:rPr>
      <w:rFonts w:eastAsia="Arial" w:cs="Arial"/>
      <w:kern w:val="0"/>
      <w14:ligatures w14:val="none"/>
    </w:rPr>
  </w:style>
  <w:style w:type="character" w:customStyle="1" w:styleId="BodyTextChar">
    <w:name w:val="Body Text Char"/>
    <w:basedOn w:val="DefaultParagraphFont"/>
    <w:link w:val="BodyText"/>
    <w:uiPriority w:val="1"/>
    <w:rsid w:val="00592ADA"/>
    <w:rPr>
      <w:rFonts w:ascii="Arial" w:eastAsia="Arial" w:hAnsi="Arial" w:cs="Arial"/>
      <w:kern w:val="0"/>
      <w14:ligatures w14:val="none"/>
    </w:rPr>
  </w:style>
  <w:style w:type="paragraph" w:styleId="FootnoteText">
    <w:name w:val="footnote text"/>
    <w:basedOn w:val="Normal"/>
    <w:link w:val="FootnoteTextChar"/>
    <w:uiPriority w:val="99"/>
    <w:semiHidden/>
    <w:unhideWhenUsed/>
    <w:rsid w:val="00446E51"/>
    <w:pPr>
      <w:widowControl w:val="0"/>
      <w:autoSpaceDE w:val="0"/>
      <w:autoSpaceDN w:val="0"/>
      <w:spacing w:after="0" w:line="240" w:lineRule="auto"/>
    </w:pPr>
    <w:rPr>
      <w:rFonts w:eastAsia="Arial" w:cs="Arial"/>
      <w:kern w:val="0"/>
      <w:sz w:val="20"/>
      <w:szCs w:val="20"/>
      <w14:ligatures w14:val="none"/>
    </w:rPr>
  </w:style>
  <w:style w:type="character" w:customStyle="1" w:styleId="FootnoteTextChar">
    <w:name w:val="Footnote Text Char"/>
    <w:basedOn w:val="DefaultParagraphFont"/>
    <w:link w:val="FootnoteText"/>
    <w:uiPriority w:val="99"/>
    <w:semiHidden/>
    <w:rsid w:val="00446E51"/>
    <w:rPr>
      <w:rFonts w:ascii="Arial" w:eastAsia="Arial" w:hAnsi="Arial" w:cs="Arial"/>
      <w:kern w:val="0"/>
      <w:sz w:val="20"/>
      <w:szCs w:val="20"/>
      <w14:ligatures w14:val="none"/>
    </w:rPr>
  </w:style>
  <w:style w:type="character" w:styleId="FootnoteReference">
    <w:name w:val="footnote reference"/>
    <w:basedOn w:val="DefaultParagraphFont"/>
    <w:uiPriority w:val="99"/>
    <w:semiHidden/>
    <w:unhideWhenUsed/>
    <w:rsid w:val="00446E51"/>
    <w:rPr>
      <w:vertAlign w:val="superscript"/>
    </w:rPr>
  </w:style>
  <w:style w:type="paragraph" w:customStyle="1" w:styleId="ANZSOGNumberedText">
    <w:name w:val="ANZSOG Numbered Text"/>
    <w:qFormat/>
    <w:rsid w:val="004B00E6"/>
    <w:pPr>
      <w:numPr>
        <w:numId w:val="24"/>
      </w:numPr>
      <w:suppressAutoHyphens/>
      <w:spacing w:after="120" w:line="240" w:lineRule="auto"/>
    </w:pPr>
    <w:rPr>
      <w:rFonts w:ascii="Calibri Light" w:eastAsia="MS Mincho" w:hAnsi="Calibri Light" w:cs="Times New Roman"/>
      <w:kern w:val="0"/>
      <w:sz w:val="24"/>
      <w:szCs w:val="24"/>
      <w:lang w:eastAsia="ja-JP"/>
      <w14:ligatures w14:val="none"/>
    </w:rPr>
  </w:style>
  <w:style w:type="paragraph" w:styleId="TableofFigures">
    <w:name w:val="table of figures"/>
    <w:basedOn w:val="Normal"/>
    <w:next w:val="Normal"/>
    <w:uiPriority w:val="99"/>
    <w:unhideWhenUsed/>
    <w:rsid w:val="00D843FF"/>
    <w:pPr>
      <w:spacing w:after="0"/>
    </w:pPr>
  </w:style>
  <w:style w:type="paragraph" w:styleId="Revision">
    <w:name w:val="Revision"/>
    <w:hidden/>
    <w:uiPriority w:val="99"/>
    <w:semiHidden/>
    <w:rsid w:val="009E009E"/>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EE304B"/>
    <w:pPr>
      <w:widowControl/>
      <w:spacing w:after="160"/>
    </w:pPr>
    <w:rPr>
      <w:rFonts w:ascii="Arial" w:hAnsi="Arial"/>
      <w:b/>
      <w:bCs/>
      <w:kern w:val="2"/>
      <w:lang w:val="en-AU"/>
    </w:rPr>
  </w:style>
  <w:style w:type="character" w:customStyle="1" w:styleId="CommentSubjectChar">
    <w:name w:val="Comment Subject Char"/>
    <w:basedOn w:val="CommentTextChar"/>
    <w:link w:val="CommentSubject"/>
    <w:uiPriority w:val="99"/>
    <w:semiHidden/>
    <w:rsid w:val="00EE304B"/>
    <w:rPr>
      <w:rFonts w:ascii="Arial" w:hAnsi="Arial"/>
      <w:b/>
      <w:bCs/>
      <w:kern w:val="0"/>
      <w:sz w:val="20"/>
      <w:szCs w:val="20"/>
      <w:lang w:val="en-US"/>
    </w:rPr>
  </w:style>
  <w:style w:type="paragraph" w:customStyle="1" w:styleId="headingnotitTOC">
    <w:name w:val="heading not it TOC"/>
    <w:basedOn w:val="Normal"/>
    <w:qFormat/>
    <w:rsid w:val="002D5BEE"/>
    <w:pPr>
      <w:spacing w:before="360" w:after="360"/>
      <w:ind w:left="431" w:hanging="431"/>
    </w:pPr>
    <w:rPr>
      <w:rFonts w:eastAsia="Times New Roman" w:cs="Arial"/>
      <w:color w:val="6B3B57"/>
      <w:sz w:val="52"/>
      <w:szCs w:val="4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9706">
      <w:bodyDiv w:val="1"/>
      <w:marLeft w:val="0"/>
      <w:marRight w:val="0"/>
      <w:marTop w:val="0"/>
      <w:marBottom w:val="0"/>
      <w:divBdr>
        <w:top w:val="none" w:sz="0" w:space="0" w:color="auto"/>
        <w:left w:val="none" w:sz="0" w:space="0" w:color="auto"/>
        <w:bottom w:val="none" w:sz="0" w:space="0" w:color="auto"/>
        <w:right w:val="none" w:sz="0" w:space="0" w:color="auto"/>
      </w:divBdr>
    </w:div>
    <w:div w:id="44960264">
      <w:bodyDiv w:val="1"/>
      <w:marLeft w:val="0"/>
      <w:marRight w:val="0"/>
      <w:marTop w:val="0"/>
      <w:marBottom w:val="0"/>
      <w:divBdr>
        <w:top w:val="none" w:sz="0" w:space="0" w:color="auto"/>
        <w:left w:val="none" w:sz="0" w:space="0" w:color="auto"/>
        <w:bottom w:val="none" w:sz="0" w:space="0" w:color="auto"/>
        <w:right w:val="none" w:sz="0" w:space="0" w:color="auto"/>
      </w:divBdr>
    </w:div>
    <w:div w:id="52581027">
      <w:bodyDiv w:val="1"/>
      <w:marLeft w:val="0"/>
      <w:marRight w:val="0"/>
      <w:marTop w:val="0"/>
      <w:marBottom w:val="0"/>
      <w:divBdr>
        <w:top w:val="none" w:sz="0" w:space="0" w:color="auto"/>
        <w:left w:val="none" w:sz="0" w:space="0" w:color="auto"/>
        <w:bottom w:val="none" w:sz="0" w:space="0" w:color="auto"/>
        <w:right w:val="none" w:sz="0" w:space="0" w:color="auto"/>
      </w:divBdr>
    </w:div>
    <w:div w:id="76900359">
      <w:bodyDiv w:val="1"/>
      <w:marLeft w:val="0"/>
      <w:marRight w:val="0"/>
      <w:marTop w:val="0"/>
      <w:marBottom w:val="0"/>
      <w:divBdr>
        <w:top w:val="none" w:sz="0" w:space="0" w:color="auto"/>
        <w:left w:val="none" w:sz="0" w:space="0" w:color="auto"/>
        <w:bottom w:val="none" w:sz="0" w:space="0" w:color="auto"/>
        <w:right w:val="none" w:sz="0" w:space="0" w:color="auto"/>
      </w:divBdr>
    </w:div>
    <w:div w:id="80689958">
      <w:bodyDiv w:val="1"/>
      <w:marLeft w:val="0"/>
      <w:marRight w:val="0"/>
      <w:marTop w:val="0"/>
      <w:marBottom w:val="0"/>
      <w:divBdr>
        <w:top w:val="none" w:sz="0" w:space="0" w:color="auto"/>
        <w:left w:val="none" w:sz="0" w:space="0" w:color="auto"/>
        <w:bottom w:val="none" w:sz="0" w:space="0" w:color="auto"/>
        <w:right w:val="none" w:sz="0" w:space="0" w:color="auto"/>
      </w:divBdr>
      <w:divsChild>
        <w:div w:id="317074015">
          <w:marLeft w:val="0"/>
          <w:marRight w:val="0"/>
          <w:marTop w:val="0"/>
          <w:marBottom w:val="0"/>
          <w:divBdr>
            <w:top w:val="none" w:sz="0" w:space="0" w:color="auto"/>
            <w:left w:val="none" w:sz="0" w:space="0" w:color="auto"/>
            <w:bottom w:val="none" w:sz="0" w:space="0" w:color="auto"/>
            <w:right w:val="none" w:sz="0" w:space="0" w:color="auto"/>
          </w:divBdr>
        </w:div>
      </w:divsChild>
    </w:div>
    <w:div w:id="95559829">
      <w:bodyDiv w:val="1"/>
      <w:marLeft w:val="0"/>
      <w:marRight w:val="0"/>
      <w:marTop w:val="0"/>
      <w:marBottom w:val="0"/>
      <w:divBdr>
        <w:top w:val="none" w:sz="0" w:space="0" w:color="auto"/>
        <w:left w:val="none" w:sz="0" w:space="0" w:color="auto"/>
        <w:bottom w:val="none" w:sz="0" w:space="0" w:color="auto"/>
        <w:right w:val="none" w:sz="0" w:space="0" w:color="auto"/>
      </w:divBdr>
    </w:div>
    <w:div w:id="101918416">
      <w:bodyDiv w:val="1"/>
      <w:marLeft w:val="0"/>
      <w:marRight w:val="0"/>
      <w:marTop w:val="0"/>
      <w:marBottom w:val="0"/>
      <w:divBdr>
        <w:top w:val="none" w:sz="0" w:space="0" w:color="auto"/>
        <w:left w:val="none" w:sz="0" w:space="0" w:color="auto"/>
        <w:bottom w:val="none" w:sz="0" w:space="0" w:color="auto"/>
        <w:right w:val="none" w:sz="0" w:space="0" w:color="auto"/>
      </w:divBdr>
    </w:div>
    <w:div w:id="104272168">
      <w:bodyDiv w:val="1"/>
      <w:marLeft w:val="0"/>
      <w:marRight w:val="0"/>
      <w:marTop w:val="0"/>
      <w:marBottom w:val="0"/>
      <w:divBdr>
        <w:top w:val="none" w:sz="0" w:space="0" w:color="auto"/>
        <w:left w:val="none" w:sz="0" w:space="0" w:color="auto"/>
        <w:bottom w:val="none" w:sz="0" w:space="0" w:color="auto"/>
        <w:right w:val="none" w:sz="0" w:space="0" w:color="auto"/>
      </w:divBdr>
    </w:div>
    <w:div w:id="107969162">
      <w:bodyDiv w:val="1"/>
      <w:marLeft w:val="0"/>
      <w:marRight w:val="0"/>
      <w:marTop w:val="0"/>
      <w:marBottom w:val="0"/>
      <w:divBdr>
        <w:top w:val="none" w:sz="0" w:space="0" w:color="auto"/>
        <w:left w:val="none" w:sz="0" w:space="0" w:color="auto"/>
        <w:bottom w:val="none" w:sz="0" w:space="0" w:color="auto"/>
        <w:right w:val="none" w:sz="0" w:space="0" w:color="auto"/>
      </w:divBdr>
    </w:div>
    <w:div w:id="156313452">
      <w:bodyDiv w:val="1"/>
      <w:marLeft w:val="0"/>
      <w:marRight w:val="0"/>
      <w:marTop w:val="0"/>
      <w:marBottom w:val="0"/>
      <w:divBdr>
        <w:top w:val="none" w:sz="0" w:space="0" w:color="auto"/>
        <w:left w:val="none" w:sz="0" w:space="0" w:color="auto"/>
        <w:bottom w:val="none" w:sz="0" w:space="0" w:color="auto"/>
        <w:right w:val="none" w:sz="0" w:space="0" w:color="auto"/>
      </w:divBdr>
    </w:div>
    <w:div w:id="174341822">
      <w:bodyDiv w:val="1"/>
      <w:marLeft w:val="0"/>
      <w:marRight w:val="0"/>
      <w:marTop w:val="0"/>
      <w:marBottom w:val="0"/>
      <w:divBdr>
        <w:top w:val="none" w:sz="0" w:space="0" w:color="auto"/>
        <w:left w:val="none" w:sz="0" w:space="0" w:color="auto"/>
        <w:bottom w:val="none" w:sz="0" w:space="0" w:color="auto"/>
        <w:right w:val="none" w:sz="0" w:space="0" w:color="auto"/>
      </w:divBdr>
    </w:div>
    <w:div w:id="181749944">
      <w:bodyDiv w:val="1"/>
      <w:marLeft w:val="0"/>
      <w:marRight w:val="0"/>
      <w:marTop w:val="0"/>
      <w:marBottom w:val="0"/>
      <w:divBdr>
        <w:top w:val="none" w:sz="0" w:space="0" w:color="auto"/>
        <w:left w:val="none" w:sz="0" w:space="0" w:color="auto"/>
        <w:bottom w:val="none" w:sz="0" w:space="0" w:color="auto"/>
        <w:right w:val="none" w:sz="0" w:space="0" w:color="auto"/>
      </w:divBdr>
    </w:div>
    <w:div w:id="192311946">
      <w:bodyDiv w:val="1"/>
      <w:marLeft w:val="0"/>
      <w:marRight w:val="0"/>
      <w:marTop w:val="0"/>
      <w:marBottom w:val="0"/>
      <w:divBdr>
        <w:top w:val="none" w:sz="0" w:space="0" w:color="auto"/>
        <w:left w:val="none" w:sz="0" w:space="0" w:color="auto"/>
        <w:bottom w:val="none" w:sz="0" w:space="0" w:color="auto"/>
        <w:right w:val="none" w:sz="0" w:space="0" w:color="auto"/>
      </w:divBdr>
    </w:div>
    <w:div w:id="219249284">
      <w:bodyDiv w:val="1"/>
      <w:marLeft w:val="0"/>
      <w:marRight w:val="0"/>
      <w:marTop w:val="0"/>
      <w:marBottom w:val="0"/>
      <w:divBdr>
        <w:top w:val="none" w:sz="0" w:space="0" w:color="auto"/>
        <w:left w:val="none" w:sz="0" w:space="0" w:color="auto"/>
        <w:bottom w:val="none" w:sz="0" w:space="0" w:color="auto"/>
        <w:right w:val="none" w:sz="0" w:space="0" w:color="auto"/>
      </w:divBdr>
    </w:div>
    <w:div w:id="222496432">
      <w:bodyDiv w:val="1"/>
      <w:marLeft w:val="0"/>
      <w:marRight w:val="0"/>
      <w:marTop w:val="0"/>
      <w:marBottom w:val="0"/>
      <w:divBdr>
        <w:top w:val="none" w:sz="0" w:space="0" w:color="auto"/>
        <w:left w:val="none" w:sz="0" w:space="0" w:color="auto"/>
        <w:bottom w:val="none" w:sz="0" w:space="0" w:color="auto"/>
        <w:right w:val="none" w:sz="0" w:space="0" w:color="auto"/>
      </w:divBdr>
      <w:divsChild>
        <w:div w:id="427044871">
          <w:marLeft w:val="0"/>
          <w:marRight w:val="0"/>
          <w:marTop w:val="0"/>
          <w:marBottom w:val="0"/>
          <w:divBdr>
            <w:top w:val="none" w:sz="0" w:space="0" w:color="auto"/>
            <w:left w:val="none" w:sz="0" w:space="0" w:color="auto"/>
            <w:bottom w:val="none" w:sz="0" w:space="0" w:color="auto"/>
            <w:right w:val="none" w:sz="0" w:space="0" w:color="auto"/>
          </w:divBdr>
        </w:div>
      </w:divsChild>
    </w:div>
    <w:div w:id="269051978">
      <w:bodyDiv w:val="1"/>
      <w:marLeft w:val="0"/>
      <w:marRight w:val="0"/>
      <w:marTop w:val="0"/>
      <w:marBottom w:val="0"/>
      <w:divBdr>
        <w:top w:val="none" w:sz="0" w:space="0" w:color="auto"/>
        <w:left w:val="none" w:sz="0" w:space="0" w:color="auto"/>
        <w:bottom w:val="none" w:sz="0" w:space="0" w:color="auto"/>
        <w:right w:val="none" w:sz="0" w:space="0" w:color="auto"/>
      </w:divBdr>
    </w:div>
    <w:div w:id="281881092">
      <w:bodyDiv w:val="1"/>
      <w:marLeft w:val="0"/>
      <w:marRight w:val="0"/>
      <w:marTop w:val="0"/>
      <w:marBottom w:val="0"/>
      <w:divBdr>
        <w:top w:val="none" w:sz="0" w:space="0" w:color="auto"/>
        <w:left w:val="none" w:sz="0" w:space="0" w:color="auto"/>
        <w:bottom w:val="none" w:sz="0" w:space="0" w:color="auto"/>
        <w:right w:val="none" w:sz="0" w:space="0" w:color="auto"/>
      </w:divBdr>
    </w:div>
    <w:div w:id="310603219">
      <w:bodyDiv w:val="1"/>
      <w:marLeft w:val="0"/>
      <w:marRight w:val="0"/>
      <w:marTop w:val="0"/>
      <w:marBottom w:val="0"/>
      <w:divBdr>
        <w:top w:val="none" w:sz="0" w:space="0" w:color="auto"/>
        <w:left w:val="none" w:sz="0" w:space="0" w:color="auto"/>
        <w:bottom w:val="none" w:sz="0" w:space="0" w:color="auto"/>
        <w:right w:val="none" w:sz="0" w:space="0" w:color="auto"/>
      </w:divBdr>
    </w:div>
    <w:div w:id="326514950">
      <w:bodyDiv w:val="1"/>
      <w:marLeft w:val="0"/>
      <w:marRight w:val="0"/>
      <w:marTop w:val="0"/>
      <w:marBottom w:val="0"/>
      <w:divBdr>
        <w:top w:val="none" w:sz="0" w:space="0" w:color="auto"/>
        <w:left w:val="none" w:sz="0" w:space="0" w:color="auto"/>
        <w:bottom w:val="none" w:sz="0" w:space="0" w:color="auto"/>
        <w:right w:val="none" w:sz="0" w:space="0" w:color="auto"/>
      </w:divBdr>
    </w:div>
    <w:div w:id="333656232">
      <w:bodyDiv w:val="1"/>
      <w:marLeft w:val="0"/>
      <w:marRight w:val="0"/>
      <w:marTop w:val="0"/>
      <w:marBottom w:val="0"/>
      <w:divBdr>
        <w:top w:val="none" w:sz="0" w:space="0" w:color="auto"/>
        <w:left w:val="none" w:sz="0" w:space="0" w:color="auto"/>
        <w:bottom w:val="none" w:sz="0" w:space="0" w:color="auto"/>
        <w:right w:val="none" w:sz="0" w:space="0" w:color="auto"/>
      </w:divBdr>
    </w:div>
    <w:div w:id="337852756">
      <w:bodyDiv w:val="1"/>
      <w:marLeft w:val="0"/>
      <w:marRight w:val="0"/>
      <w:marTop w:val="0"/>
      <w:marBottom w:val="0"/>
      <w:divBdr>
        <w:top w:val="none" w:sz="0" w:space="0" w:color="auto"/>
        <w:left w:val="none" w:sz="0" w:space="0" w:color="auto"/>
        <w:bottom w:val="none" w:sz="0" w:space="0" w:color="auto"/>
        <w:right w:val="none" w:sz="0" w:space="0" w:color="auto"/>
      </w:divBdr>
    </w:div>
    <w:div w:id="355423766">
      <w:bodyDiv w:val="1"/>
      <w:marLeft w:val="0"/>
      <w:marRight w:val="0"/>
      <w:marTop w:val="0"/>
      <w:marBottom w:val="0"/>
      <w:divBdr>
        <w:top w:val="none" w:sz="0" w:space="0" w:color="auto"/>
        <w:left w:val="none" w:sz="0" w:space="0" w:color="auto"/>
        <w:bottom w:val="none" w:sz="0" w:space="0" w:color="auto"/>
        <w:right w:val="none" w:sz="0" w:space="0" w:color="auto"/>
      </w:divBdr>
    </w:div>
    <w:div w:id="381054155">
      <w:bodyDiv w:val="1"/>
      <w:marLeft w:val="0"/>
      <w:marRight w:val="0"/>
      <w:marTop w:val="0"/>
      <w:marBottom w:val="0"/>
      <w:divBdr>
        <w:top w:val="none" w:sz="0" w:space="0" w:color="auto"/>
        <w:left w:val="none" w:sz="0" w:space="0" w:color="auto"/>
        <w:bottom w:val="none" w:sz="0" w:space="0" w:color="auto"/>
        <w:right w:val="none" w:sz="0" w:space="0" w:color="auto"/>
      </w:divBdr>
    </w:div>
    <w:div w:id="390076280">
      <w:bodyDiv w:val="1"/>
      <w:marLeft w:val="0"/>
      <w:marRight w:val="0"/>
      <w:marTop w:val="0"/>
      <w:marBottom w:val="0"/>
      <w:divBdr>
        <w:top w:val="none" w:sz="0" w:space="0" w:color="auto"/>
        <w:left w:val="none" w:sz="0" w:space="0" w:color="auto"/>
        <w:bottom w:val="none" w:sz="0" w:space="0" w:color="auto"/>
        <w:right w:val="none" w:sz="0" w:space="0" w:color="auto"/>
      </w:divBdr>
    </w:div>
    <w:div w:id="412778444">
      <w:bodyDiv w:val="1"/>
      <w:marLeft w:val="0"/>
      <w:marRight w:val="0"/>
      <w:marTop w:val="0"/>
      <w:marBottom w:val="0"/>
      <w:divBdr>
        <w:top w:val="none" w:sz="0" w:space="0" w:color="auto"/>
        <w:left w:val="none" w:sz="0" w:space="0" w:color="auto"/>
        <w:bottom w:val="none" w:sz="0" w:space="0" w:color="auto"/>
        <w:right w:val="none" w:sz="0" w:space="0" w:color="auto"/>
      </w:divBdr>
    </w:div>
    <w:div w:id="429470096">
      <w:bodyDiv w:val="1"/>
      <w:marLeft w:val="0"/>
      <w:marRight w:val="0"/>
      <w:marTop w:val="0"/>
      <w:marBottom w:val="0"/>
      <w:divBdr>
        <w:top w:val="none" w:sz="0" w:space="0" w:color="auto"/>
        <w:left w:val="none" w:sz="0" w:space="0" w:color="auto"/>
        <w:bottom w:val="none" w:sz="0" w:space="0" w:color="auto"/>
        <w:right w:val="none" w:sz="0" w:space="0" w:color="auto"/>
      </w:divBdr>
    </w:div>
    <w:div w:id="457141554">
      <w:bodyDiv w:val="1"/>
      <w:marLeft w:val="0"/>
      <w:marRight w:val="0"/>
      <w:marTop w:val="0"/>
      <w:marBottom w:val="0"/>
      <w:divBdr>
        <w:top w:val="none" w:sz="0" w:space="0" w:color="auto"/>
        <w:left w:val="none" w:sz="0" w:space="0" w:color="auto"/>
        <w:bottom w:val="none" w:sz="0" w:space="0" w:color="auto"/>
        <w:right w:val="none" w:sz="0" w:space="0" w:color="auto"/>
      </w:divBdr>
    </w:div>
    <w:div w:id="481699138">
      <w:bodyDiv w:val="1"/>
      <w:marLeft w:val="0"/>
      <w:marRight w:val="0"/>
      <w:marTop w:val="0"/>
      <w:marBottom w:val="0"/>
      <w:divBdr>
        <w:top w:val="none" w:sz="0" w:space="0" w:color="auto"/>
        <w:left w:val="none" w:sz="0" w:space="0" w:color="auto"/>
        <w:bottom w:val="none" w:sz="0" w:space="0" w:color="auto"/>
        <w:right w:val="none" w:sz="0" w:space="0" w:color="auto"/>
      </w:divBdr>
    </w:div>
    <w:div w:id="510218985">
      <w:bodyDiv w:val="1"/>
      <w:marLeft w:val="0"/>
      <w:marRight w:val="0"/>
      <w:marTop w:val="0"/>
      <w:marBottom w:val="0"/>
      <w:divBdr>
        <w:top w:val="none" w:sz="0" w:space="0" w:color="auto"/>
        <w:left w:val="none" w:sz="0" w:space="0" w:color="auto"/>
        <w:bottom w:val="none" w:sz="0" w:space="0" w:color="auto"/>
        <w:right w:val="none" w:sz="0" w:space="0" w:color="auto"/>
      </w:divBdr>
    </w:div>
    <w:div w:id="538204451">
      <w:bodyDiv w:val="1"/>
      <w:marLeft w:val="0"/>
      <w:marRight w:val="0"/>
      <w:marTop w:val="0"/>
      <w:marBottom w:val="0"/>
      <w:divBdr>
        <w:top w:val="none" w:sz="0" w:space="0" w:color="auto"/>
        <w:left w:val="none" w:sz="0" w:space="0" w:color="auto"/>
        <w:bottom w:val="none" w:sz="0" w:space="0" w:color="auto"/>
        <w:right w:val="none" w:sz="0" w:space="0" w:color="auto"/>
      </w:divBdr>
    </w:div>
    <w:div w:id="570887763">
      <w:bodyDiv w:val="1"/>
      <w:marLeft w:val="0"/>
      <w:marRight w:val="0"/>
      <w:marTop w:val="0"/>
      <w:marBottom w:val="0"/>
      <w:divBdr>
        <w:top w:val="none" w:sz="0" w:space="0" w:color="auto"/>
        <w:left w:val="none" w:sz="0" w:space="0" w:color="auto"/>
        <w:bottom w:val="none" w:sz="0" w:space="0" w:color="auto"/>
        <w:right w:val="none" w:sz="0" w:space="0" w:color="auto"/>
      </w:divBdr>
    </w:div>
    <w:div w:id="653485107">
      <w:bodyDiv w:val="1"/>
      <w:marLeft w:val="0"/>
      <w:marRight w:val="0"/>
      <w:marTop w:val="0"/>
      <w:marBottom w:val="0"/>
      <w:divBdr>
        <w:top w:val="none" w:sz="0" w:space="0" w:color="auto"/>
        <w:left w:val="none" w:sz="0" w:space="0" w:color="auto"/>
        <w:bottom w:val="none" w:sz="0" w:space="0" w:color="auto"/>
        <w:right w:val="none" w:sz="0" w:space="0" w:color="auto"/>
      </w:divBdr>
    </w:div>
    <w:div w:id="725223394">
      <w:bodyDiv w:val="1"/>
      <w:marLeft w:val="0"/>
      <w:marRight w:val="0"/>
      <w:marTop w:val="0"/>
      <w:marBottom w:val="0"/>
      <w:divBdr>
        <w:top w:val="none" w:sz="0" w:space="0" w:color="auto"/>
        <w:left w:val="none" w:sz="0" w:space="0" w:color="auto"/>
        <w:bottom w:val="none" w:sz="0" w:space="0" w:color="auto"/>
        <w:right w:val="none" w:sz="0" w:space="0" w:color="auto"/>
      </w:divBdr>
    </w:div>
    <w:div w:id="774986954">
      <w:bodyDiv w:val="1"/>
      <w:marLeft w:val="0"/>
      <w:marRight w:val="0"/>
      <w:marTop w:val="0"/>
      <w:marBottom w:val="0"/>
      <w:divBdr>
        <w:top w:val="none" w:sz="0" w:space="0" w:color="auto"/>
        <w:left w:val="none" w:sz="0" w:space="0" w:color="auto"/>
        <w:bottom w:val="none" w:sz="0" w:space="0" w:color="auto"/>
        <w:right w:val="none" w:sz="0" w:space="0" w:color="auto"/>
      </w:divBdr>
    </w:div>
    <w:div w:id="796414448">
      <w:bodyDiv w:val="1"/>
      <w:marLeft w:val="0"/>
      <w:marRight w:val="0"/>
      <w:marTop w:val="0"/>
      <w:marBottom w:val="0"/>
      <w:divBdr>
        <w:top w:val="none" w:sz="0" w:space="0" w:color="auto"/>
        <w:left w:val="none" w:sz="0" w:space="0" w:color="auto"/>
        <w:bottom w:val="none" w:sz="0" w:space="0" w:color="auto"/>
        <w:right w:val="none" w:sz="0" w:space="0" w:color="auto"/>
      </w:divBdr>
      <w:divsChild>
        <w:div w:id="1622102900">
          <w:marLeft w:val="0"/>
          <w:marRight w:val="0"/>
          <w:marTop w:val="0"/>
          <w:marBottom w:val="0"/>
          <w:divBdr>
            <w:top w:val="none" w:sz="0" w:space="0" w:color="auto"/>
            <w:left w:val="none" w:sz="0" w:space="0" w:color="auto"/>
            <w:bottom w:val="none" w:sz="0" w:space="0" w:color="auto"/>
            <w:right w:val="none" w:sz="0" w:space="0" w:color="auto"/>
          </w:divBdr>
        </w:div>
      </w:divsChild>
    </w:div>
    <w:div w:id="804658788">
      <w:bodyDiv w:val="1"/>
      <w:marLeft w:val="0"/>
      <w:marRight w:val="0"/>
      <w:marTop w:val="0"/>
      <w:marBottom w:val="0"/>
      <w:divBdr>
        <w:top w:val="none" w:sz="0" w:space="0" w:color="auto"/>
        <w:left w:val="none" w:sz="0" w:space="0" w:color="auto"/>
        <w:bottom w:val="none" w:sz="0" w:space="0" w:color="auto"/>
        <w:right w:val="none" w:sz="0" w:space="0" w:color="auto"/>
      </w:divBdr>
    </w:div>
    <w:div w:id="829713486">
      <w:bodyDiv w:val="1"/>
      <w:marLeft w:val="0"/>
      <w:marRight w:val="0"/>
      <w:marTop w:val="0"/>
      <w:marBottom w:val="0"/>
      <w:divBdr>
        <w:top w:val="none" w:sz="0" w:space="0" w:color="auto"/>
        <w:left w:val="none" w:sz="0" w:space="0" w:color="auto"/>
        <w:bottom w:val="none" w:sz="0" w:space="0" w:color="auto"/>
        <w:right w:val="none" w:sz="0" w:space="0" w:color="auto"/>
      </w:divBdr>
      <w:divsChild>
        <w:div w:id="559678882">
          <w:marLeft w:val="0"/>
          <w:marRight w:val="0"/>
          <w:marTop w:val="0"/>
          <w:marBottom w:val="0"/>
          <w:divBdr>
            <w:top w:val="none" w:sz="0" w:space="0" w:color="auto"/>
            <w:left w:val="none" w:sz="0" w:space="0" w:color="auto"/>
            <w:bottom w:val="none" w:sz="0" w:space="0" w:color="auto"/>
            <w:right w:val="none" w:sz="0" w:space="0" w:color="auto"/>
          </w:divBdr>
        </w:div>
      </w:divsChild>
    </w:div>
    <w:div w:id="868221095">
      <w:bodyDiv w:val="1"/>
      <w:marLeft w:val="0"/>
      <w:marRight w:val="0"/>
      <w:marTop w:val="0"/>
      <w:marBottom w:val="0"/>
      <w:divBdr>
        <w:top w:val="none" w:sz="0" w:space="0" w:color="auto"/>
        <w:left w:val="none" w:sz="0" w:space="0" w:color="auto"/>
        <w:bottom w:val="none" w:sz="0" w:space="0" w:color="auto"/>
        <w:right w:val="none" w:sz="0" w:space="0" w:color="auto"/>
      </w:divBdr>
    </w:div>
    <w:div w:id="937559340">
      <w:bodyDiv w:val="1"/>
      <w:marLeft w:val="0"/>
      <w:marRight w:val="0"/>
      <w:marTop w:val="0"/>
      <w:marBottom w:val="0"/>
      <w:divBdr>
        <w:top w:val="none" w:sz="0" w:space="0" w:color="auto"/>
        <w:left w:val="none" w:sz="0" w:space="0" w:color="auto"/>
        <w:bottom w:val="none" w:sz="0" w:space="0" w:color="auto"/>
        <w:right w:val="none" w:sz="0" w:space="0" w:color="auto"/>
      </w:divBdr>
    </w:div>
    <w:div w:id="1005980989">
      <w:bodyDiv w:val="1"/>
      <w:marLeft w:val="0"/>
      <w:marRight w:val="0"/>
      <w:marTop w:val="0"/>
      <w:marBottom w:val="0"/>
      <w:divBdr>
        <w:top w:val="none" w:sz="0" w:space="0" w:color="auto"/>
        <w:left w:val="none" w:sz="0" w:space="0" w:color="auto"/>
        <w:bottom w:val="none" w:sz="0" w:space="0" w:color="auto"/>
        <w:right w:val="none" w:sz="0" w:space="0" w:color="auto"/>
      </w:divBdr>
    </w:div>
    <w:div w:id="1018459036">
      <w:bodyDiv w:val="1"/>
      <w:marLeft w:val="0"/>
      <w:marRight w:val="0"/>
      <w:marTop w:val="0"/>
      <w:marBottom w:val="0"/>
      <w:divBdr>
        <w:top w:val="none" w:sz="0" w:space="0" w:color="auto"/>
        <w:left w:val="none" w:sz="0" w:space="0" w:color="auto"/>
        <w:bottom w:val="none" w:sz="0" w:space="0" w:color="auto"/>
        <w:right w:val="none" w:sz="0" w:space="0" w:color="auto"/>
      </w:divBdr>
    </w:div>
    <w:div w:id="1048381798">
      <w:bodyDiv w:val="1"/>
      <w:marLeft w:val="0"/>
      <w:marRight w:val="0"/>
      <w:marTop w:val="0"/>
      <w:marBottom w:val="0"/>
      <w:divBdr>
        <w:top w:val="none" w:sz="0" w:space="0" w:color="auto"/>
        <w:left w:val="none" w:sz="0" w:space="0" w:color="auto"/>
        <w:bottom w:val="none" w:sz="0" w:space="0" w:color="auto"/>
        <w:right w:val="none" w:sz="0" w:space="0" w:color="auto"/>
      </w:divBdr>
    </w:div>
    <w:div w:id="1073161063">
      <w:bodyDiv w:val="1"/>
      <w:marLeft w:val="0"/>
      <w:marRight w:val="0"/>
      <w:marTop w:val="0"/>
      <w:marBottom w:val="0"/>
      <w:divBdr>
        <w:top w:val="none" w:sz="0" w:space="0" w:color="auto"/>
        <w:left w:val="none" w:sz="0" w:space="0" w:color="auto"/>
        <w:bottom w:val="none" w:sz="0" w:space="0" w:color="auto"/>
        <w:right w:val="none" w:sz="0" w:space="0" w:color="auto"/>
      </w:divBdr>
    </w:div>
    <w:div w:id="1080492348">
      <w:bodyDiv w:val="1"/>
      <w:marLeft w:val="0"/>
      <w:marRight w:val="0"/>
      <w:marTop w:val="0"/>
      <w:marBottom w:val="0"/>
      <w:divBdr>
        <w:top w:val="none" w:sz="0" w:space="0" w:color="auto"/>
        <w:left w:val="none" w:sz="0" w:space="0" w:color="auto"/>
        <w:bottom w:val="none" w:sz="0" w:space="0" w:color="auto"/>
        <w:right w:val="none" w:sz="0" w:space="0" w:color="auto"/>
      </w:divBdr>
    </w:div>
    <w:div w:id="1134519683">
      <w:bodyDiv w:val="1"/>
      <w:marLeft w:val="0"/>
      <w:marRight w:val="0"/>
      <w:marTop w:val="0"/>
      <w:marBottom w:val="0"/>
      <w:divBdr>
        <w:top w:val="none" w:sz="0" w:space="0" w:color="auto"/>
        <w:left w:val="none" w:sz="0" w:space="0" w:color="auto"/>
        <w:bottom w:val="none" w:sz="0" w:space="0" w:color="auto"/>
        <w:right w:val="none" w:sz="0" w:space="0" w:color="auto"/>
      </w:divBdr>
    </w:div>
    <w:div w:id="1160653433">
      <w:bodyDiv w:val="1"/>
      <w:marLeft w:val="0"/>
      <w:marRight w:val="0"/>
      <w:marTop w:val="0"/>
      <w:marBottom w:val="0"/>
      <w:divBdr>
        <w:top w:val="none" w:sz="0" w:space="0" w:color="auto"/>
        <w:left w:val="none" w:sz="0" w:space="0" w:color="auto"/>
        <w:bottom w:val="none" w:sz="0" w:space="0" w:color="auto"/>
        <w:right w:val="none" w:sz="0" w:space="0" w:color="auto"/>
      </w:divBdr>
    </w:div>
    <w:div w:id="1170677825">
      <w:bodyDiv w:val="1"/>
      <w:marLeft w:val="0"/>
      <w:marRight w:val="0"/>
      <w:marTop w:val="0"/>
      <w:marBottom w:val="0"/>
      <w:divBdr>
        <w:top w:val="none" w:sz="0" w:space="0" w:color="auto"/>
        <w:left w:val="none" w:sz="0" w:space="0" w:color="auto"/>
        <w:bottom w:val="none" w:sz="0" w:space="0" w:color="auto"/>
        <w:right w:val="none" w:sz="0" w:space="0" w:color="auto"/>
      </w:divBdr>
    </w:div>
    <w:div w:id="1202086136">
      <w:bodyDiv w:val="1"/>
      <w:marLeft w:val="0"/>
      <w:marRight w:val="0"/>
      <w:marTop w:val="0"/>
      <w:marBottom w:val="0"/>
      <w:divBdr>
        <w:top w:val="none" w:sz="0" w:space="0" w:color="auto"/>
        <w:left w:val="none" w:sz="0" w:space="0" w:color="auto"/>
        <w:bottom w:val="none" w:sz="0" w:space="0" w:color="auto"/>
        <w:right w:val="none" w:sz="0" w:space="0" w:color="auto"/>
      </w:divBdr>
    </w:div>
    <w:div w:id="1240940581">
      <w:bodyDiv w:val="1"/>
      <w:marLeft w:val="0"/>
      <w:marRight w:val="0"/>
      <w:marTop w:val="0"/>
      <w:marBottom w:val="0"/>
      <w:divBdr>
        <w:top w:val="none" w:sz="0" w:space="0" w:color="auto"/>
        <w:left w:val="none" w:sz="0" w:space="0" w:color="auto"/>
        <w:bottom w:val="none" w:sz="0" w:space="0" w:color="auto"/>
        <w:right w:val="none" w:sz="0" w:space="0" w:color="auto"/>
      </w:divBdr>
      <w:divsChild>
        <w:div w:id="827672416">
          <w:marLeft w:val="0"/>
          <w:marRight w:val="0"/>
          <w:marTop w:val="0"/>
          <w:marBottom w:val="0"/>
          <w:divBdr>
            <w:top w:val="none" w:sz="0" w:space="0" w:color="auto"/>
            <w:left w:val="none" w:sz="0" w:space="0" w:color="auto"/>
            <w:bottom w:val="none" w:sz="0" w:space="0" w:color="auto"/>
            <w:right w:val="none" w:sz="0" w:space="0" w:color="auto"/>
          </w:divBdr>
        </w:div>
      </w:divsChild>
    </w:div>
    <w:div w:id="1278871705">
      <w:bodyDiv w:val="1"/>
      <w:marLeft w:val="0"/>
      <w:marRight w:val="0"/>
      <w:marTop w:val="0"/>
      <w:marBottom w:val="0"/>
      <w:divBdr>
        <w:top w:val="none" w:sz="0" w:space="0" w:color="auto"/>
        <w:left w:val="none" w:sz="0" w:space="0" w:color="auto"/>
        <w:bottom w:val="none" w:sz="0" w:space="0" w:color="auto"/>
        <w:right w:val="none" w:sz="0" w:space="0" w:color="auto"/>
      </w:divBdr>
    </w:div>
    <w:div w:id="1310550492">
      <w:bodyDiv w:val="1"/>
      <w:marLeft w:val="0"/>
      <w:marRight w:val="0"/>
      <w:marTop w:val="0"/>
      <w:marBottom w:val="0"/>
      <w:divBdr>
        <w:top w:val="none" w:sz="0" w:space="0" w:color="auto"/>
        <w:left w:val="none" w:sz="0" w:space="0" w:color="auto"/>
        <w:bottom w:val="none" w:sz="0" w:space="0" w:color="auto"/>
        <w:right w:val="none" w:sz="0" w:space="0" w:color="auto"/>
      </w:divBdr>
    </w:div>
    <w:div w:id="1328896167">
      <w:bodyDiv w:val="1"/>
      <w:marLeft w:val="0"/>
      <w:marRight w:val="0"/>
      <w:marTop w:val="0"/>
      <w:marBottom w:val="0"/>
      <w:divBdr>
        <w:top w:val="none" w:sz="0" w:space="0" w:color="auto"/>
        <w:left w:val="none" w:sz="0" w:space="0" w:color="auto"/>
        <w:bottom w:val="none" w:sz="0" w:space="0" w:color="auto"/>
        <w:right w:val="none" w:sz="0" w:space="0" w:color="auto"/>
      </w:divBdr>
    </w:div>
    <w:div w:id="1336306035">
      <w:bodyDiv w:val="1"/>
      <w:marLeft w:val="0"/>
      <w:marRight w:val="0"/>
      <w:marTop w:val="0"/>
      <w:marBottom w:val="0"/>
      <w:divBdr>
        <w:top w:val="none" w:sz="0" w:space="0" w:color="auto"/>
        <w:left w:val="none" w:sz="0" w:space="0" w:color="auto"/>
        <w:bottom w:val="none" w:sz="0" w:space="0" w:color="auto"/>
        <w:right w:val="none" w:sz="0" w:space="0" w:color="auto"/>
      </w:divBdr>
      <w:divsChild>
        <w:div w:id="1436750801">
          <w:marLeft w:val="0"/>
          <w:marRight w:val="0"/>
          <w:marTop w:val="0"/>
          <w:marBottom w:val="0"/>
          <w:divBdr>
            <w:top w:val="none" w:sz="0" w:space="0" w:color="auto"/>
            <w:left w:val="none" w:sz="0" w:space="0" w:color="auto"/>
            <w:bottom w:val="none" w:sz="0" w:space="0" w:color="auto"/>
            <w:right w:val="none" w:sz="0" w:space="0" w:color="auto"/>
          </w:divBdr>
        </w:div>
      </w:divsChild>
    </w:div>
    <w:div w:id="1346253597">
      <w:bodyDiv w:val="1"/>
      <w:marLeft w:val="0"/>
      <w:marRight w:val="0"/>
      <w:marTop w:val="0"/>
      <w:marBottom w:val="0"/>
      <w:divBdr>
        <w:top w:val="none" w:sz="0" w:space="0" w:color="auto"/>
        <w:left w:val="none" w:sz="0" w:space="0" w:color="auto"/>
        <w:bottom w:val="none" w:sz="0" w:space="0" w:color="auto"/>
        <w:right w:val="none" w:sz="0" w:space="0" w:color="auto"/>
      </w:divBdr>
    </w:div>
    <w:div w:id="1351369599">
      <w:bodyDiv w:val="1"/>
      <w:marLeft w:val="0"/>
      <w:marRight w:val="0"/>
      <w:marTop w:val="0"/>
      <w:marBottom w:val="0"/>
      <w:divBdr>
        <w:top w:val="none" w:sz="0" w:space="0" w:color="auto"/>
        <w:left w:val="none" w:sz="0" w:space="0" w:color="auto"/>
        <w:bottom w:val="none" w:sz="0" w:space="0" w:color="auto"/>
        <w:right w:val="none" w:sz="0" w:space="0" w:color="auto"/>
      </w:divBdr>
    </w:div>
    <w:div w:id="1352487347">
      <w:bodyDiv w:val="1"/>
      <w:marLeft w:val="0"/>
      <w:marRight w:val="0"/>
      <w:marTop w:val="0"/>
      <w:marBottom w:val="0"/>
      <w:divBdr>
        <w:top w:val="none" w:sz="0" w:space="0" w:color="auto"/>
        <w:left w:val="none" w:sz="0" w:space="0" w:color="auto"/>
        <w:bottom w:val="none" w:sz="0" w:space="0" w:color="auto"/>
        <w:right w:val="none" w:sz="0" w:space="0" w:color="auto"/>
      </w:divBdr>
    </w:div>
    <w:div w:id="1362784287">
      <w:bodyDiv w:val="1"/>
      <w:marLeft w:val="0"/>
      <w:marRight w:val="0"/>
      <w:marTop w:val="0"/>
      <w:marBottom w:val="0"/>
      <w:divBdr>
        <w:top w:val="none" w:sz="0" w:space="0" w:color="auto"/>
        <w:left w:val="none" w:sz="0" w:space="0" w:color="auto"/>
        <w:bottom w:val="none" w:sz="0" w:space="0" w:color="auto"/>
        <w:right w:val="none" w:sz="0" w:space="0" w:color="auto"/>
      </w:divBdr>
    </w:div>
    <w:div w:id="1464040541">
      <w:bodyDiv w:val="1"/>
      <w:marLeft w:val="0"/>
      <w:marRight w:val="0"/>
      <w:marTop w:val="0"/>
      <w:marBottom w:val="0"/>
      <w:divBdr>
        <w:top w:val="none" w:sz="0" w:space="0" w:color="auto"/>
        <w:left w:val="none" w:sz="0" w:space="0" w:color="auto"/>
        <w:bottom w:val="none" w:sz="0" w:space="0" w:color="auto"/>
        <w:right w:val="none" w:sz="0" w:space="0" w:color="auto"/>
      </w:divBdr>
      <w:divsChild>
        <w:div w:id="896165177">
          <w:marLeft w:val="0"/>
          <w:marRight w:val="0"/>
          <w:marTop w:val="0"/>
          <w:marBottom w:val="0"/>
          <w:divBdr>
            <w:top w:val="none" w:sz="0" w:space="0" w:color="auto"/>
            <w:left w:val="none" w:sz="0" w:space="0" w:color="auto"/>
            <w:bottom w:val="none" w:sz="0" w:space="0" w:color="auto"/>
            <w:right w:val="none" w:sz="0" w:space="0" w:color="auto"/>
          </w:divBdr>
        </w:div>
      </w:divsChild>
    </w:div>
    <w:div w:id="1546480739">
      <w:bodyDiv w:val="1"/>
      <w:marLeft w:val="0"/>
      <w:marRight w:val="0"/>
      <w:marTop w:val="0"/>
      <w:marBottom w:val="0"/>
      <w:divBdr>
        <w:top w:val="none" w:sz="0" w:space="0" w:color="auto"/>
        <w:left w:val="none" w:sz="0" w:space="0" w:color="auto"/>
        <w:bottom w:val="none" w:sz="0" w:space="0" w:color="auto"/>
        <w:right w:val="none" w:sz="0" w:space="0" w:color="auto"/>
      </w:divBdr>
      <w:divsChild>
        <w:div w:id="241066320">
          <w:marLeft w:val="0"/>
          <w:marRight w:val="0"/>
          <w:marTop w:val="0"/>
          <w:marBottom w:val="0"/>
          <w:divBdr>
            <w:top w:val="none" w:sz="0" w:space="0" w:color="auto"/>
            <w:left w:val="none" w:sz="0" w:space="0" w:color="auto"/>
            <w:bottom w:val="none" w:sz="0" w:space="0" w:color="auto"/>
            <w:right w:val="none" w:sz="0" w:space="0" w:color="auto"/>
          </w:divBdr>
        </w:div>
      </w:divsChild>
    </w:div>
    <w:div w:id="1555119052">
      <w:bodyDiv w:val="1"/>
      <w:marLeft w:val="0"/>
      <w:marRight w:val="0"/>
      <w:marTop w:val="0"/>
      <w:marBottom w:val="0"/>
      <w:divBdr>
        <w:top w:val="none" w:sz="0" w:space="0" w:color="auto"/>
        <w:left w:val="none" w:sz="0" w:space="0" w:color="auto"/>
        <w:bottom w:val="none" w:sz="0" w:space="0" w:color="auto"/>
        <w:right w:val="none" w:sz="0" w:space="0" w:color="auto"/>
      </w:divBdr>
    </w:div>
    <w:div w:id="1599558092">
      <w:bodyDiv w:val="1"/>
      <w:marLeft w:val="0"/>
      <w:marRight w:val="0"/>
      <w:marTop w:val="0"/>
      <w:marBottom w:val="0"/>
      <w:divBdr>
        <w:top w:val="none" w:sz="0" w:space="0" w:color="auto"/>
        <w:left w:val="none" w:sz="0" w:space="0" w:color="auto"/>
        <w:bottom w:val="none" w:sz="0" w:space="0" w:color="auto"/>
        <w:right w:val="none" w:sz="0" w:space="0" w:color="auto"/>
      </w:divBdr>
    </w:div>
    <w:div w:id="1622303069">
      <w:bodyDiv w:val="1"/>
      <w:marLeft w:val="0"/>
      <w:marRight w:val="0"/>
      <w:marTop w:val="0"/>
      <w:marBottom w:val="0"/>
      <w:divBdr>
        <w:top w:val="none" w:sz="0" w:space="0" w:color="auto"/>
        <w:left w:val="none" w:sz="0" w:space="0" w:color="auto"/>
        <w:bottom w:val="none" w:sz="0" w:space="0" w:color="auto"/>
        <w:right w:val="none" w:sz="0" w:space="0" w:color="auto"/>
      </w:divBdr>
    </w:div>
    <w:div w:id="1650985625">
      <w:bodyDiv w:val="1"/>
      <w:marLeft w:val="0"/>
      <w:marRight w:val="0"/>
      <w:marTop w:val="0"/>
      <w:marBottom w:val="0"/>
      <w:divBdr>
        <w:top w:val="none" w:sz="0" w:space="0" w:color="auto"/>
        <w:left w:val="none" w:sz="0" w:space="0" w:color="auto"/>
        <w:bottom w:val="none" w:sz="0" w:space="0" w:color="auto"/>
        <w:right w:val="none" w:sz="0" w:space="0" w:color="auto"/>
      </w:divBdr>
    </w:div>
    <w:div w:id="1687633288">
      <w:bodyDiv w:val="1"/>
      <w:marLeft w:val="0"/>
      <w:marRight w:val="0"/>
      <w:marTop w:val="0"/>
      <w:marBottom w:val="0"/>
      <w:divBdr>
        <w:top w:val="none" w:sz="0" w:space="0" w:color="auto"/>
        <w:left w:val="none" w:sz="0" w:space="0" w:color="auto"/>
        <w:bottom w:val="none" w:sz="0" w:space="0" w:color="auto"/>
        <w:right w:val="none" w:sz="0" w:space="0" w:color="auto"/>
      </w:divBdr>
    </w:div>
    <w:div w:id="1734698009">
      <w:bodyDiv w:val="1"/>
      <w:marLeft w:val="0"/>
      <w:marRight w:val="0"/>
      <w:marTop w:val="0"/>
      <w:marBottom w:val="0"/>
      <w:divBdr>
        <w:top w:val="none" w:sz="0" w:space="0" w:color="auto"/>
        <w:left w:val="none" w:sz="0" w:space="0" w:color="auto"/>
        <w:bottom w:val="none" w:sz="0" w:space="0" w:color="auto"/>
        <w:right w:val="none" w:sz="0" w:space="0" w:color="auto"/>
      </w:divBdr>
    </w:div>
    <w:div w:id="1746151074">
      <w:bodyDiv w:val="1"/>
      <w:marLeft w:val="0"/>
      <w:marRight w:val="0"/>
      <w:marTop w:val="0"/>
      <w:marBottom w:val="0"/>
      <w:divBdr>
        <w:top w:val="none" w:sz="0" w:space="0" w:color="auto"/>
        <w:left w:val="none" w:sz="0" w:space="0" w:color="auto"/>
        <w:bottom w:val="none" w:sz="0" w:space="0" w:color="auto"/>
        <w:right w:val="none" w:sz="0" w:space="0" w:color="auto"/>
      </w:divBdr>
    </w:div>
    <w:div w:id="1779325048">
      <w:bodyDiv w:val="1"/>
      <w:marLeft w:val="0"/>
      <w:marRight w:val="0"/>
      <w:marTop w:val="0"/>
      <w:marBottom w:val="0"/>
      <w:divBdr>
        <w:top w:val="none" w:sz="0" w:space="0" w:color="auto"/>
        <w:left w:val="none" w:sz="0" w:space="0" w:color="auto"/>
        <w:bottom w:val="none" w:sz="0" w:space="0" w:color="auto"/>
        <w:right w:val="none" w:sz="0" w:space="0" w:color="auto"/>
      </w:divBdr>
    </w:div>
    <w:div w:id="1790541038">
      <w:bodyDiv w:val="1"/>
      <w:marLeft w:val="0"/>
      <w:marRight w:val="0"/>
      <w:marTop w:val="0"/>
      <w:marBottom w:val="0"/>
      <w:divBdr>
        <w:top w:val="none" w:sz="0" w:space="0" w:color="auto"/>
        <w:left w:val="none" w:sz="0" w:space="0" w:color="auto"/>
        <w:bottom w:val="none" w:sz="0" w:space="0" w:color="auto"/>
        <w:right w:val="none" w:sz="0" w:space="0" w:color="auto"/>
      </w:divBdr>
    </w:div>
    <w:div w:id="1847819788">
      <w:bodyDiv w:val="1"/>
      <w:marLeft w:val="0"/>
      <w:marRight w:val="0"/>
      <w:marTop w:val="0"/>
      <w:marBottom w:val="0"/>
      <w:divBdr>
        <w:top w:val="none" w:sz="0" w:space="0" w:color="auto"/>
        <w:left w:val="none" w:sz="0" w:space="0" w:color="auto"/>
        <w:bottom w:val="none" w:sz="0" w:space="0" w:color="auto"/>
        <w:right w:val="none" w:sz="0" w:space="0" w:color="auto"/>
      </w:divBdr>
    </w:div>
    <w:div w:id="1913466150">
      <w:bodyDiv w:val="1"/>
      <w:marLeft w:val="0"/>
      <w:marRight w:val="0"/>
      <w:marTop w:val="0"/>
      <w:marBottom w:val="0"/>
      <w:divBdr>
        <w:top w:val="none" w:sz="0" w:space="0" w:color="auto"/>
        <w:left w:val="none" w:sz="0" w:space="0" w:color="auto"/>
        <w:bottom w:val="none" w:sz="0" w:space="0" w:color="auto"/>
        <w:right w:val="none" w:sz="0" w:space="0" w:color="auto"/>
      </w:divBdr>
    </w:div>
    <w:div w:id="1922328789">
      <w:bodyDiv w:val="1"/>
      <w:marLeft w:val="0"/>
      <w:marRight w:val="0"/>
      <w:marTop w:val="0"/>
      <w:marBottom w:val="0"/>
      <w:divBdr>
        <w:top w:val="none" w:sz="0" w:space="0" w:color="auto"/>
        <w:left w:val="none" w:sz="0" w:space="0" w:color="auto"/>
        <w:bottom w:val="none" w:sz="0" w:space="0" w:color="auto"/>
        <w:right w:val="none" w:sz="0" w:space="0" w:color="auto"/>
      </w:divBdr>
    </w:div>
    <w:div w:id="1934820330">
      <w:bodyDiv w:val="1"/>
      <w:marLeft w:val="0"/>
      <w:marRight w:val="0"/>
      <w:marTop w:val="0"/>
      <w:marBottom w:val="0"/>
      <w:divBdr>
        <w:top w:val="none" w:sz="0" w:space="0" w:color="auto"/>
        <w:left w:val="none" w:sz="0" w:space="0" w:color="auto"/>
        <w:bottom w:val="none" w:sz="0" w:space="0" w:color="auto"/>
        <w:right w:val="none" w:sz="0" w:space="0" w:color="auto"/>
      </w:divBdr>
    </w:div>
    <w:div w:id="1968314629">
      <w:bodyDiv w:val="1"/>
      <w:marLeft w:val="0"/>
      <w:marRight w:val="0"/>
      <w:marTop w:val="0"/>
      <w:marBottom w:val="0"/>
      <w:divBdr>
        <w:top w:val="none" w:sz="0" w:space="0" w:color="auto"/>
        <w:left w:val="none" w:sz="0" w:space="0" w:color="auto"/>
        <w:bottom w:val="none" w:sz="0" w:space="0" w:color="auto"/>
        <w:right w:val="none" w:sz="0" w:space="0" w:color="auto"/>
      </w:divBdr>
    </w:div>
    <w:div w:id="2002656974">
      <w:bodyDiv w:val="1"/>
      <w:marLeft w:val="0"/>
      <w:marRight w:val="0"/>
      <w:marTop w:val="0"/>
      <w:marBottom w:val="0"/>
      <w:divBdr>
        <w:top w:val="none" w:sz="0" w:space="0" w:color="auto"/>
        <w:left w:val="none" w:sz="0" w:space="0" w:color="auto"/>
        <w:bottom w:val="none" w:sz="0" w:space="0" w:color="auto"/>
        <w:right w:val="none" w:sz="0" w:space="0" w:color="auto"/>
      </w:divBdr>
    </w:div>
    <w:div w:id="2002927974">
      <w:bodyDiv w:val="1"/>
      <w:marLeft w:val="0"/>
      <w:marRight w:val="0"/>
      <w:marTop w:val="0"/>
      <w:marBottom w:val="0"/>
      <w:divBdr>
        <w:top w:val="none" w:sz="0" w:space="0" w:color="auto"/>
        <w:left w:val="none" w:sz="0" w:space="0" w:color="auto"/>
        <w:bottom w:val="none" w:sz="0" w:space="0" w:color="auto"/>
        <w:right w:val="none" w:sz="0" w:space="0" w:color="auto"/>
      </w:divBdr>
    </w:div>
    <w:div w:id="2010478869">
      <w:bodyDiv w:val="1"/>
      <w:marLeft w:val="0"/>
      <w:marRight w:val="0"/>
      <w:marTop w:val="0"/>
      <w:marBottom w:val="0"/>
      <w:divBdr>
        <w:top w:val="none" w:sz="0" w:space="0" w:color="auto"/>
        <w:left w:val="none" w:sz="0" w:space="0" w:color="auto"/>
        <w:bottom w:val="none" w:sz="0" w:space="0" w:color="auto"/>
        <w:right w:val="none" w:sz="0" w:space="0" w:color="auto"/>
      </w:divBdr>
    </w:div>
    <w:div w:id="2024696486">
      <w:bodyDiv w:val="1"/>
      <w:marLeft w:val="0"/>
      <w:marRight w:val="0"/>
      <w:marTop w:val="0"/>
      <w:marBottom w:val="0"/>
      <w:divBdr>
        <w:top w:val="none" w:sz="0" w:space="0" w:color="auto"/>
        <w:left w:val="none" w:sz="0" w:space="0" w:color="auto"/>
        <w:bottom w:val="none" w:sz="0" w:space="0" w:color="auto"/>
        <w:right w:val="none" w:sz="0" w:space="0" w:color="auto"/>
      </w:divBdr>
    </w:div>
    <w:div w:id="2034569678">
      <w:bodyDiv w:val="1"/>
      <w:marLeft w:val="0"/>
      <w:marRight w:val="0"/>
      <w:marTop w:val="0"/>
      <w:marBottom w:val="0"/>
      <w:divBdr>
        <w:top w:val="none" w:sz="0" w:space="0" w:color="auto"/>
        <w:left w:val="none" w:sz="0" w:space="0" w:color="auto"/>
        <w:bottom w:val="none" w:sz="0" w:space="0" w:color="auto"/>
        <w:right w:val="none" w:sz="0" w:space="0" w:color="auto"/>
      </w:divBdr>
    </w:div>
    <w:div w:id="2049183801">
      <w:bodyDiv w:val="1"/>
      <w:marLeft w:val="0"/>
      <w:marRight w:val="0"/>
      <w:marTop w:val="0"/>
      <w:marBottom w:val="0"/>
      <w:divBdr>
        <w:top w:val="none" w:sz="0" w:space="0" w:color="auto"/>
        <w:left w:val="none" w:sz="0" w:space="0" w:color="auto"/>
        <w:bottom w:val="none" w:sz="0" w:space="0" w:color="auto"/>
        <w:right w:val="none" w:sz="0" w:space="0" w:color="auto"/>
      </w:divBdr>
    </w:div>
    <w:div w:id="2051998298">
      <w:bodyDiv w:val="1"/>
      <w:marLeft w:val="0"/>
      <w:marRight w:val="0"/>
      <w:marTop w:val="0"/>
      <w:marBottom w:val="0"/>
      <w:divBdr>
        <w:top w:val="none" w:sz="0" w:space="0" w:color="auto"/>
        <w:left w:val="none" w:sz="0" w:space="0" w:color="auto"/>
        <w:bottom w:val="none" w:sz="0" w:space="0" w:color="auto"/>
        <w:right w:val="none" w:sz="0" w:space="0" w:color="auto"/>
      </w:divBdr>
    </w:div>
    <w:div w:id="214211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s://doi.org/10.1080/02680939.2012.694481" TargetMode="External"/><Relationship Id="rId39" Type="http://schemas.openxmlformats.org/officeDocument/2006/relationships/hyperlink" Target="https://doi.org/10.1080/07294360.2011.653958" TargetMode="External"/><Relationship Id="rId21" Type="http://schemas.openxmlformats.org/officeDocument/2006/relationships/chart" Target="charts/chart9.xml"/><Relationship Id="rId34" Type="http://schemas.openxmlformats.org/officeDocument/2006/relationships/hyperlink" Target="https://doi.org/10.1111/j.1759-3441.2008.tb01040.x"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s://doi.org/10.1016/j.alcr.2020.100376" TargetMode="External"/><Relationship Id="rId41" Type="http://schemas.openxmlformats.org/officeDocument/2006/relationships/hyperlink" Target="https://doi.org/10.1111/j.1467-8462.2005.00349.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ses.edu.au" TargetMode="External"/><Relationship Id="rId24" Type="http://schemas.openxmlformats.org/officeDocument/2006/relationships/hyperlink" Target="https://www.voced.edu.au/search/site/all_corpauthors:%22Australia.%20Department%20of%20Education%2C%20Employment%20and%20Workplace%20Relations%20%28DEEWR%29%22" TargetMode="External"/><Relationship Id="rId32" Type="http://schemas.openxmlformats.org/officeDocument/2006/relationships/hyperlink" Target="https://doi.org/10.1080/00221546.2006.11778936" TargetMode="External"/><Relationship Id="rId37" Type="http://schemas.openxmlformats.org/officeDocument/2006/relationships/hyperlink" Target="https://doi.org/10.1080/1360080X.2023.2180163" TargetMode="External"/><Relationship Id="rId40" Type="http://schemas.openxmlformats.org/officeDocument/2006/relationships/hyperlink" Target="https://doi.org/10.1016/j.rssm.2017.07.001"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hyperlink" Target="https://doi.org/10.1177/0004944114565117" TargetMode="External"/><Relationship Id="rId36" Type="http://schemas.openxmlformats.org/officeDocument/2006/relationships/hyperlink" Target="https://doi.org/10.1080/1360080X.2017.1377966" TargetMode="External"/><Relationship Id="rId10" Type="http://schemas.openxmlformats.org/officeDocument/2006/relationships/hyperlink" Target="mailto:acses@curtin.edu.au" TargetMode="External"/><Relationship Id="rId19" Type="http://schemas.openxmlformats.org/officeDocument/2006/relationships/chart" Target="charts/chart7.xml"/><Relationship Id="rId31" Type="http://schemas.openxmlformats.org/officeDocument/2006/relationships/hyperlink" Target="https://doi.org/10.1016/j.ssresearch.2003.06.00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hyperlink" Target="https://doi.org/10.1177/2329496519900509" TargetMode="External"/><Relationship Id="rId30" Type="http://schemas.openxmlformats.org/officeDocument/2006/relationships/hyperlink" Target="https://doi.org/10.1080/07294360.2010.512628" TargetMode="External"/><Relationship Id="rId35" Type="http://schemas.openxmlformats.org/officeDocument/2006/relationships/hyperlink" Target="https://doi.org/10.1111/1759-3441.12417"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chart" Target="charts/chart5.xml"/><Relationship Id="rId25" Type="http://schemas.openxmlformats.org/officeDocument/2006/relationships/hyperlink" Target="https://doi.org/10.1080/1360080X.2021.1988841" TargetMode="External"/><Relationship Id="rId33" Type="http://schemas.openxmlformats.org/officeDocument/2006/relationships/hyperlink" Target="https://doi.org/10.1016/j.labeco.2010.04.002" TargetMode="External"/><Relationship Id="rId38" Type="http://schemas.openxmlformats.org/officeDocument/2006/relationships/hyperlink" Target="https://doi.org/10.1525/sop.2009.52.2.2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u0179\Dropbox\2024%20ACSES\ACSES%20final%20report%20February%2028,%202025\ACSES%20Small%20Grants%20Report_Zhu%20and%20Gong.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'Figure 2'!$B$1</c:f>
              <c:strCache>
                <c:ptCount val="1"/>
                <c:pt idx="0">
                  <c:v>Full-time job (%)</c:v>
                </c:pt>
              </c:strCache>
            </c:strRef>
          </c:tx>
          <c:spPr>
            <a:solidFill>
              <a:srgbClr val="6B3B57"/>
            </a:solidFill>
            <a:ln>
              <a:noFill/>
            </a:ln>
            <a:effectLst/>
          </c:spPr>
          <c:invertIfNegative val="0"/>
          <c:cat>
            <c:strRef>
              <c:f>'Figure 2'!$A$2:$A$16</c:f>
              <c:strCache>
                <c:ptCount val="15"/>
                <c:pt idx="0">
                  <c:v>Others</c:v>
                </c:pt>
                <c:pt idx="1">
                  <c:v>Food, hospitality, and personal services </c:v>
                </c:pt>
                <c:pt idx="2">
                  <c:v>Creative arts </c:v>
                </c:pt>
                <c:pt idx="3">
                  <c:v>Society and culture </c:v>
                </c:pt>
                <c:pt idx="4">
                  <c:v>Law </c:v>
                </c:pt>
                <c:pt idx="5">
                  <c:v>Management and commerce </c:v>
                </c:pt>
                <c:pt idx="6">
                  <c:v>Education </c:v>
                </c:pt>
                <c:pt idx="7">
                  <c:v>Other health-related </c:v>
                </c:pt>
                <c:pt idx="8">
                  <c:v>Nursing </c:v>
                </c:pt>
                <c:pt idx="9">
                  <c:v>Medicine </c:v>
                </c:pt>
                <c:pt idx="10">
                  <c:v>Agriculture, environment, and relate studies </c:v>
                </c:pt>
                <c:pt idx="11">
                  <c:v>Architecture and building </c:v>
                </c:pt>
                <c:pt idx="12">
                  <c:v>Engineering and related technologies </c:v>
                </c:pt>
                <c:pt idx="13">
                  <c:v>Information technology </c:v>
                </c:pt>
                <c:pt idx="14">
                  <c:v>Natural and physical sciences </c:v>
                </c:pt>
              </c:strCache>
            </c:strRef>
          </c:cat>
          <c:val>
            <c:numRef>
              <c:f>'Figure 2'!$B$2:$B$16</c:f>
              <c:numCache>
                <c:formatCode>0.00%</c:formatCode>
                <c:ptCount val="15"/>
                <c:pt idx="0">
                  <c:v>0.73529999999999995</c:v>
                </c:pt>
                <c:pt idx="1">
                  <c:v>0.8387</c:v>
                </c:pt>
                <c:pt idx="2">
                  <c:v>0.61729999999999996</c:v>
                </c:pt>
                <c:pt idx="3">
                  <c:v>0.65759999999999996</c:v>
                </c:pt>
                <c:pt idx="4">
                  <c:v>0.83640000000000003</c:v>
                </c:pt>
                <c:pt idx="5">
                  <c:v>0.81359999999999999</c:v>
                </c:pt>
                <c:pt idx="6">
                  <c:v>0.69310000000000005</c:v>
                </c:pt>
                <c:pt idx="7">
                  <c:v>0.59660000000000002</c:v>
                </c:pt>
                <c:pt idx="8">
                  <c:v>0.47010000000000002</c:v>
                </c:pt>
                <c:pt idx="9">
                  <c:v>0.72860000000000003</c:v>
                </c:pt>
                <c:pt idx="10">
                  <c:v>0.64980000000000004</c:v>
                </c:pt>
                <c:pt idx="11" formatCode="0%">
                  <c:v>0.79</c:v>
                </c:pt>
                <c:pt idx="12">
                  <c:v>0.8669</c:v>
                </c:pt>
                <c:pt idx="13">
                  <c:v>0.81259999999999999</c:v>
                </c:pt>
                <c:pt idx="14">
                  <c:v>0.749</c:v>
                </c:pt>
              </c:numCache>
            </c:numRef>
          </c:val>
          <c:extLst>
            <c:ext xmlns:c16="http://schemas.microsoft.com/office/drawing/2014/chart" uri="{C3380CC4-5D6E-409C-BE32-E72D297353CC}">
              <c16:uniqueId val="{00000000-826E-4E91-ADB8-8D066296CFC8}"/>
            </c:ext>
          </c:extLst>
        </c:ser>
        <c:dLbls>
          <c:showLegendKey val="0"/>
          <c:showVal val="0"/>
          <c:showCatName val="0"/>
          <c:showSerName val="0"/>
          <c:showPercent val="0"/>
          <c:showBubbleSize val="0"/>
        </c:dLbls>
        <c:gapWidth val="182"/>
        <c:axId val="725302560"/>
        <c:axId val="725305080"/>
      </c:barChart>
      <c:catAx>
        <c:axId val="725302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5305080"/>
        <c:crosses val="autoZero"/>
        <c:auto val="1"/>
        <c:lblAlgn val="ctr"/>
        <c:lblOffset val="100"/>
        <c:noMultiLvlLbl val="0"/>
      </c:catAx>
      <c:valAx>
        <c:axId val="7253050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530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000" b="0"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Father unemployed for 6+ months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'Figure 10'!$B$3</c:f>
              <c:strCache>
                <c:ptCount val="1"/>
                <c:pt idx="0">
                  <c:v>No</c:v>
                </c:pt>
              </c:strCache>
            </c:strRef>
          </c:tx>
          <c:spPr>
            <a:solidFill>
              <a:srgbClr val="6B3B57"/>
            </a:solidFill>
            <a:ln>
              <a:noFill/>
            </a:ln>
            <a:effectLst/>
          </c:spPr>
          <c:invertIfNegative val="0"/>
          <c:cat>
            <c:strRef>
              <c:f>'Figure 10'!$A$4:$A$6</c:f>
              <c:strCache>
                <c:ptCount val="3"/>
                <c:pt idx="0">
                  <c:v>Low-paying </c:v>
                </c:pt>
                <c:pt idx="1">
                  <c:v>Middle-paying </c:v>
                </c:pt>
                <c:pt idx="2">
                  <c:v>High-paying </c:v>
                </c:pt>
              </c:strCache>
            </c:strRef>
          </c:cat>
          <c:val>
            <c:numRef>
              <c:f>'Figure 10'!$B$4:$B$6</c:f>
              <c:numCache>
                <c:formatCode>0.00%</c:formatCode>
                <c:ptCount val="3"/>
                <c:pt idx="0">
                  <c:v>0.29149999999999998</c:v>
                </c:pt>
                <c:pt idx="1">
                  <c:v>0.31509999999999999</c:v>
                </c:pt>
                <c:pt idx="2">
                  <c:v>0.39340000000000003</c:v>
                </c:pt>
              </c:numCache>
            </c:numRef>
          </c:val>
          <c:extLst>
            <c:ext xmlns:c16="http://schemas.microsoft.com/office/drawing/2014/chart" uri="{C3380CC4-5D6E-409C-BE32-E72D297353CC}">
              <c16:uniqueId val="{00000000-3C3C-40CA-B507-4FFD1414CBA6}"/>
            </c:ext>
          </c:extLst>
        </c:ser>
        <c:ser>
          <c:idx val="1"/>
          <c:order val="1"/>
          <c:tx>
            <c:strRef>
              <c:f>'Figure 10'!$C$3</c:f>
              <c:strCache>
                <c:ptCount val="1"/>
                <c:pt idx="0">
                  <c:v>Yes</c:v>
                </c:pt>
              </c:strCache>
            </c:strRef>
          </c:tx>
          <c:spPr>
            <a:solidFill>
              <a:srgbClr val="FCAB63"/>
            </a:solidFill>
            <a:ln>
              <a:noFill/>
            </a:ln>
            <a:effectLst/>
          </c:spPr>
          <c:invertIfNegative val="0"/>
          <c:cat>
            <c:strRef>
              <c:f>'Figure 10'!$A$4:$A$6</c:f>
              <c:strCache>
                <c:ptCount val="3"/>
                <c:pt idx="0">
                  <c:v>Low-paying </c:v>
                </c:pt>
                <c:pt idx="1">
                  <c:v>Middle-paying </c:v>
                </c:pt>
                <c:pt idx="2">
                  <c:v>High-paying </c:v>
                </c:pt>
              </c:strCache>
            </c:strRef>
          </c:cat>
          <c:val>
            <c:numRef>
              <c:f>'Figure 10'!$C$4:$C$6</c:f>
              <c:numCache>
                <c:formatCode>0.00%</c:formatCode>
                <c:ptCount val="3"/>
                <c:pt idx="0">
                  <c:v>0.31290000000000001</c:v>
                </c:pt>
                <c:pt idx="1">
                  <c:v>0.30580000000000002</c:v>
                </c:pt>
                <c:pt idx="2">
                  <c:v>0.38129999999999997</c:v>
                </c:pt>
              </c:numCache>
            </c:numRef>
          </c:val>
          <c:extLst>
            <c:ext xmlns:c16="http://schemas.microsoft.com/office/drawing/2014/chart" uri="{C3380CC4-5D6E-409C-BE32-E72D297353CC}">
              <c16:uniqueId val="{00000001-3C3C-40CA-B507-4FFD1414CBA6}"/>
            </c:ext>
          </c:extLst>
        </c:ser>
        <c:dLbls>
          <c:showLegendKey val="0"/>
          <c:showVal val="0"/>
          <c:showCatName val="0"/>
          <c:showSerName val="0"/>
          <c:showPercent val="0"/>
          <c:showBubbleSize val="0"/>
        </c:dLbls>
        <c:gapWidth val="182"/>
        <c:axId val="577394008"/>
        <c:axId val="577394728"/>
      </c:barChart>
      <c:catAx>
        <c:axId val="577394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77394728"/>
        <c:crosses val="autoZero"/>
        <c:auto val="1"/>
        <c:lblAlgn val="ctr"/>
        <c:lblOffset val="100"/>
        <c:noMultiLvlLbl val="0"/>
      </c:catAx>
      <c:valAx>
        <c:axId val="577394728"/>
        <c:scaling>
          <c:orientation val="minMax"/>
          <c:max val="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77394008"/>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000">
                <a:latin typeface="Arial" panose="020B0604020202020204" pitchFamily="34" charset="0"/>
                <a:cs typeface="Arial" panose="020B0604020202020204" pitchFamily="34" charset="0"/>
              </a:rPr>
              <a:t>Single-parent</a:t>
            </a:r>
            <a:r>
              <a:rPr lang="en-AU" sz="1000" baseline="0">
                <a:latin typeface="Arial" panose="020B0604020202020204" pitchFamily="34" charset="0"/>
                <a:cs typeface="Arial" panose="020B0604020202020204" pitchFamily="34" charset="0"/>
              </a:rPr>
              <a:t> family</a:t>
            </a:r>
            <a:endParaRPr lang="en-AU" sz="10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bar"/>
        <c:grouping val="clustered"/>
        <c:varyColors val="0"/>
        <c:ser>
          <c:idx val="0"/>
          <c:order val="0"/>
          <c:tx>
            <c:strRef>
              <c:f>'Figure 11'!$B$3</c:f>
              <c:strCache>
                <c:ptCount val="1"/>
                <c:pt idx="0">
                  <c:v>No</c:v>
                </c:pt>
              </c:strCache>
            </c:strRef>
          </c:tx>
          <c:spPr>
            <a:solidFill>
              <a:srgbClr val="6B3B57"/>
            </a:solidFill>
            <a:ln>
              <a:noFill/>
            </a:ln>
            <a:effectLst/>
          </c:spPr>
          <c:invertIfNegative val="0"/>
          <c:cat>
            <c:strRef>
              <c:f>'Figure 11'!$A$4:$A$6</c:f>
              <c:strCache>
                <c:ptCount val="3"/>
                <c:pt idx="0">
                  <c:v>Low-paying </c:v>
                </c:pt>
                <c:pt idx="1">
                  <c:v>Middle-paying </c:v>
                </c:pt>
                <c:pt idx="2">
                  <c:v>High-paying </c:v>
                </c:pt>
              </c:strCache>
            </c:strRef>
          </c:cat>
          <c:val>
            <c:numRef>
              <c:f>'Figure 11'!$B$4:$B$6</c:f>
              <c:numCache>
                <c:formatCode>0.00%</c:formatCode>
                <c:ptCount val="3"/>
                <c:pt idx="0">
                  <c:v>0.29320000000000002</c:v>
                </c:pt>
                <c:pt idx="1">
                  <c:v>0.31369999999999998</c:v>
                </c:pt>
                <c:pt idx="2">
                  <c:v>0.39319999999999999</c:v>
                </c:pt>
              </c:numCache>
            </c:numRef>
          </c:val>
          <c:extLst>
            <c:ext xmlns:c16="http://schemas.microsoft.com/office/drawing/2014/chart" uri="{C3380CC4-5D6E-409C-BE32-E72D297353CC}">
              <c16:uniqueId val="{00000000-CB3C-431B-9D11-C9BD72CBE7D1}"/>
            </c:ext>
          </c:extLst>
        </c:ser>
        <c:ser>
          <c:idx val="1"/>
          <c:order val="1"/>
          <c:tx>
            <c:strRef>
              <c:f>'Figure 11'!$C$3</c:f>
              <c:strCache>
                <c:ptCount val="1"/>
                <c:pt idx="0">
                  <c:v>Yes</c:v>
                </c:pt>
              </c:strCache>
            </c:strRef>
          </c:tx>
          <c:spPr>
            <a:solidFill>
              <a:srgbClr val="FCAB63"/>
            </a:solidFill>
            <a:ln>
              <a:noFill/>
            </a:ln>
            <a:effectLst/>
          </c:spPr>
          <c:invertIfNegative val="0"/>
          <c:cat>
            <c:strRef>
              <c:f>'Figure 11'!$A$4:$A$6</c:f>
              <c:strCache>
                <c:ptCount val="3"/>
                <c:pt idx="0">
                  <c:v>Low-paying </c:v>
                </c:pt>
                <c:pt idx="1">
                  <c:v>Middle-paying </c:v>
                </c:pt>
                <c:pt idx="2">
                  <c:v>High-paying </c:v>
                </c:pt>
              </c:strCache>
            </c:strRef>
          </c:cat>
          <c:val>
            <c:numRef>
              <c:f>'Figure 11'!$C$4:$C$6</c:f>
              <c:numCache>
                <c:formatCode>0.00%</c:formatCode>
                <c:ptCount val="3"/>
                <c:pt idx="0">
                  <c:v>0.31280000000000002</c:v>
                </c:pt>
                <c:pt idx="1">
                  <c:v>0.32400000000000001</c:v>
                </c:pt>
                <c:pt idx="2">
                  <c:v>0.36309999999999998</c:v>
                </c:pt>
              </c:numCache>
            </c:numRef>
          </c:val>
          <c:extLst>
            <c:ext xmlns:c16="http://schemas.microsoft.com/office/drawing/2014/chart" uri="{C3380CC4-5D6E-409C-BE32-E72D297353CC}">
              <c16:uniqueId val="{00000001-CB3C-431B-9D11-C9BD72CBE7D1}"/>
            </c:ext>
          </c:extLst>
        </c:ser>
        <c:dLbls>
          <c:showLegendKey val="0"/>
          <c:showVal val="0"/>
          <c:showCatName val="0"/>
          <c:showSerName val="0"/>
          <c:showPercent val="0"/>
          <c:showBubbleSize val="0"/>
        </c:dLbls>
        <c:gapWidth val="182"/>
        <c:axId val="896268784"/>
        <c:axId val="896266624"/>
      </c:barChart>
      <c:catAx>
        <c:axId val="896268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96266624"/>
        <c:crosses val="autoZero"/>
        <c:auto val="1"/>
        <c:lblAlgn val="ctr"/>
        <c:lblOffset val="100"/>
        <c:noMultiLvlLbl val="0"/>
      </c:catAx>
      <c:valAx>
        <c:axId val="896266624"/>
        <c:scaling>
          <c:orientation val="minMax"/>
          <c:max val="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96268784"/>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'Figure 3'!$B$1</c:f>
              <c:strCache>
                <c:ptCount val="1"/>
                <c:pt idx="0">
                  <c:v>Permanent job (%)</c:v>
                </c:pt>
              </c:strCache>
            </c:strRef>
          </c:tx>
          <c:spPr>
            <a:solidFill>
              <a:srgbClr val="6B3B57"/>
            </a:solidFill>
            <a:ln>
              <a:noFill/>
            </a:ln>
            <a:effectLst/>
          </c:spPr>
          <c:invertIfNegative val="0"/>
          <c:cat>
            <c:strRef>
              <c:f>'Figure 3'!$A$2:$A$17</c:f>
              <c:strCache>
                <c:ptCount val="15"/>
                <c:pt idx="0">
                  <c:v>Others</c:v>
                </c:pt>
                <c:pt idx="1">
                  <c:v>Food, hospitality, and personal services </c:v>
                </c:pt>
                <c:pt idx="2">
                  <c:v>Creative arts </c:v>
                </c:pt>
                <c:pt idx="3">
                  <c:v>Society and culture </c:v>
                </c:pt>
                <c:pt idx="4">
                  <c:v>Law </c:v>
                </c:pt>
                <c:pt idx="5">
                  <c:v>Management and commerce </c:v>
                </c:pt>
                <c:pt idx="6">
                  <c:v>Education </c:v>
                </c:pt>
                <c:pt idx="7">
                  <c:v>Other health-related </c:v>
                </c:pt>
                <c:pt idx="8">
                  <c:v>Nursing </c:v>
                </c:pt>
                <c:pt idx="9">
                  <c:v>Medicine </c:v>
                </c:pt>
                <c:pt idx="10">
                  <c:v>Agriculture, environment, and related studies </c:v>
                </c:pt>
                <c:pt idx="11">
                  <c:v>Architecture and building </c:v>
                </c:pt>
                <c:pt idx="12">
                  <c:v>Engineering and related technologies </c:v>
                </c:pt>
                <c:pt idx="13">
                  <c:v>Information technology </c:v>
                </c:pt>
                <c:pt idx="14">
                  <c:v>Natural and physical sciences </c:v>
                </c:pt>
              </c:strCache>
            </c:strRef>
          </c:cat>
          <c:val>
            <c:numRef>
              <c:f>'Figure 3'!$B$2:$B$17</c:f>
              <c:numCache>
                <c:formatCode>0.00%</c:formatCode>
                <c:ptCount val="16"/>
                <c:pt idx="0" formatCode="0%">
                  <c:v>0.75</c:v>
                </c:pt>
                <c:pt idx="1">
                  <c:v>0.6774</c:v>
                </c:pt>
                <c:pt idx="2">
                  <c:v>0.49120000000000003</c:v>
                </c:pt>
                <c:pt idx="3">
                  <c:v>0.62270000000000003</c:v>
                </c:pt>
                <c:pt idx="4">
                  <c:v>0.63360000000000005</c:v>
                </c:pt>
                <c:pt idx="5">
                  <c:v>0.70820000000000005</c:v>
                </c:pt>
                <c:pt idx="6">
                  <c:v>0.69950000000000001</c:v>
                </c:pt>
                <c:pt idx="7">
                  <c:v>0.59789999999999999</c:v>
                </c:pt>
                <c:pt idx="8">
                  <c:v>0.75449999999999995</c:v>
                </c:pt>
                <c:pt idx="9">
                  <c:v>0.39639999999999997</c:v>
                </c:pt>
                <c:pt idx="10">
                  <c:v>0.50229999999999997</c:v>
                </c:pt>
                <c:pt idx="11">
                  <c:v>0.58450000000000002</c:v>
                </c:pt>
                <c:pt idx="12">
                  <c:v>0.73070000000000002</c:v>
                </c:pt>
                <c:pt idx="13">
                  <c:v>0.71679999999999999</c:v>
                </c:pt>
                <c:pt idx="14">
                  <c:v>0.6331</c:v>
                </c:pt>
              </c:numCache>
            </c:numRef>
          </c:val>
          <c:extLst>
            <c:ext xmlns:c16="http://schemas.microsoft.com/office/drawing/2014/chart" uri="{C3380CC4-5D6E-409C-BE32-E72D297353CC}">
              <c16:uniqueId val="{00000000-A25E-4FF3-BF38-C774682BB514}"/>
            </c:ext>
          </c:extLst>
        </c:ser>
        <c:dLbls>
          <c:showLegendKey val="0"/>
          <c:showVal val="0"/>
          <c:showCatName val="0"/>
          <c:showSerName val="0"/>
          <c:showPercent val="0"/>
          <c:showBubbleSize val="0"/>
        </c:dLbls>
        <c:gapWidth val="182"/>
        <c:axId val="722222832"/>
        <c:axId val="722224632"/>
      </c:barChart>
      <c:catAx>
        <c:axId val="722222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2224632"/>
        <c:crosses val="autoZero"/>
        <c:auto val="1"/>
        <c:lblAlgn val="ctr"/>
        <c:lblOffset val="100"/>
        <c:noMultiLvlLbl val="0"/>
      </c:catAx>
      <c:valAx>
        <c:axId val="7222246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2222832"/>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'Figure 4'!$B$1</c:f>
              <c:strCache>
                <c:ptCount val="1"/>
                <c:pt idx="0">
                  <c:v>Managerial or professional job (%)</c:v>
                </c:pt>
              </c:strCache>
            </c:strRef>
          </c:tx>
          <c:spPr>
            <a:solidFill>
              <a:srgbClr val="6B3B57"/>
            </a:solidFill>
            <a:ln>
              <a:noFill/>
            </a:ln>
            <a:effectLst/>
          </c:spPr>
          <c:invertIfNegative val="0"/>
          <c:cat>
            <c:strRef>
              <c:f>'Figure 4'!$A$2:$A$17</c:f>
              <c:strCache>
                <c:ptCount val="15"/>
                <c:pt idx="0">
                  <c:v>Others</c:v>
                </c:pt>
                <c:pt idx="1">
                  <c:v>Food, hospitality, and personal services </c:v>
                </c:pt>
                <c:pt idx="2">
                  <c:v>Creative arts </c:v>
                </c:pt>
                <c:pt idx="3">
                  <c:v>Society and culture </c:v>
                </c:pt>
                <c:pt idx="4">
                  <c:v>Law </c:v>
                </c:pt>
                <c:pt idx="5">
                  <c:v>Management and commerce </c:v>
                </c:pt>
                <c:pt idx="6">
                  <c:v>Education </c:v>
                </c:pt>
                <c:pt idx="7">
                  <c:v>Other health-related </c:v>
                </c:pt>
                <c:pt idx="8">
                  <c:v>Nursing </c:v>
                </c:pt>
                <c:pt idx="9">
                  <c:v>Medicine </c:v>
                </c:pt>
                <c:pt idx="10">
                  <c:v>Agriculture, environment, and related studies </c:v>
                </c:pt>
                <c:pt idx="11">
                  <c:v>Architecture and building </c:v>
                </c:pt>
                <c:pt idx="12">
                  <c:v>Engineering and related technologies </c:v>
                </c:pt>
                <c:pt idx="13">
                  <c:v>Information technology </c:v>
                </c:pt>
                <c:pt idx="14">
                  <c:v>Natural and physical sciences </c:v>
                </c:pt>
              </c:strCache>
            </c:strRef>
          </c:cat>
          <c:val>
            <c:numRef>
              <c:f>'Figure 4'!$B$2:$B$17</c:f>
              <c:numCache>
                <c:formatCode>0.00%</c:formatCode>
                <c:ptCount val="16"/>
                <c:pt idx="0">
                  <c:v>0.73529999999999995</c:v>
                </c:pt>
                <c:pt idx="1">
                  <c:v>0.3387</c:v>
                </c:pt>
                <c:pt idx="2">
                  <c:v>0.60399999999999998</c:v>
                </c:pt>
                <c:pt idx="3">
                  <c:v>0.66820000000000002</c:v>
                </c:pt>
                <c:pt idx="4">
                  <c:v>0.80179999999999996</c:v>
                </c:pt>
                <c:pt idx="5">
                  <c:v>0.72599999999999998</c:v>
                </c:pt>
                <c:pt idx="6">
                  <c:v>0.86870000000000003</c:v>
                </c:pt>
                <c:pt idx="7">
                  <c:v>0.81200000000000006</c:v>
                </c:pt>
                <c:pt idx="8">
                  <c:v>0.88700000000000001</c:v>
                </c:pt>
                <c:pt idx="9">
                  <c:v>0.91790000000000005</c:v>
                </c:pt>
                <c:pt idx="10">
                  <c:v>0.65439999999999998</c:v>
                </c:pt>
                <c:pt idx="11">
                  <c:v>0.78080000000000005</c:v>
                </c:pt>
                <c:pt idx="12">
                  <c:v>0.80640000000000001</c:v>
                </c:pt>
                <c:pt idx="13">
                  <c:v>0.79520000000000002</c:v>
                </c:pt>
                <c:pt idx="14">
                  <c:v>0.66349999999999998</c:v>
                </c:pt>
              </c:numCache>
            </c:numRef>
          </c:val>
          <c:extLst>
            <c:ext xmlns:c16="http://schemas.microsoft.com/office/drawing/2014/chart" uri="{C3380CC4-5D6E-409C-BE32-E72D297353CC}">
              <c16:uniqueId val="{00000000-42AC-40F1-B38C-3BF989B38F1B}"/>
            </c:ext>
          </c:extLst>
        </c:ser>
        <c:dLbls>
          <c:showLegendKey val="0"/>
          <c:showVal val="0"/>
          <c:showCatName val="0"/>
          <c:showSerName val="0"/>
          <c:showPercent val="0"/>
          <c:showBubbleSize val="0"/>
        </c:dLbls>
        <c:gapWidth val="182"/>
        <c:axId val="450564736"/>
        <c:axId val="450557896"/>
      </c:barChart>
      <c:catAx>
        <c:axId val="450564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0557896"/>
        <c:crosses val="autoZero"/>
        <c:auto val="1"/>
        <c:lblAlgn val="ctr"/>
        <c:lblOffset val="100"/>
        <c:noMultiLvlLbl val="0"/>
      </c:catAx>
      <c:valAx>
        <c:axId val="4505578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0564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'Figure 5'!$B$1</c:f>
              <c:strCache>
                <c:ptCount val="1"/>
                <c:pt idx="0">
                  <c:v>Weekly wages ($)</c:v>
                </c:pt>
              </c:strCache>
            </c:strRef>
          </c:tx>
          <c:spPr>
            <a:solidFill>
              <a:srgbClr val="6B3B57"/>
            </a:solidFill>
            <a:ln>
              <a:noFill/>
            </a:ln>
            <a:effectLst/>
          </c:spPr>
          <c:invertIfNegative val="0"/>
          <c:cat>
            <c:strRef>
              <c:f>'Figure 5'!$A$2:$A$16</c:f>
              <c:strCache>
                <c:ptCount val="15"/>
                <c:pt idx="0">
                  <c:v>Others</c:v>
                </c:pt>
                <c:pt idx="1">
                  <c:v>Food, hospitality, and personal services </c:v>
                </c:pt>
                <c:pt idx="2">
                  <c:v>Creative arts </c:v>
                </c:pt>
                <c:pt idx="3">
                  <c:v>Society and culture </c:v>
                </c:pt>
                <c:pt idx="4">
                  <c:v>Law </c:v>
                </c:pt>
                <c:pt idx="5">
                  <c:v>Management and commerce </c:v>
                </c:pt>
                <c:pt idx="6">
                  <c:v>Education </c:v>
                </c:pt>
                <c:pt idx="7">
                  <c:v>Other health-related </c:v>
                </c:pt>
                <c:pt idx="8">
                  <c:v>Nursing </c:v>
                </c:pt>
                <c:pt idx="9">
                  <c:v>Medicine </c:v>
                </c:pt>
                <c:pt idx="10">
                  <c:v>Agriculture, environment, and related studies </c:v>
                </c:pt>
                <c:pt idx="11">
                  <c:v>Architecture and building </c:v>
                </c:pt>
                <c:pt idx="12">
                  <c:v>Engineering and related technologies </c:v>
                </c:pt>
                <c:pt idx="13">
                  <c:v>Information technology </c:v>
                </c:pt>
                <c:pt idx="14">
                  <c:v>Natural and physical sciences </c:v>
                </c:pt>
              </c:strCache>
            </c:strRef>
          </c:cat>
          <c:val>
            <c:numRef>
              <c:f>'Figure 5'!$B$2:$B$16</c:f>
              <c:numCache>
                <c:formatCode>General</c:formatCode>
                <c:ptCount val="15"/>
                <c:pt idx="0">
                  <c:v>1541.0014000000001</c:v>
                </c:pt>
                <c:pt idx="1">
                  <c:v>1241.2864</c:v>
                </c:pt>
                <c:pt idx="2">
                  <c:v>1071.7472</c:v>
                </c:pt>
                <c:pt idx="3">
                  <c:v>1396.6304</c:v>
                </c:pt>
                <c:pt idx="4">
                  <c:v>1962.3638000000001</c:v>
                </c:pt>
                <c:pt idx="5">
                  <c:v>1923.6963000000001</c:v>
                </c:pt>
                <c:pt idx="6">
                  <c:v>1466.1179</c:v>
                </c:pt>
                <c:pt idx="7">
                  <c:v>1334.1606999999999</c:v>
                </c:pt>
                <c:pt idx="8">
                  <c:v>1413.2891999999999</c:v>
                </c:pt>
                <c:pt idx="9">
                  <c:v>2536.5970000000002</c:v>
                </c:pt>
                <c:pt idx="10">
                  <c:v>1312.2479000000001</c:v>
                </c:pt>
                <c:pt idx="11">
                  <c:v>1486.7035000000001</c:v>
                </c:pt>
                <c:pt idx="12">
                  <c:v>2139.0347000000002</c:v>
                </c:pt>
                <c:pt idx="13">
                  <c:v>1997.2288000000001</c:v>
                </c:pt>
                <c:pt idx="14">
                  <c:v>1553.9364</c:v>
                </c:pt>
              </c:numCache>
            </c:numRef>
          </c:val>
          <c:extLst>
            <c:ext xmlns:c16="http://schemas.microsoft.com/office/drawing/2014/chart" uri="{C3380CC4-5D6E-409C-BE32-E72D297353CC}">
              <c16:uniqueId val="{00000000-B62B-40B7-B15A-71ABBCA30F59}"/>
            </c:ext>
          </c:extLst>
        </c:ser>
        <c:dLbls>
          <c:showLegendKey val="0"/>
          <c:showVal val="0"/>
          <c:showCatName val="0"/>
          <c:showSerName val="0"/>
          <c:showPercent val="0"/>
          <c:showBubbleSize val="0"/>
        </c:dLbls>
        <c:gapWidth val="182"/>
        <c:axId val="801589648"/>
        <c:axId val="801587128"/>
      </c:barChart>
      <c:catAx>
        <c:axId val="801589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01587128"/>
        <c:crosses val="autoZero"/>
        <c:auto val="1"/>
        <c:lblAlgn val="ctr"/>
        <c:lblOffset val="100"/>
        <c:noMultiLvlLbl val="0"/>
      </c:catAx>
      <c:valAx>
        <c:axId val="801587128"/>
        <c:scaling>
          <c:orientation val="minMax"/>
          <c:max val="25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01589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'Figure 6'!$B$1</c:f>
              <c:strCache>
                <c:ptCount val="1"/>
                <c:pt idx="0">
                  <c:v>Job satisfaction</c:v>
                </c:pt>
              </c:strCache>
            </c:strRef>
          </c:tx>
          <c:spPr>
            <a:solidFill>
              <a:srgbClr val="6B3B57"/>
            </a:solidFill>
            <a:ln>
              <a:noFill/>
            </a:ln>
            <a:effectLst/>
          </c:spPr>
          <c:invertIfNegative val="0"/>
          <c:cat>
            <c:strRef>
              <c:f>'Figure 6'!$A$2:$A$16</c:f>
              <c:strCache>
                <c:ptCount val="15"/>
                <c:pt idx="0">
                  <c:v>Others</c:v>
                </c:pt>
                <c:pt idx="1">
                  <c:v>Food, hospitality, and personal services </c:v>
                </c:pt>
                <c:pt idx="2">
                  <c:v>Creative arts </c:v>
                </c:pt>
                <c:pt idx="3">
                  <c:v>Society and culture </c:v>
                </c:pt>
                <c:pt idx="4">
                  <c:v>Law </c:v>
                </c:pt>
                <c:pt idx="5">
                  <c:v>Management and commerce </c:v>
                </c:pt>
                <c:pt idx="6">
                  <c:v>Education </c:v>
                </c:pt>
                <c:pt idx="7">
                  <c:v>Other health-related </c:v>
                </c:pt>
                <c:pt idx="8">
                  <c:v>Nursing </c:v>
                </c:pt>
                <c:pt idx="9">
                  <c:v>Medicine </c:v>
                </c:pt>
                <c:pt idx="10">
                  <c:v>Agriculture, environment, and related studies </c:v>
                </c:pt>
                <c:pt idx="11">
                  <c:v>Architecture and building </c:v>
                </c:pt>
                <c:pt idx="12">
                  <c:v>Engineering and related technologies </c:v>
                </c:pt>
                <c:pt idx="13">
                  <c:v>Information technology </c:v>
                </c:pt>
                <c:pt idx="14">
                  <c:v>Natural and physical sciences </c:v>
                </c:pt>
              </c:strCache>
            </c:strRef>
          </c:cat>
          <c:val>
            <c:numRef>
              <c:f>'Figure 6'!$B$2:$B$16</c:f>
              <c:numCache>
                <c:formatCode>General</c:formatCode>
                <c:ptCount val="15"/>
                <c:pt idx="0">
                  <c:v>6.85</c:v>
                </c:pt>
                <c:pt idx="1">
                  <c:v>7.6</c:v>
                </c:pt>
                <c:pt idx="2">
                  <c:v>7.33</c:v>
                </c:pt>
                <c:pt idx="3">
                  <c:v>7.58</c:v>
                </c:pt>
                <c:pt idx="4">
                  <c:v>7.63</c:v>
                </c:pt>
                <c:pt idx="5">
                  <c:v>7.63</c:v>
                </c:pt>
                <c:pt idx="6">
                  <c:v>7.81</c:v>
                </c:pt>
                <c:pt idx="7">
                  <c:v>7.85</c:v>
                </c:pt>
                <c:pt idx="8">
                  <c:v>7.65</c:v>
                </c:pt>
                <c:pt idx="9">
                  <c:v>8.02</c:v>
                </c:pt>
                <c:pt idx="10">
                  <c:v>7.56</c:v>
                </c:pt>
                <c:pt idx="11">
                  <c:v>7.58</c:v>
                </c:pt>
                <c:pt idx="12">
                  <c:v>7.54</c:v>
                </c:pt>
                <c:pt idx="13">
                  <c:v>7.71</c:v>
                </c:pt>
                <c:pt idx="14">
                  <c:v>7.71</c:v>
                </c:pt>
              </c:numCache>
            </c:numRef>
          </c:val>
          <c:extLst>
            <c:ext xmlns:c16="http://schemas.microsoft.com/office/drawing/2014/chart" uri="{C3380CC4-5D6E-409C-BE32-E72D297353CC}">
              <c16:uniqueId val="{00000000-8985-456E-AE95-B4040B8D2D87}"/>
            </c:ext>
          </c:extLst>
        </c:ser>
        <c:dLbls>
          <c:showLegendKey val="0"/>
          <c:showVal val="0"/>
          <c:showCatName val="0"/>
          <c:showSerName val="0"/>
          <c:showPercent val="0"/>
          <c:showBubbleSize val="0"/>
        </c:dLbls>
        <c:gapWidth val="182"/>
        <c:axId val="723615288"/>
        <c:axId val="723610608"/>
      </c:barChart>
      <c:catAx>
        <c:axId val="723615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3610608"/>
        <c:crosses val="autoZero"/>
        <c:auto val="1"/>
        <c:lblAlgn val="ctr"/>
        <c:lblOffset val="100"/>
        <c:noMultiLvlLbl val="0"/>
      </c:catAx>
      <c:valAx>
        <c:axId val="723610608"/>
        <c:scaling>
          <c:orientation val="minMax"/>
          <c:max val="8"/>
          <c:min val="6"/>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3615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'Figure 1'!$C$2</c:f>
              <c:strCache>
                <c:ptCount val="1"/>
                <c:pt idx="0">
                  <c:v>Born in 1980 and later</c:v>
                </c:pt>
              </c:strCache>
            </c:strRef>
          </c:tx>
          <c:spPr>
            <a:solidFill>
              <a:srgbClr val="78DED9"/>
            </a:solidFill>
            <a:ln>
              <a:noFill/>
            </a:ln>
            <a:effectLst/>
          </c:spPr>
          <c:invertIfNegative val="0"/>
          <c:cat>
            <c:strRef>
              <c:f>'Figure 1'!$B$3:$B$17</c:f>
              <c:strCache>
                <c:ptCount val="15"/>
                <c:pt idx="0">
                  <c:v>Others </c:v>
                </c:pt>
                <c:pt idx="1">
                  <c:v>Food, hospitality, and personal services</c:v>
                </c:pt>
                <c:pt idx="2">
                  <c:v>Creative arts</c:v>
                </c:pt>
                <c:pt idx="3">
                  <c:v>Society and culture </c:v>
                </c:pt>
                <c:pt idx="4">
                  <c:v>Law </c:v>
                </c:pt>
                <c:pt idx="5">
                  <c:v>Management and commerce</c:v>
                </c:pt>
                <c:pt idx="6">
                  <c:v>Education </c:v>
                </c:pt>
                <c:pt idx="7">
                  <c:v>Other health-related </c:v>
                </c:pt>
                <c:pt idx="8">
                  <c:v>Nursing</c:v>
                </c:pt>
                <c:pt idx="9">
                  <c:v>Medicine</c:v>
                </c:pt>
                <c:pt idx="10">
                  <c:v>Agriculture, environment, and related studies </c:v>
                </c:pt>
                <c:pt idx="11">
                  <c:v>Architecture and building</c:v>
                </c:pt>
                <c:pt idx="12">
                  <c:v>Engineering and related technologies</c:v>
                </c:pt>
                <c:pt idx="13">
                  <c:v>Information technology</c:v>
                </c:pt>
                <c:pt idx="14">
                  <c:v>Natural and physical sciences</c:v>
                </c:pt>
              </c:strCache>
            </c:strRef>
          </c:cat>
          <c:val>
            <c:numRef>
              <c:f>'Figure 1'!$C$3:$C$17</c:f>
              <c:numCache>
                <c:formatCode>0.00%</c:formatCode>
                <c:ptCount val="15"/>
                <c:pt idx="0">
                  <c:v>8.0999999999999996E-3</c:v>
                </c:pt>
                <c:pt idx="1">
                  <c:v>6.8999999999999999E-3</c:v>
                </c:pt>
                <c:pt idx="2">
                  <c:v>7.0300000000000001E-2</c:v>
                </c:pt>
                <c:pt idx="3">
                  <c:v>0.12609999999999999</c:v>
                </c:pt>
                <c:pt idx="4">
                  <c:v>5.7500000000000002E-2</c:v>
                </c:pt>
                <c:pt idx="5">
                  <c:v>0.19980000000000001</c:v>
                </c:pt>
                <c:pt idx="6">
                  <c:v>0.1235</c:v>
                </c:pt>
                <c:pt idx="7">
                  <c:v>9.7799999999999998E-2</c:v>
                </c:pt>
                <c:pt idx="8">
                  <c:v>6.9000000000000006E-2</c:v>
                </c:pt>
                <c:pt idx="9">
                  <c:v>2.7400000000000001E-2</c:v>
                </c:pt>
                <c:pt idx="10">
                  <c:v>2.1399999999999999E-2</c:v>
                </c:pt>
                <c:pt idx="11">
                  <c:v>2.4400000000000002E-2</c:v>
                </c:pt>
                <c:pt idx="12">
                  <c:v>6.8199999999999997E-2</c:v>
                </c:pt>
                <c:pt idx="13">
                  <c:v>4.7199999999999999E-2</c:v>
                </c:pt>
                <c:pt idx="14">
                  <c:v>5.2299999999999999E-2</c:v>
                </c:pt>
              </c:numCache>
            </c:numRef>
          </c:val>
          <c:extLst>
            <c:ext xmlns:c16="http://schemas.microsoft.com/office/drawing/2014/chart" uri="{C3380CC4-5D6E-409C-BE32-E72D297353CC}">
              <c16:uniqueId val="{00000000-CFF0-49BB-8A46-C06A11CB7984}"/>
            </c:ext>
          </c:extLst>
        </c:ser>
        <c:ser>
          <c:idx val="1"/>
          <c:order val="1"/>
          <c:tx>
            <c:strRef>
              <c:f>'Figure 1'!$D$2</c:f>
              <c:strCache>
                <c:ptCount val="1"/>
                <c:pt idx="0">
                  <c:v>Born before 1980 </c:v>
                </c:pt>
              </c:strCache>
            </c:strRef>
          </c:tx>
          <c:spPr>
            <a:solidFill>
              <a:srgbClr val="FCAB63"/>
            </a:solidFill>
            <a:ln>
              <a:noFill/>
            </a:ln>
            <a:effectLst/>
          </c:spPr>
          <c:invertIfNegative val="0"/>
          <c:cat>
            <c:strRef>
              <c:f>'Figure 1'!$B$3:$B$17</c:f>
              <c:strCache>
                <c:ptCount val="15"/>
                <c:pt idx="0">
                  <c:v>Others </c:v>
                </c:pt>
                <c:pt idx="1">
                  <c:v>Food, hospitality, and personal services</c:v>
                </c:pt>
                <c:pt idx="2">
                  <c:v>Creative arts</c:v>
                </c:pt>
                <c:pt idx="3">
                  <c:v>Society and culture </c:v>
                </c:pt>
                <c:pt idx="4">
                  <c:v>Law </c:v>
                </c:pt>
                <c:pt idx="5">
                  <c:v>Management and commerce</c:v>
                </c:pt>
                <c:pt idx="6">
                  <c:v>Education </c:v>
                </c:pt>
                <c:pt idx="7">
                  <c:v>Other health-related </c:v>
                </c:pt>
                <c:pt idx="8">
                  <c:v>Nursing</c:v>
                </c:pt>
                <c:pt idx="9">
                  <c:v>Medicine</c:v>
                </c:pt>
                <c:pt idx="10">
                  <c:v>Agriculture, environment, and related studies </c:v>
                </c:pt>
                <c:pt idx="11">
                  <c:v>Architecture and building</c:v>
                </c:pt>
                <c:pt idx="12">
                  <c:v>Engineering and related technologies</c:v>
                </c:pt>
                <c:pt idx="13">
                  <c:v>Information technology</c:v>
                </c:pt>
                <c:pt idx="14">
                  <c:v>Natural and physical sciences</c:v>
                </c:pt>
              </c:strCache>
            </c:strRef>
          </c:cat>
          <c:val>
            <c:numRef>
              <c:f>'Figure 1'!$D$3:$D$17</c:f>
              <c:numCache>
                <c:formatCode>0.00%</c:formatCode>
                <c:ptCount val="15"/>
                <c:pt idx="0">
                  <c:v>2.7000000000000001E-3</c:v>
                </c:pt>
                <c:pt idx="1">
                  <c:v>6.6E-3</c:v>
                </c:pt>
                <c:pt idx="2">
                  <c:v>3.49E-2</c:v>
                </c:pt>
                <c:pt idx="3">
                  <c:v>0.1439</c:v>
                </c:pt>
                <c:pt idx="4">
                  <c:v>3.5700000000000003E-2</c:v>
                </c:pt>
                <c:pt idx="5">
                  <c:v>0.20480000000000001</c:v>
                </c:pt>
                <c:pt idx="6">
                  <c:v>0.1784</c:v>
                </c:pt>
                <c:pt idx="7">
                  <c:v>6.0900000000000003E-2</c:v>
                </c:pt>
                <c:pt idx="8">
                  <c:v>8.6099999999999996E-2</c:v>
                </c:pt>
                <c:pt idx="9">
                  <c:v>2.7900000000000001E-2</c:v>
                </c:pt>
                <c:pt idx="10">
                  <c:v>2.1700000000000001E-2</c:v>
                </c:pt>
                <c:pt idx="11">
                  <c:v>2.0899999999999998E-2</c:v>
                </c:pt>
                <c:pt idx="12">
                  <c:v>7.1400000000000005E-2</c:v>
                </c:pt>
                <c:pt idx="13">
                  <c:v>4.4999999999999998E-2</c:v>
                </c:pt>
                <c:pt idx="14">
                  <c:v>5.8999999999999997E-2</c:v>
                </c:pt>
              </c:numCache>
            </c:numRef>
          </c:val>
          <c:extLst>
            <c:ext xmlns:c16="http://schemas.microsoft.com/office/drawing/2014/chart" uri="{C3380CC4-5D6E-409C-BE32-E72D297353CC}">
              <c16:uniqueId val="{00000001-CFF0-49BB-8A46-C06A11CB7984}"/>
            </c:ext>
          </c:extLst>
        </c:ser>
        <c:ser>
          <c:idx val="2"/>
          <c:order val="2"/>
          <c:tx>
            <c:strRef>
              <c:f>'Figure 1'!$E$2</c:f>
              <c:strCache>
                <c:ptCount val="1"/>
                <c:pt idx="0">
                  <c:v>All</c:v>
                </c:pt>
              </c:strCache>
            </c:strRef>
          </c:tx>
          <c:spPr>
            <a:solidFill>
              <a:srgbClr val="6B3B57"/>
            </a:solidFill>
            <a:ln>
              <a:noFill/>
            </a:ln>
            <a:effectLst/>
          </c:spPr>
          <c:invertIfNegative val="0"/>
          <c:cat>
            <c:strRef>
              <c:f>'Figure 1'!$B$3:$B$17</c:f>
              <c:strCache>
                <c:ptCount val="15"/>
                <c:pt idx="0">
                  <c:v>Others </c:v>
                </c:pt>
                <c:pt idx="1">
                  <c:v>Food, hospitality, and personal services</c:v>
                </c:pt>
                <c:pt idx="2">
                  <c:v>Creative arts</c:v>
                </c:pt>
                <c:pt idx="3">
                  <c:v>Society and culture </c:v>
                </c:pt>
                <c:pt idx="4">
                  <c:v>Law </c:v>
                </c:pt>
                <c:pt idx="5">
                  <c:v>Management and commerce</c:v>
                </c:pt>
                <c:pt idx="6">
                  <c:v>Education </c:v>
                </c:pt>
                <c:pt idx="7">
                  <c:v>Other health-related </c:v>
                </c:pt>
                <c:pt idx="8">
                  <c:v>Nursing</c:v>
                </c:pt>
                <c:pt idx="9">
                  <c:v>Medicine</c:v>
                </c:pt>
                <c:pt idx="10">
                  <c:v>Agriculture, environment, and related studies </c:v>
                </c:pt>
                <c:pt idx="11">
                  <c:v>Architecture and building</c:v>
                </c:pt>
                <c:pt idx="12">
                  <c:v>Engineering and related technologies</c:v>
                </c:pt>
                <c:pt idx="13">
                  <c:v>Information technology</c:v>
                </c:pt>
                <c:pt idx="14">
                  <c:v>Natural and physical sciences</c:v>
                </c:pt>
              </c:strCache>
            </c:strRef>
          </c:cat>
          <c:val>
            <c:numRef>
              <c:f>'Figure 1'!$E$3:$E$17</c:f>
              <c:numCache>
                <c:formatCode>0.00%</c:formatCode>
                <c:ptCount val="15"/>
                <c:pt idx="0">
                  <c:v>5.3E-3</c:v>
                </c:pt>
                <c:pt idx="1">
                  <c:v>6.7000000000000002E-3</c:v>
                </c:pt>
                <c:pt idx="2">
                  <c:v>5.1700000000000003E-2</c:v>
                </c:pt>
                <c:pt idx="3">
                  <c:v>0.13539999999999999</c:v>
                </c:pt>
                <c:pt idx="4">
                  <c:v>4.5999999999999999E-2</c:v>
                </c:pt>
                <c:pt idx="5">
                  <c:v>0.2024</c:v>
                </c:pt>
                <c:pt idx="6">
                  <c:v>0.15229999999999999</c:v>
                </c:pt>
                <c:pt idx="7">
                  <c:v>7.8399999999999997E-2</c:v>
                </c:pt>
                <c:pt idx="8">
                  <c:v>7.8E-2</c:v>
                </c:pt>
                <c:pt idx="9">
                  <c:v>2.7699999999999999E-2</c:v>
                </c:pt>
                <c:pt idx="10">
                  <c:v>2.1600000000000001E-2</c:v>
                </c:pt>
                <c:pt idx="11">
                  <c:v>2.2599999999999999E-2</c:v>
                </c:pt>
                <c:pt idx="12">
                  <c:v>6.9900000000000004E-2</c:v>
                </c:pt>
                <c:pt idx="13">
                  <c:v>4.5999999999999999E-2</c:v>
                </c:pt>
                <c:pt idx="14">
                  <c:v>5.5800000000000002E-2</c:v>
                </c:pt>
              </c:numCache>
            </c:numRef>
          </c:val>
          <c:extLst>
            <c:ext xmlns:c16="http://schemas.microsoft.com/office/drawing/2014/chart" uri="{C3380CC4-5D6E-409C-BE32-E72D297353CC}">
              <c16:uniqueId val="{00000002-CFF0-49BB-8A46-C06A11CB7984}"/>
            </c:ext>
          </c:extLst>
        </c:ser>
        <c:dLbls>
          <c:showLegendKey val="0"/>
          <c:showVal val="0"/>
          <c:showCatName val="0"/>
          <c:showSerName val="0"/>
          <c:showPercent val="0"/>
          <c:showBubbleSize val="0"/>
        </c:dLbls>
        <c:gapWidth val="182"/>
        <c:axId val="896264464"/>
        <c:axId val="896265544"/>
      </c:barChart>
      <c:catAx>
        <c:axId val="896264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96265544"/>
        <c:crosses val="autoZero"/>
        <c:auto val="1"/>
        <c:lblAlgn val="ctr"/>
        <c:lblOffset val="100"/>
        <c:noMultiLvlLbl val="0"/>
      </c:catAx>
      <c:valAx>
        <c:axId val="8962655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96264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00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rPr>
              <a:t>Indigenous origin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'Figure 7'!$B$3</c:f>
              <c:strCache>
                <c:ptCount val="1"/>
                <c:pt idx="0">
                  <c:v>No</c:v>
                </c:pt>
              </c:strCache>
            </c:strRef>
          </c:tx>
          <c:spPr>
            <a:solidFill>
              <a:srgbClr val="6B3B57"/>
            </a:solidFill>
            <a:ln>
              <a:noFill/>
            </a:ln>
            <a:effectLst/>
          </c:spPr>
          <c:invertIfNegative val="0"/>
          <c:cat>
            <c:strRef>
              <c:f>'Figure 7'!$A$4:$A$6</c:f>
              <c:strCache>
                <c:ptCount val="3"/>
                <c:pt idx="0">
                  <c:v>Low-paying </c:v>
                </c:pt>
                <c:pt idx="1">
                  <c:v>Middle-paying </c:v>
                </c:pt>
                <c:pt idx="2">
                  <c:v>High-paying </c:v>
                </c:pt>
              </c:strCache>
            </c:strRef>
          </c:cat>
          <c:val>
            <c:numRef>
              <c:f>'Figure 7'!$B$4:$B$6</c:f>
              <c:numCache>
                <c:formatCode>0.00%</c:formatCode>
                <c:ptCount val="3"/>
                <c:pt idx="0">
                  <c:v>0.29370000000000002</c:v>
                </c:pt>
                <c:pt idx="1">
                  <c:v>0.31330000000000002</c:v>
                </c:pt>
                <c:pt idx="2">
                  <c:v>0.39300000000000002</c:v>
                </c:pt>
              </c:numCache>
            </c:numRef>
          </c:val>
          <c:extLst>
            <c:ext xmlns:c16="http://schemas.microsoft.com/office/drawing/2014/chart" uri="{C3380CC4-5D6E-409C-BE32-E72D297353CC}">
              <c16:uniqueId val="{00000000-B8A1-4019-8F52-15E5CAE98F79}"/>
            </c:ext>
          </c:extLst>
        </c:ser>
        <c:ser>
          <c:idx val="1"/>
          <c:order val="1"/>
          <c:tx>
            <c:strRef>
              <c:f>'Figure 7'!$C$3</c:f>
              <c:strCache>
                <c:ptCount val="1"/>
                <c:pt idx="0">
                  <c:v>Yes</c:v>
                </c:pt>
              </c:strCache>
            </c:strRef>
          </c:tx>
          <c:spPr>
            <a:solidFill>
              <a:srgbClr val="FCAB63"/>
            </a:solidFill>
            <a:ln>
              <a:noFill/>
            </a:ln>
            <a:effectLst/>
          </c:spPr>
          <c:invertIfNegative val="0"/>
          <c:cat>
            <c:strRef>
              <c:f>'Figure 7'!$A$4:$A$6</c:f>
              <c:strCache>
                <c:ptCount val="3"/>
                <c:pt idx="0">
                  <c:v>Low-paying </c:v>
                </c:pt>
                <c:pt idx="1">
                  <c:v>Middle-paying </c:v>
                </c:pt>
                <c:pt idx="2">
                  <c:v>High-paying </c:v>
                </c:pt>
              </c:strCache>
            </c:strRef>
          </c:cat>
          <c:val>
            <c:numRef>
              <c:f>'Figure 7'!$C$4:$C$6</c:f>
              <c:numCache>
                <c:formatCode>0.00%</c:formatCode>
                <c:ptCount val="3"/>
                <c:pt idx="0">
                  <c:v>0.30909999999999999</c:v>
                </c:pt>
                <c:pt idx="1">
                  <c:v>0.38179999999999997</c:v>
                </c:pt>
                <c:pt idx="2">
                  <c:v>0.30909999999999999</c:v>
                </c:pt>
              </c:numCache>
            </c:numRef>
          </c:val>
          <c:extLst>
            <c:ext xmlns:c16="http://schemas.microsoft.com/office/drawing/2014/chart" uri="{C3380CC4-5D6E-409C-BE32-E72D297353CC}">
              <c16:uniqueId val="{00000001-B8A1-4019-8F52-15E5CAE98F79}"/>
            </c:ext>
          </c:extLst>
        </c:ser>
        <c:dLbls>
          <c:showLegendKey val="0"/>
          <c:showVal val="0"/>
          <c:showCatName val="0"/>
          <c:showSerName val="0"/>
          <c:showPercent val="0"/>
          <c:showBubbleSize val="0"/>
        </c:dLbls>
        <c:gapWidth val="182"/>
        <c:axId val="991372328"/>
        <c:axId val="991369088"/>
      </c:barChart>
      <c:catAx>
        <c:axId val="991372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91369088"/>
        <c:crosses val="autoZero"/>
        <c:auto val="1"/>
        <c:lblAlgn val="ctr"/>
        <c:lblOffset val="100"/>
        <c:noMultiLvlLbl val="0"/>
      </c:catAx>
      <c:valAx>
        <c:axId val="991369088"/>
        <c:scaling>
          <c:orientation val="minMax"/>
          <c:max val="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91372328"/>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000">
                <a:latin typeface="Arial" panose="020B0604020202020204" pitchFamily="34" charset="0"/>
                <a:cs typeface="Arial" panose="020B0604020202020204" pitchFamily="34" charset="0"/>
              </a:rPr>
              <a:t>NESB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'Figure 8'!$B$4</c:f>
              <c:strCache>
                <c:ptCount val="1"/>
                <c:pt idx="0">
                  <c:v>No</c:v>
                </c:pt>
              </c:strCache>
            </c:strRef>
          </c:tx>
          <c:spPr>
            <a:solidFill>
              <a:srgbClr val="6B3B57"/>
            </a:solidFill>
            <a:ln>
              <a:noFill/>
            </a:ln>
            <a:effectLst/>
          </c:spPr>
          <c:invertIfNegative val="0"/>
          <c:cat>
            <c:strRef>
              <c:f>'Figure 8'!$A$5:$A$7</c:f>
              <c:strCache>
                <c:ptCount val="3"/>
                <c:pt idx="0">
                  <c:v>Low-paying </c:v>
                </c:pt>
                <c:pt idx="1">
                  <c:v>Middle-paying </c:v>
                </c:pt>
                <c:pt idx="2">
                  <c:v>High-paying </c:v>
                </c:pt>
              </c:strCache>
            </c:strRef>
          </c:cat>
          <c:val>
            <c:numRef>
              <c:f>'Figure 8'!$B$5:$B$7</c:f>
              <c:numCache>
                <c:formatCode>0.00%</c:formatCode>
                <c:ptCount val="3"/>
                <c:pt idx="0">
                  <c:v>0.30620000000000003</c:v>
                </c:pt>
                <c:pt idx="1">
                  <c:v>0.33329999999999999</c:v>
                </c:pt>
                <c:pt idx="2">
                  <c:v>0.3604</c:v>
                </c:pt>
              </c:numCache>
            </c:numRef>
          </c:val>
          <c:extLst>
            <c:ext xmlns:c16="http://schemas.microsoft.com/office/drawing/2014/chart" uri="{C3380CC4-5D6E-409C-BE32-E72D297353CC}">
              <c16:uniqueId val="{00000000-C484-4FD3-A3F8-6C9ABAAF2714}"/>
            </c:ext>
          </c:extLst>
        </c:ser>
        <c:ser>
          <c:idx val="1"/>
          <c:order val="1"/>
          <c:tx>
            <c:strRef>
              <c:f>'Figure 8'!$C$4</c:f>
              <c:strCache>
                <c:ptCount val="1"/>
                <c:pt idx="0">
                  <c:v>Yes</c:v>
                </c:pt>
              </c:strCache>
            </c:strRef>
          </c:tx>
          <c:spPr>
            <a:solidFill>
              <a:srgbClr val="FCAB63"/>
            </a:solidFill>
            <a:ln>
              <a:noFill/>
            </a:ln>
            <a:effectLst/>
          </c:spPr>
          <c:invertIfNegative val="0"/>
          <c:cat>
            <c:strRef>
              <c:f>'Figure 8'!$A$5:$A$7</c:f>
              <c:strCache>
                <c:ptCount val="3"/>
                <c:pt idx="0">
                  <c:v>Low-paying </c:v>
                </c:pt>
                <c:pt idx="1">
                  <c:v>Middle-paying </c:v>
                </c:pt>
                <c:pt idx="2">
                  <c:v>High-paying </c:v>
                </c:pt>
              </c:strCache>
            </c:strRef>
          </c:cat>
          <c:val>
            <c:numRef>
              <c:f>'Figure 8'!$C$5:$C$7</c:f>
              <c:numCache>
                <c:formatCode>0.00%</c:formatCode>
                <c:ptCount val="3"/>
                <c:pt idx="0">
                  <c:v>0.22020000000000001</c:v>
                </c:pt>
                <c:pt idx="1">
                  <c:v>0.19889999999999999</c:v>
                </c:pt>
                <c:pt idx="2">
                  <c:v>0.58099999999999996</c:v>
                </c:pt>
              </c:numCache>
            </c:numRef>
          </c:val>
          <c:extLst>
            <c:ext xmlns:c16="http://schemas.microsoft.com/office/drawing/2014/chart" uri="{C3380CC4-5D6E-409C-BE32-E72D297353CC}">
              <c16:uniqueId val="{00000001-C484-4FD3-A3F8-6C9ABAAF2714}"/>
            </c:ext>
          </c:extLst>
        </c:ser>
        <c:dLbls>
          <c:showLegendKey val="0"/>
          <c:showVal val="0"/>
          <c:showCatName val="0"/>
          <c:showSerName val="0"/>
          <c:showPercent val="0"/>
          <c:showBubbleSize val="0"/>
        </c:dLbls>
        <c:gapWidth val="182"/>
        <c:axId val="581548320"/>
        <c:axId val="581546520"/>
      </c:barChart>
      <c:catAx>
        <c:axId val="581548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81546520"/>
        <c:crosses val="autoZero"/>
        <c:auto val="1"/>
        <c:lblAlgn val="ctr"/>
        <c:lblOffset val="100"/>
        <c:noMultiLvlLbl val="0"/>
      </c:catAx>
      <c:valAx>
        <c:axId val="581546520"/>
        <c:scaling>
          <c:orientation val="minMax"/>
          <c:max val="0.60000000000000009"/>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81548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000">
                <a:latin typeface="Arial" panose="020B0604020202020204" pitchFamily="34" charset="0"/>
                <a:cs typeface="Arial" panose="020B0604020202020204" pitchFamily="34" charset="0"/>
              </a:rPr>
              <a:t>Low SES in childhood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'Figure 9'!$B$3</c:f>
              <c:strCache>
                <c:ptCount val="1"/>
                <c:pt idx="0">
                  <c:v>No</c:v>
                </c:pt>
              </c:strCache>
            </c:strRef>
          </c:tx>
          <c:spPr>
            <a:solidFill>
              <a:srgbClr val="6B3B57"/>
            </a:solidFill>
            <a:ln>
              <a:noFill/>
            </a:ln>
            <a:effectLst/>
          </c:spPr>
          <c:invertIfNegative val="0"/>
          <c:cat>
            <c:strRef>
              <c:f>'Figure 9'!$A$4:$A$6</c:f>
              <c:strCache>
                <c:ptCount val="3"/>
                <c:pt idx="0">
                  <c:v>Low-paying </c:v>
                </c:pt>
                <c:pt idx="1">
                  <c:v>Middle-paying </c:v>
                </c:pt>
                <c:pt idx="2">
                  <c:v>High-paying </c:v>
                </c:pt>
              </c:strCache>
            </c:strRef>
          </c:cat>
          <c:val>
            <c:numRef>
              <c:f>'Figure 9'!$B$4:$B$6</c:f>
              <c:numCache>
                <c:formatCode>0.00%</c:formatCode>
                <c:ptCount val="3"/>
                <c:pt idx="0">
                  <c:v>0.30049999999999999</c:v>
                </c:pt>
                <c:pt idx="1">
                  <c:v>0.29930000000000001</c:v>
                </c:pt>
                <c:pt idx="2">
                  <c:v>0.4002</c:v>
                </c:pt>
              </c:numCache>
            </c:numRef>
          </c:val>
          <c:extLst>
            <c:ext xmlns:c16="http://schemas.microsoft.com/office/drawing/2014/chart" uri="{C3380CC4-5D6E-409C-BE32-E72D297353CC}">
              <c16:uniqueId val="{00000000-A819-4853-A4CC-B1E919B60F6A}"/>
            </c:ext>
          </c:extLst>
        </c:ser>
        <c:ser>
          <c:idx val="1"/>
          <c:order val="1"/>
          <c:tx>
            <c:strRef>
              <c:f>'Figure 9'!$C$3</c:f>
              <c:strCache>
                <c:ptCount val="1"/>
                <c:pt idx="0">
                  <c:v>Yes</c:v>
                </c:pt>
              </c:strCache>
            </c:strRef>
          </c:tx>
          <c:spPr>
            <a:solidFill>
              <a:srgbClr val="FCAB63"/>
            </a:solidFill>
            <a:ln>
              <a:noFill/>
            </a:ln>
            <a:effectLst/>
          </c:spPr>
          <c:invertIfNegative val="0"/>
          <c:cat>
            <c:strRef>
              <c:f>'Figure 9'!$A$4:$A$6</c:f>
              <c:strCache>
                <c:ptCount val="3"/>
                <c:pt idx="0">
                  <c:v>Low-paying </c:v>
                </c:pt>
                <c:pt idx="1">
                  <c:v>Middle-paying </c:v>
                </c:pt>
                <c:pt idx="2">
                  <c:v>High-paying </c:v>
                </c:pt>
              </c:strCache>
            </c:strRef>
          </c:cat>
          <c:val>
            <c:numRef>
              <c:f>'Figure 9'!$C$4:$C$6</c:f>
              <c:numCache>
                <c:formatCode>0.00%</c:formatCode>
                <c:ptCount val="3"/>
                <c:pt idx="0">
                  <c:v>0.28079999999999999</c:v>
                </c:pt>
                <c:pt idx="1">
                  <c:v>0.34320000000000001</c:v>
                </c:pt>
                <c:pt idx="2">
                  <c:v>0.376</c:v>
                </c:pt>
              </c:numCache>
            </c:numRef>
          </c:val>
          <c:extLst>
            <c:ext xmlns:c16="http://schemas.microsoft.com/office/drawing/2014/chart" uri="{C3380CC4-5D6E-409C-BE32-E72D297353CC}">
              <c16:uniqueId val="{00000001-A819-4853-A4CC-B1E919B60F6A}"/>
            </c:ext>
          </c:extLst>
        </c:ser>
        <c:dLbls>
          <c:showLegendKey val="0"/>
          <c:showVal val="0"/>
          <c:showCatName val="0"/>
          <c:showSerName val="0"/>
          <c:showPercent val="0"/>
          <c:showBubbleSize val="0"/>
        </c:dLbls>
        <c:gapWidth val="182"/>
        <c:axId val="68753536"/>
        <c:axId val="68754616"/>
      </c:barChart>
      <c:catAx>
        <c:axId val="68753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754616"/>
        <c:crosses val="autoZero"/>
        <c:auto val="1"/>
        <c:lblAlgn val="ctr"/>
        <c:lblOffset val="100"/>
        <c:noMultiLvlLbl val="0"/>
      </c:catAx>
      <c:valAx>
        <c:axId val="68754616"/>
        <c:scaling>
          <c:orientation val="minMax"/>
          <c:max val="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753536"/>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ACSES brand colours and font">
  <a:themeElements>
    <a:clrScheme name="ACSES">
      <a:dk1>
        <a:srgbClr val="351C26"/>
      </a:dk1>
      <a:lt1>
        <a:srgbClr val="EDE8E0"/>
      </a:lt1>
      <a:dk2>
        <a:srgbClr val="351C26"/>
      </a:dk2>
      <a:lt2>
        <a:srgbClr val="EDE8E0"/>
      </a:lt2>
      <a:accent1>
        <a:srgbClr val="78DED9"/>
      </a:accent1>
      <a:accent2>
        <a:srgbClr val="6B3B57"/>
      </a:accent2>
      <a:accent3>
        <a:srgbClr val="FCAB63"/>
      </a:accent3>
      <a:accent4>
        <a:srgbClr val="D6D4D1"/>
      </a:accent4>
      <a:accent5>
        <a:srgbClr val="FCAB63"/>
      </a:accent5>
      <a:accent6>
        <a:srgbClr val="A8E3E0"/>
      </a:accent6>
      <a:hlink>
        <a:srgbClr val="73D1CC"/>
      </a:hlink>
      <a:folHlink>
        <a:srgbClr val="FCBF86"/>
      </a:folHlink>
    </a:clrScheme>
    <a:fontScheme name="ACSES Inter">
      <a:majorFont>
        <a:latin typeface="Inter Medium"/>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ACSES brand colours and font" id="{82D6DADB-4845-4A67-A33F-C81034E00A4B}" vid="{4D836865-521A-4B06-9379-4ACBF43542ED}"/>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FABCB-6D03-4106-A0B1-5A146B122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ACSES Small Grants Report_Zhu and Gong</Template>
  <TotalTime>95</TotalTime>
  <Pages>53</Pages>
  <Words>15205</Words>
  <Characters>97101</Characters>
  <Application>Microsoft Office Word</Application>
  <DocSecurity>0</DocSecurity>
  <Lines>2427</Lines>
  <Paragraphs>1336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Rong Zhu</dc:creator>
  <cp:keywords/>
  <dc:description/>
  <cp:lastModifiedBy>Anna Will</cp:lastModifiedBy>
  <cp:revision>6</cp:revision>
  <cp:lastPrinted>2025-09-09T04:58:00Z</cp:lastPrinted>
  <dcterms:created xsi:type="dcterms:W3CDTF">2026-03-10T02:52:00Z</dcterms:created>
  <dcterms:modified xsi:type="dcterms:W3CDTF">2026-03-10T04:32:00Z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a93f9fbf445aec91086ac0e70420023536c72e216bcddb8cd95862fab7ecb880</vt:lpwstr>
  </property>
  <property fmtid="{D5CDD505-2E9C-101B-9397-08002B2CF9AE}" pid="3" name="MSIP_Label_bf6fef03-d487-4433-8e43-6b81c0a1b7be_Enabled">
    <vt:lpwstr>true</vt:lpwstr>
  </property>
  <property fmtid="{D5CDD505-2E9C-101B-9397-08002B2CF9AE}" pid="4" name="MSIP_Label_bf6fef03-d487-4433-8e43-6b81c0a1b7be_SetDate">
    <vt:lpwstr>2025-02-17T01:50:26Z</vt:lpwstr>
  </property>
  <property fmtid="{D5CDD505-2E9C-101B-9397-08002B2CF9AE}" pid="5" name="MSIP_Label_bf6fef03-d487-4433-8e43-6b81c0a1b7be_Method">
    <vt:lpwstr>Standard</vt:lpwstr>
  </property>
  <property fmtid="{D5CDD505-2E9C-101B-9397-08002B2CF9AE}" pid="6" name="MSIP_Label_bf6fef03-d487-4433-8e43-6b81c0a1b7be_Name">
    <vt:lpwstr>Unclassified</vt:lpwstr>
  </property>
  <property fmtid="{D5CDD505-2E9C-101B-9397-08002B2CF9AE}" pid="7" name="MSIP_Label_bf6fef03-d487-4433-8e43-6b81c0a1b7be_SiteId">
    <vt:lpwstr>1daf5147-a543-4707-a2fb-2acf0b2a3936</vt:lpwstr>
  </property>
  <property fmtid="{D5CDD505-2E9C-101B-9397-08002B2CF9AE}" pid="8" name="MSIP_Label_bf6fef03-d487-4433-8e43-6b81c0a1b7be_ActionId">
    <vt:lpwstr>7a70a9b2-d866-4092-a761-d3d00b2c0d5b</vt:lpwstr>
  </property>
  <property fmtid="{D5CDD505-2E9C-101B-9397-08002B2CF9AE}" pid="9" name="MSIP_Label_bf6fef03-d487-4433-8e43-6b81c0a1b7be_ContentBits">
    <vt:lpwstr>0</vt:lpwstr>
  </property>
  <property fmtid="{D5CDD505-2E9C-101B-9397-08002B2CF9AE}" pid="10" name="MSIP_Label_bf6fef03-d487-4433-8e43-6b81c0a1b7be_Tag">
    <vt:lpwstr>10, 3, 0, 1</vt:lpwstr>
  </property>
</Properties>
</file>