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7A51" w14:textId="5796B135" w:rsidR="00D90A60" w:rsidRPr="00D90A60" w:rsidRDefault="00D90A60" w:rsidP="00D90A60">
      <w:pPr>
        <w:pStyle w:val="Programtitle"/>
      </w:pPr>
      <w:r w:rsidRPr="00D90A60">
        <w:rPr>
          <w:noProof/>
        </w:rPr>
        <w:drawing>
          <wp:anchor distT="0" distB="0" distL="114300" distR="114300" simplePos="0" relativeHeight="251658240" behindDoc="1" locked="0" layoutInCell="1" allowOverlap="1" wp14:anchorId="44E6074E" wp14:editId="207FDC84">
            <wp:simplePos x="0" y="0"/>
            <wp:positionH relativeFrom="column">
              <wp:posOffset>-504190</wp:posOffset>
            </wp:positionH>
            <wp:positionV relativeFrom="paragraph">
              <wp:posOffset>-504190</wp:posOffset>
            </wp:positionV>
            <wp:extent cx="7557770" cy="10690225"/>
            <wp:effectExtent l="0" t="0" r="5080" b="0"/>
            <wp:wrapNone/>
            <wp:doc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and Curtin University log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6182" name="Picture 3" descr="A picture used as the background for the cover page. Mostly solid orange, but with two dark burgundy lines going across the page. At the bottom of the page are three additional coloured bars. The top bar includes the words &quot;Universities For All&quot; and &quot;acses.edu.au&quot;. Below that is a white bar that includes the ACSES and Curtin University logos. "/>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770" cy="10690225"/>
                    </a:xfrm>
                    <a:prstGeom prst="rect">
                      <a:avLst/>
                    </a:prstGeom>
                  </pic:spPr>
                </pic:pic>
              </a:graphicData>
            </a:graphic>
            <wp14:sizeRelH relativeFrom="page">
              <wp14:pctWidth>0</wp14:pctWidth>
            </wp14:sizeRelH>
            <wp14:sizeRelV relativeFrom="page">
              <wp14:pctHeight>0</wp14:pctHeight>
            </wp14:sizeRelV>
          </wp:anchor>
        </w:drawing>
      </w:r>
      <w:r w:rsidRPr="00D90A60">
        <w:t>SMALL GRANTS RESEARCH PROGRAM</w:t>
      </w:r>
      <w:r>
        <w:t xml:space="preserve"> </w:t>
      </w:r>
      <w:r w:rsidRPr="00D90A60">
        <w:t>REPORT</w:t>
      </w:r>
    </w:p>
    <w:p w14:paraId="530936C0" w14:textId="713F2195" w:rsidR="008C7722" w:rsidRDefault="00EB2AE0" w:rsidP="00D90A60">
      <w:pPr>
        <w:pStyle w:val="Title"/>
      </w:pPr>
      <w:r w:rsidRPr="00D90A60">
        <w:t xml:space="preserve">Investigating the relationships </w:t>
      </w:r>
      <w:r w:rsidR="00D90A60" w:rsidRPr="00D90A60">
        <w:t>b</w:t>
      </w:r>
      <w:r w:rsidRPr="00D90A60">
        <w:t xml:space="preserve">etween </w:t>
      </w:r>
      <w:r w:rsidR="00E61E05" w:rsidRPr="00D90A60">
        <w:t>First-in-Family</w:t>
      </w:r>
      <w:r w:rsidRPr="00D90A60">
        <w:t xml:space="preserve"> status, equity groups, and university access</w:t>
      </w:r>
    </w:p>
    <w:p w14:paraId="6466283F" w14:textId="77777777" w:rsidR="000E7F34" w:rsidRDefault="000E7F34" w:rsidP="000E7F34">
      <w:pPr>
        <w:spacing w:after="60"/>
        <w:ind w:right="282"/>
        <w:rPr>
          <w:rFonts w:eastAsia="Calibri"/>
          <w:color w:val="351C26" w:themeColor="text1"/>
          <w:sz w:val="32"/>
          <w:szCs w:val="36"/>
        </w:rPr>
      </w:pPr>
    </w:p>
    <w:p w14:paraId="3525CB57" w14:textId="77777777" w:rsidR="000E7F34" w:rsidRDefault="000E7F34" w:rsidP="000E7F34">
      <w:pPr>
        <w:spacing w:after="60"/>
        <w:ind w:right="282"/>
        <w:rPr>
          <w:rFonts w:eastAsia="Calibri"/>
          <w:color w:val="351C26" w:themeColor="text1"/>
          <w:sz w:val="32"/>
          <w:szCs w:val="36"/>
        </w:rPr>
      </w:pPr>
    </w:p>
    <w:p w14:paraId="61ABC21E" w14:textId="77777777" w:rsidR="000E7F34" w:rsidRDefault="000E7F34" w:rsidP="000E7F34">
      <w:pPr>
        <w:spacing w:after="60"/>
        <w:ind w:right="282"/>
        <w:rPr>
          <w:rFonts w:eastAsia="Calibri"/>
          <w:color w:val="351C26" w:themeColor="text1"/>
          <w:sz w:val="32"/>
          <w:szCs w:val="36"/>
        </w:rPr>
      </w:pPr>
    </w:p>
    <w:p w14:paraId="447AF634" w14:textId="77777777" w:rsidR="000E7F34" w:rsidRDefault="000E7F34" w:rsidP="000E7F34">
      <w:pPr>
        <w:spacing w:after="60"/>
        <w:ind w:right="282"/>
        <w:rPr>
          <w:rFonts w:eastAsia="Calibri"/>
          <w:color w:val="351C26" w:themeColor="text1"/>
          <w:sz w:val="32"/>
          <w:szCs w:val="36"/>
        </w:rPr>
      </w:pPr>
    </w:p>
    <w:p w14:paraId="1A45F94B" w14:textId="77777777" w:rsidR="000E7F34" w:rsidRDefault="000E7F34" w:rsidP="000E7F34">
      <w:pPr>
        <w:spacing w:after="60"/>
        <w:ind w:right="282"/>
        <w:rPr>
          <w:rFonts w:eastAsia="Calibri"/>
          <w:color w:val="351C26" w:themeColor="text1"/>
          <w:sz w:val="32"/>
          <w:szCs w:val="36"/>
        </w:rPr>
      </w:pPr>
    </w:p>
    <w:p w14:paraId="15CF4760" w14:textId="77777777" w:rsidR="000E7F34" w:rsidRDefault="000E7F34" w:rsidP="000E7F34">
      <w:pPr>
        <w:spacing w:after="60"/>
        <w:ind w:right="282"/>
        <w:rPr>
          <w:rFonts w:eastAsia="Calibri"/>
          <w:color w:val="351C26" w:themeColor="text1"/>
          <w:sz w:val="32"/>
          <w:szCs w:val="36"/>
        </w:rPr>
      </w:pPr>
    </w:p>
    <w:p w14:paraId="1B86F28A" w14:textId="77777777" w:rsidR="000E7F34" w:rsidRDefault="000E7F34" w:rsidP="000E7F34">
      <w:pPr>
        <w:spacing w:after="60"/>
        <w:ind w:right="282"/>
        <w:rPr>
          <w:rFonts w:eastAsia="Calibri"/>
          <w:color w:val="351C26" w:themeColor="text1"/>
          <w:sz w:val="32"/>
          <w:szCs w:val="36"/>
        </w:rPr>
      </w:pPr>
    </w:p>
    <w:p w14:paraId="385F194A" w14:textId="77777777" w:rsidR="000E7F34" w:rsidRDefault="000E7F34" w:rsidP="000E7F34">
      <w:pPr>
        <w:spacing w:after="60"/>
        <w:ind w:right="282"/>
        <w:rPr>
          <w:rFonts w:eastAsia="Calibri"/>
          <w:color w:val="351C26" w:themeColor="text1"/>
          <w:sz w:val="32"/>
          <w:szCs w:val="36"/>
        </w:rPr>
      </w:pPr>
    </w:p>
    <w:p w14:paraId="01D57048" w14:textId="77777777" w:rsidR="000E7F34" w:rsidRDefault="000E7F34" w:rsidP="000E7F34">
      <w:pPr>
        <w:spacing w:after="60"/>
        <w:ind w:right="282"/>
        <w:rPr>
          <w:rFonts w:eastAsia="Calibri"/>
          <w:color w:val="351C26" w:themeColor="text1"/>
          <w:sz w:val="32"/>
          <w:szCs w:val="36"/>
        </w:rPr>
      </w:pPr>
    </w:p>
    <w:p w14:paraId="5893C1E1" w14:textId="77777777" w:rsidR="000E7F34" w:rsidRDefault="000E7F34" w:rsidP="000E7F34">
      <w:pPr>
        <w:spacing w:after="60"/>
        <w:ind w:right="282"/>
        <w:rPr>
          <w:rFonts w:eastAsia="Calibri"/>
          <w:color w:val="351C26" w:themeColor="text1"/>
          <w:sz w:val="32"/>
          <w:szCs w:val="36"/>
        </w:rPr>
      </w:pPr>
    </w:p>
    <w:p w14:paraId="15A146C2" w14:textId="77777777" w:rsidR="00B24DFD" w:rsidRDefault="00B24DFD" w:rsidP="000E7F34">
      <w:pPr>
        <w:spacing w:after="60"/>
        <w:ind w:right="282"/>
        <w:rPr>
          <w:rFonts w:eastAsia="Calibri"/>
          <w:color w:val="351C26" w:themeColor="text1"/>
          <w:sz w:val="32"/>
          <w:szCs w:val="36"/>
        </w:rPr>
      </w:pPr>
    </w:p>
    <w:p w14:paraId="7606257C" w14:textId="77777777" w:rsidR="00B24DFD" w:rsidRDefault="00B24DFD" w:rsidP="000E7F34">
      <w:pPr>
        <w:spacing w:after="60"/>
        <w:ind w:right="282"/>
        <w:rPr>
          <w:rFonts w:eastAsia="Calibri"/>
          <w:color w:val="351C26" w:themeColor="text1"/>
          <w:sz w:val="32"/>
          <w:szCs w:val="36"/>
        </w:rPr>
      </w:pPr>
    </w:p>
    <w:p w14:paraId="46C46A80" w14:textId="672448B5" w:rsidR="00D90A60" w:rsidRPr="000E7F34" w:rsidRDefault="00D90A60" w:rsidP="000E7F34">
      <w:pPr>
        <w:spacing w:after="60"/>
        <w:ind w:right="282"/>
        <w:rPr>
          <w:rFonts w:eastAsia="Calibri"/>
          <w:color w:val="351C26" w:themeColor="text1"/>
          <w:sz w:val="32"/>
          <w:szCs w:val="36"/>
        </w:rPr>
      </w:pPr>
      <w:r w:rsidRPr="000E7F34">
        <w:rPr>
          <w:rFonts w:eastAsia="Calibri"/>
          <w:color w:val="351C26" w:themeColor="text1"/>
          <w:sz w:val="32"/>
          <w:szCs w:val="36"/>
        </w:rPr>
        <w:t>Tomasz Zając</w:t>
      </w:r>
      <w:r w:rsidR="00B24DFD">
        <w:rPr>
          <w:rFonts w:eastAsia="Calibri"/>
          <w:color w:val="351C26" w:themeColor="text1"/>
          <w:sz w:val="32"/>
          <w:szCs w:val="36"/>
        </w:rPr>
        <w:t xml:space="preserve">, </w:t>
      </w:r>
      <w:r w:rsidRPr="000E7F34">
        <w:rPr>
          <w:rFonts w:eastAsia="Calibri"/>
          <w:color w:val="351C26" w:themeColor="text1"/>
          <w:sz w:val="32"/>
          <w:szCs w:val="36"/>
        </w:rPr>
        <w:t>Garth Stahl</w:t>
      </w:r>
      <w:r w:rsidR="00B24DFD">
        <w:rPr>
          <w:rFonts w:eastAsia="Calibri"/>
          <w:color w:val="351C26" w:themeColor="text1"/>
          <w:sz w:val="32"/>
          <w:szCs w:val="36"/>
        </w:rPr>
        <w:t xml:space="preserve">, </w:t>
      </w:r>
      <w:r w:rsidR="00B24DFD">
        <w:rPr>
          <w:rFonts w:eastAsia="Calibri"/>
          <w:color w:val="351C26" w:themeColor="text1"/>
          <w:sz w:val="32"/>
          <w:szCs w:val="36"/>
        </w:rPr>
        <w:br/>
      </w:r>
      <w:r w:rsidR="00B6548F" w:rsidRPr="00B6548F">
        <w:rPr>
          <w:rFonts w:eastAsia="Calibri"/>
          <w:color w:val="351C26" w:themeColor="text1"/>
          <w:sz w:val="32"/>
          <w:szCs w:val="36"/>
        </w:rPr>
        <w:t>Wojtek Tomaszewski</w:t>
      </w:r>
      <w:r w:rsidR="00B24DFD">
        <w:rPr>
          <w:rFonts w:eastAsia="Calibri"/>
          <w:color w:val="351C26" w:themeColor="text1"/>
          <w:sz w:val="32"/>
          <w:szCs w:val="36"/>
        </w:rPr>
        <w:t xml:space="preserve">, and </w:t>
      </w:r>
      <w:r w:rsidRPr="000E7F34">
        <w:rPr>
          <w:rFonts w:eastAsia="Calibri"/>
          <w:color w:val="351C26" w:themeColor="text1"/>
          <w:sz w:val="32"/>
          <w:szCs w:val="36"/>
        </w:rPr>
        <w:t>Ning Xiang</w:t>
      </w:r>
    </w:p>
    <w:p w14:paraId="46D476A3" w14:textId="08D79BF1" w:rsidR="00D90A60" w:rsidRPr="000E7F34" w:rsidRDefault="00D90A60" w:rsidP="00D90A60">
      <w:pPr>
        <w:spacing w:before="360" w:after="60"/>
        <w:rPr>
          <w:b/>
          <w:bCs/>
          <w:color w:val="351C26" w:themeColor="text1"/>
          <w:sz w:val="28"/>
          <w:szCs w:val="32"/>
        </w:rPr>
      </w:pPr>
      <w:r w:rsidRPr="000E7F34">
        <w:rPr>
          <w:rFonts w:eastAsia="Calibri"/>
          <w:b/>
          <w:bCs/>
          <w:color w:val="351C26" w:themeColor="text1"/>
          <w:sz w:val="28"/>
          <w:szCs w:val="32"/>
        </w:rPr>
        <w:t>2025</w:t>
      </w:r>
    </w:p>
    <w:p w14:paraId="20FD6FA1" w14:textId="77777777" w:rsidR="00D90A60" w:rsidRPr="00D90A60" w:rsidRDefault="00D90A60" w:rsidP="00D90A60"/>
    <w:p w14:paraId="7381F2A8" w14:textId="0F4FC3C3" w:rsidR="008C7722" w:rsidRPr="002F3A26" w:rsidRDefault="008C7722">
      <w:pPr>
        <w:spacing w:line="259" w:lineRule="auto"/>
        <w:sectPr w:rsidR="008C7722" w:rsidRPr="002F3A26" w:rsidSect="008C7722">
          <w:footerReference w:type="default" r:id="rId9"/>
          <w:pgSz w:w="11906" w:h="16838"/>
          <w:pgMar w:top="794" w:right="4309" w:bottom="1440" w:left="794" w:header="709" w:footer="709" w:gutter="0"/>
          <w:cols w:space="708"/>
          <w:docGrid w:linePitch="360"/>
        </w:sectPr>
      </w:pPr>
    </w:p>
    <w:p w14:paraId="519267B3" w14:textId="7230EA0E" w:rsidR="00F871A0" w:rsidRPr="002F3A26" w:rsidRDefault="00EB2AE0" w:rsidP="00610452">
      <w:pPr>
        <w:jc w:val="center"/>
      </w:pPr>
      <w:bookmarkStart w:id="0" w:name="_Hlk209440148"/>
      <w:bookmarkStart w:id="1" w:name="_Toc170822380"/>
      <w:r w:rsidRPr="002F3A26">
        <w:rPr>
          <w:b/>
          <w:bCs/>
          <w:sz w:val="36"/>
          <w:szCs w:val="36"/>
        </w:rPr>
        <w:lastRenderedPageBreak/>
        <w:t xml:space="preserve">Investigating the relationships between </w:t>
      </w:r>
      <w:r w:rsidR="00E61E05">
        <w:rPr>
          <w:b/>
          <w:bCs/>
          <w:sz w:val="36"/>
          <w:szCs w:val="36"/>
        </w:rPr>
        <w:t>First-in-Family</w:t>
      </w:r>
      <w:r w:rsidRPr="002F3A26">
        <w:rPr>
          <w:b/>
          <w:bCs/>
          <w:sz w:val="36"/>
          <w:szCs w:val="36"/>
        </w:rPr>
        <w:t xml:space="preserve"> status, equity groups, and university access</w:t>
      </w:r>
    </w:p>
    <w:bookmarkEnd w:id="0"/>
    <w:p w14:paraId="78A11072" w14:textId="77777777" w:rsidR="00F871A0" w:rsidRPr="002F3A26" w:rsidRDefault="00F871A0" w:rsidP="00F871A0"/>
    <w:p w14:paraId="5600DE1F" w14:textId="7EA992B8" w:rsidR="00F871A0" w:rsidRPr="002F3A26" w:rsidRDefault="00B631F1" w:rsidP="00F871A0">
      <w:pPr>
        <w:jc w:val="center"/>
        <w:rPr>
          <w:b/>
          <w:color w:val="351C26" w:themeColor="text2"/>
        </w:rPr>
      </w:pPr>
      <w:r>
        <w:rPr>
          <w:b/>
          <w:color w:val="351C26" w:themeColor="text2"/>
        </w:rPr>
        <w:t>2 October</w:t>
      </w:r>
      <w:r w:rsidR="00416A4E" w:rsidRPr="002F3A26">
        <w:rPr>
          <w:b/>
          <w:color w:val="351C26" w:themeColor="text2"/>
        </w:rPr>
        <w:t xml:space="preserve"> </w:t>
      </w:r>
      <w:r w:rsidR="00EB2AE0" w:rsidRPr="002F3A26">
        <w:rPr>
          <w:b/>
          <w:color w:val="351C26" w:themeColor="text2"/>
        </w:rPr>
        <w:t>2025</w:t>
      </w:r>
    </w:p>
    <w:p w14:paraId="0FE2E082" w14:textId="1A3DDFEA" w:rsidR="003B5BD2" w:rsidRPr="002F3A26" w:rsidRDefault="003B5BD2" w:rsidP="003B5BD2"/>
    <w:p w14:paraId="1D6CE353" w14:textId="77777777" w:rsidR="003B5BD2" w:rsidRPr="002F3A26" w:rsidRDefault="003B5BD2" w:rsidP="003B5BD2">
      <w:pPr>
        <w:jc w:val="center"/>
      </w:pPr>
      <w:r w:rsidRPr="002F3A26">
        <w:rPr>
          <w:rFonts w:eastAsia="Calibri"/>
        </w:rPr>
        <w:t>Tomasz Zając, The University of Queensland</w:t>
      </w:r>
    </w:p>
    <w:p w14:paraId="7559A21E" w14:textId="77777777" w:rsidR="003B5BD2" w:rsidRPr="002F3A26" w:rsidRDefault="003B5BD2" w:rsidP="003B5BD2">
      <w:pPr>
        <w:jc w:val="center"/>
      </w:pPr>
      <w:r w:rsidRPr="002F3A26">
        <w:rPr>
          <w:rFonts w:eastAsia="Calibri"/>
        </w:rPr>
        <w:t>Garth Stahl, The University of Queensland</w:t>
      </w:r>
    </w:p>
    <w:p w14:paraId="0AAD573B" w14:textId="77777777" w:rsidR="003B5BD2" w:rsidRPr="002F3A26" w:rsidRDefault="003B5BD2" w:rsidP="003B5BD2">
      <w:pPr>
        <w:jc w:val="center"/>
      </w:pPr>
      <w:r w:rsidRPr="002F3A26">
        <w:rPr>
          <w:rFonts w:eastAsia="Calibri"/>
        </w:rPr>
        <w:t>Wojtek Tomaszewski, The University of Queensland</w:t>
      </w:r>
    </w:p>
    <w:p w14:paraId="36F82F5A" w14:textId="77777777" w:rsidR="003B5BD2" w:rsidRPr="002F3A26" w:rsidRDefault="003B5BD2" w:rsidP="003B5BD2">
      <w:pPr>
        <w:jc w:val="center"/>
      </w:pPr>
      <w:r w:rsidRPr="002F3A26">
        <w:rPr>
          <w:rFonts w:eastAsia="Calibri"/>
        </w:rPr>
        <w:t>Ning Xiang, The University of Queensland</w:t>
      </w:r>
    </w:p>
    <w:p w14:paraId="05463D4E" w14:textId="77777777" w:rsidR="00F871A0" w:rsidRPr="002F3A26" w:rsidRDefault="00F871A0" w:rsidP="00F871A0">
      <w:pPr>
        <w:jc w:val="center"/>
      </w:pPr>
    </w:p>
    <w:p w14:paraId="72AA85FE" w14:textId="77777777" w:rsidR="00F871A0" w:rsidRPr="002F3A26" w:rsidRDefault="00F871A0" w:rsidP="00F871A0">
      <w:pPr>
        <w:spacing w:after="0"/>
        <w:rPr>
          <w:bCs/>
          <w:sz w:val="18"/>
          <w:szCs w:val="18"/>
        </w:rPr>
      </w:pPr>
    </w:p>
    <w:p w14:paraId="12E34502" w14:textId="77777777" w:rsidR="00F871A0" w:rsidRPr="002F3A26" w:rsidRDefault="00F871A0" w:rsidP="00F871A0">
      <w:pPr>
        <w:spacing w:after="0"/>
        <w:rPr>
          <w:bCs/>
          <w:sz w:val="18"/>
          <w:szCs w:val="18"/>
        </w:rPr>
      </w:pPr>
    </w:p>
    <w:p w14:paraId="73529E6D" w14:textId="77777777" w:rsidR="00610452" w:rsidRPr="002F3A26" w:rsidRDefault="00610452" w:rsidP="00F871A0">
      <w:pPr>
        <w:spacing w:after="0"/>
        <w:rPr>
          <w:bCs/>
          <w:sz w:val="18"/>
          <w:szCs w:val="18"/>
        </w:rPr>
      </w:pPr>
    </w:p>
    <w:p w14:paraId="0756CA69" w14:textId="77777777" w:rsidR="00F871A0" w:rsidRPr="002F3A26" w:rsidRDefault="00F871A0" w:rsidP="00F871A0">
      <w:pPr>
        <w:spacing w:after="0"/>
        <w:rPr>
          <w:bCs/>
          <w:sz w:val="18"/>
          <w:szCs w:val="18"/>
        </w:rPr>
      </w:pPr>
    </w:p>
    <w:p w14:paraId="279FCC27" w14:textId="77777777" w:rsidR="00F871A0" w:rsidRPr="002F3A26" w:rsidRDefault="00F871A0" w:rsidP="00F871A0">
      <w:pPr>
        <w:spacing w:after="0"/>
        <w:rPr>
          <w:bCs/>
          <w:sz w:val="18"/>
          <w:szCs w:val="18"/>
        </w:rPr>
      </w:pPr>
    </w:p>
    <w:p w14:paraId="5365B8A1" w14:textId="35722894" w:rsidR="00763791" w:rsidRPr="000A1F79" w:rsidRDefault="00763791" w:rsidP="00763791">
      <w:pPr>
        <w:rPr>
          <w:sz w:val="18"/>
          <w:szCs w:val="18"/>
        </w:rPr>
      </w:pPr>
      <w:r w:rsidRPr="000A1F79">
        <w:rPr>
          <w:rStyle w:val="cf01"/>
          <w:rFonts w:cs="Arial"/>
        </w:rPr>
        <w:t xml:space="preserve">Suggested citation: </w:t>
      </w:r>
      <w:r w:rsidRPr="00763791">
        <w:rPr>
          <w:rStyle w:val="cf01"/>
          <w:rFonts w:cs="Arial"/>
        </w:rPr>
        <w:t>Zając</w:t>
      </w:r>
      <w:r w:rsidRPr="000A1F79">
        <w:rPr>
          <w:rStyle w:val="cf01"/>
          <w:rFonts w:cs="Arial"/>
        </w:rPr>
        <w:t>, T.</w:t>
      </w:r>
      <w:r>
        <w:rPr>
          <w:rStyle w:val="cf01"/>
          <w:rFonts w:cs="Arial"/>
        </w:rPr>
        <w:t xml:space="preserve">, Stahl, G., </w:t>
      </w:r>
      <w:r w:rsidRPr="00763791">
        <w:rPr>
          <w:rStyle w:val="cf01"/>
          <w:rFonts w:cs="Arial"/>
        </w:rPr>
        <w:t>Tomaszewski</w:t>
      </w:r>
      <w:r>
        <w:rPr>
          <w:rStyle w:val="cf01"/>
          <w:rFonts w:cs="Arial"/>
        </w:rPr>
        <w:t>, W., &amp; Xiang, N.</w:t>
      </w:r>
      <w:r w:rsidRPr="000A1F79">
        <w:rPr>
          <w:rStyle w:val="cf01"/>
          <w:rFonts w:cs="Arial"/>
        </w:rPr>
        <w:t xml:space="preserve"> (2025). </w:t>
      </w:r>
      <w:r w:rsidRPr="00763791">
        <w:rPr>
          <w:rStyle w:val="cf01"/>
          <w:rFonts w:cs="Arial"/>
          <w:i/>
          <w:iCs/>
        </w:rPr>
        <w:t xml:space="preserve">Investigating the relationships between </w:t>
      </w:r>
      <w:r w:rsidR="00B631F1">
        <w:rPr>
          <w:rStyle w:val="cf01"/>
          <w:rFonts w:cs="Arial"/>
          <w:i/>
          <w:iCs/>
        </w:rPr>
        <w:t>F</w:t>
      </w:r>
      <w:r w:rsidRPr="00763791">
        <w:rPr>
          <w:rStyle w:val="cf01"/>
          <w:rFonts w:cs="Arial"/>
          <w:i/>
          <w:iCs/>
        </w:rPr>
        <w:t>irst-in-Family status, equity groups, and university access</w:t>
      </w:r>
      <w:r w:rsidRPr="000A1F79">
        <w:rPr>
          <w:rStyle w:val="cf01"/>
          <w:rFonts w:cs="Arial"/>
          <w:i/>
          <w:iCs/>
        </w:rPr>
        <w:t xml:space="preserve"> </w:t>
      </w:r>
      <w:r w:rsidRPr="00CC1668">
        <w:rPr>
          <w:rStyle w:val="cf01"/>
          <w:rFonts w:cs="Arial"/>
        </w:rPr>
        <w:t>(</w:t>
      </w:r>
      <w:r>
        <w:rPr>
          <w:rFonts w:cs="Arial"/>
          <w:sz w:val="18"/>
          <w:szCs w:val="18"/>
        </w:rPr>
        <w:t>Small Grants Research Program</w:t>
      </w:r>
      <w:r w:rsidRPr="00F0362C">
        <w:rPr>
          <w:rFonts w:cs="Arial"/>
          <w:sz w:val="18"/>
          <w:szCs w:val="18"/>
        </w:rPr>
        <w:t xml:space="preserve"> final report</w:t>
      </w:r>
      <w:r>
        <w:rPr>
          <w:rStyle w:val="cf01"/>
          <w:rFonts w:cs="Arial"/>
        </w:rPr>
        <w:t>)</w:t>
      </w:r>
      <w:r w:rsidRPr="000A1F79">
        <w:rPr>
          <w:rStyle w:val="cf01"/>
          <w:rFonts w:cs="Arial"/>
        </w:rPr>
        <w:t>. Australian Centre for Student Equity and Success, Curtin University.</w:t>
      </w:r>
    </w:p>
    <w:p w14:paraId="4EA800A5" w14:textId="77777777" w:rsidR="00F871A0" w:rsidRPr="002F3A26" w:rsidRDefault="00F871A0" w:rsidP="00F871A0">
      <w:pPr>
        <w:spacing w:after="0"/>
        <w:rPr>
          <w:bCs/>
          <w:sz w:val="18"/>
          <w:szCs w:val="18"/>
        </w:rPr>
      </w:pPr>
    </w:p>
    <w:p w14:paraId="1E2D94E8" w14:textId="77777777" w:rsidR="00F871A0" w:rsidRPr="002F3A26" w:rsidRDefault="00F871A0" w:rsidP="00F871A0">
      <w:pPr>
        <w:spacing w:after="0"/>
        <w:rPr>
          <w:bCs/>
          <w:sz w:val="18"/>
          <w:szCs w:val="18"/>
        </w:rPr>
      </w:pPr>
      <w:r w:rsidRPr="002F3A26">
        <w:rPr>
          <w:bCs/>
          <w:sz w:val="18"/>
          <w:szCs w:val="18"/>
        </w:rPr>
        <w:t>Australian Centre for Student Equity and Success</w:t>
      </w:r>
    </w:p>
    <w:p w14:paraId="55B64F63" w14:textId="77777777" w:rsidR="00F871A0" w:rsidRPr="00E664C4" w:rsidRDefault="00F871A0" w:rsidP="00F871A0">
      <w:pPr>
        <w:spacing w:after="0"/>
        <w:rPr>
          <w:bCs/>
          <w:sz w:val="18"/>
          <w:szCs w:val="18"/>
          <w:lang w:val="fr-FR"/>
        </w:rPr>
      </w:pPr>
      <w:r w:rsidRPr="00E664C4">
        <w:rPr>
          <w:bCs/>
          <w:sz w:val="18"/>
          <w:szCs w:val="18"/>
          <w:lang w:val="fr-FR"/>
        </w:rPr>
        <w:t>Tel: +61 8 9266 1573</w:t>
      </w:r>
    </w:p>
    <w:p w14:paraId="4E107144" w14:textId="7609A38F" w:rsidR="00F871A0" w:rsidRPr="00E664C4" w:rsidRDefault="00F871A0" w:rsidP="00F871A0">
      <w:pPr>
        <w:spacing w:after="0"/>
        <w:rPr>
          <w:bCs/>
          <w:sz w:val="18"/>
          <w:szCs w:val="18"/>
          <w:lang w:val="fr-FR"/>
        </w:rPr>
      </w:pPr>
      <w:r w:rsidRPr="00E664C4">
        <w:rPr>
          <w:bCs/>
          <w:sz w:val="18"/>
          <w:szCs w:val="18"/>
          <w:lang w:val="fr-FR"/>
        </w:rPr>
        <w:t xml:space="preserve">Email: </w:t>
      </w:r>
      <w:hyperlink r:id="rId10" w:history="1">
        <w:r w:rsidRPr="000A655A">
          <w:rPr>
            <w:rStyle w:val="StyleHyperlink9pt"/>
          </w:rPr>
          <w:t>acses@curtin.edu.au</w:t>
        </w:r>
      </w:hyperlink>
    </w:p>
    <w:p w14:paraId="67D6118C" w14:textId="784B459E" w:rsidR="00F871A0" w:rsidRPr="002F3A26" w:rsidRDefault="00F871A0" w:rsidP="00F871A0">
      <w:pPr>
        <w:spacing w:after="0"/>
        <w:rPr>
          <w:bCs/>
          <w:sz w:val="18"/>
          <w:szCs w:val="18"/>
        </w:rPr>
      </w:pPr>
      <w:r w:rsidRPr="002F3A26">
        <w:rPr>
          <w:bCs/>
          <w:sz w:val="18"/>
          <w:szCs w:val="18"/>
        </w:rPr>
        <w:t xml:space="preserve">Web: </w:t>
      </w:r>
      <w:hyperlink r:id="rId11" w:history="1">
        <w:r w:rsidRPr="000A655A">
          <w:rPr>
            <w:rStyle w:val="StyleHyperlink9pt"/>
          </w:rPr>
          <w:t>www.acses.edu.au</w:t>
        </w:r>
      </w:hyperlink>
      <w:r w:rsidRPr="002F3A26">
        <w:rPr>
          <w:bCs/>
          <w:sz w:val="18"/>
          <w:szCs w:val="18"/>
        </w:rPr>
        <w:t xml:space="preserve"> </w:t>
      </w:r>
    </w:p>
    <w:p w14:paraId="1A6C0B84" w14:textId="77777777" w:rsidR="00F871A0" w:rsidRPr="002F3A26" w:rsidRDefault="00F871A0" w:rsidP="00F871A0">
      <w:pPr>
        <w:spacing w:after="0"/>
        <w:rPr>
          <w:bCs/>
          <w:sz w:val="18"/>
          <w:szCs w:val="18"/>
        </w:rPr>
      </w:pPr>
      <w:r w:rsidRPr="002F3A26">
        <w:rPr>
          <w:bCs/>
          <w:sz w:val="18"/>
          <w:szCs w:val="18"/>
        </w:rPr>
        <w:t>Building 100</w:t>
      </w:r>
    </w:p>
    <w:p w14:paraId="3E0290C2" w14:textId="77777777" w:rsidR="00F871A0" w:rsidRPr="002F3A26" w:rsidRDefault="00F871A0" w:rsidP="00F871A0">
      <w:pPr>
        <w:spacing w:after="0"/>
        <w:rPr>
          <w:bCs/>
          <w:sz w:val="18"/>
          <w:szCs w:val="18"/>
        </w:rPr>
      </w:pPr>
      <w:r w:rsidRPr="002F3A26">
        <w:rPr>
          <w:bCs/>
          <w:sz w:val="18"/>
          <w:szCs w:val="18"/>
        </w:rPr>
        <w:t>Curtin University</w:t>
      </w:r>
    </w:p>
    <w:p w14:paraId="03783919" w14:textId="77777777" w:rsidR="00F871A0" w:rsidRPr="002F3A26" w:rsidRDefault="00F871A0" w:rsidP="4318E8C3">
      <w:pPr>
        <w:spacing w:after="0"/>
        <w:rPr>
          <w:sz w:val="18"/>
          <w:szCs w:val="18"/>
        </w:rPr>
      </w:pPr>
      <w:r w:rsidRPr="4318E8C3">
        <w:rPr>
          <w:sz w:val="18"/>
          <w:szCs w:val="18"/>
        </w:rPr>
        <w:t>Kent St, Bentley WA 6102GPO Box U1987, Perth WA 6845</w:t>
      </w:r>
      <w:bookmarkStart w:id="2" w:name="_Toc57894677"/>
    </w:p>
    <w:p w14:paraId="363326A9" w14:textId="77777777" w:rsidR="00F871A0" w:rsidRPr="002F3A26" w:rsidRDefault="00F871A0" w:rsidP="00F871A0">
      <w:pPr>
        <w:spacing w:after="0"/>
        <w:rPr>
          <w:bCs/>
          <w:sz w:val="18"/>
          <w:szCs w:val="18"/>
        </w:rPr>
      </w:pPr>
    </w:p>
    <w:p w14:paraId="635EEC2C" w14:textId="77777777" w:rsidR="00F871A0" w:rsidRPr="002F3A26" w:rsidRDefault="00F871A0" w:rsidP="00F871A0">
      <w:pPr>
        <w:spacing w:line="259" w:lineRule="auto"/>
        <w:rPr>
          <w:rFonts w:eastAsiaTheme="majorEastAsia" w:cs="Arial"/>
          <w:color w:val="6B3B57"/>
          <w:sz w:val="52"/>
          <w:szCs w:val="40"/>
        </w:rPr>
      </w:pPr>
      <w:r w:rsidRPr="002F3A26">
        <w:rPr>
          <w:noProof/>
          <w:lang w:eastAsia="en-AU"/>
        </w:rPr>
        <mc:AlternateContent>
          <mc:Choice Requires="wps">
            <w:drawing>
              <wp:inline distT="0" distB="0" distL="0" distR="0" wp14:anchorId="3CF26900" wp14:editId="61CBBEED">
                <wp:extent cx="5821680" cy="3116580"/>
                <wp:effectExtent l="0" t="0" r="26670" b="26670"/>
                <wp:docPr id="217" name="Text Box 2" descr="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title="Disclai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116580"/>
                        </a:xfrm>
                        <a:prstGeom prst="rect">
                          <a:avLst/>
                        </a:prstGeom>
                        <a:solidFill>
                          <a:srgbClr val="FFFFFF"/>
                        </a:solidFill>
                        <a:ln w="9525">
                          <a:solidFill>
                            <a:schemeClr val="accent3"/>
                          </a:solidFill>
                          <a:miter lim="800000"/>
                          <a:headEnd/>
                          <a:tailEnd/>
                        </a:ln>
                      </wps:spPr>
                      <wps:txbx>
                        <w:txbxContent>
                          <w:p w14:paraId="139ACC16" w14:textId="77777777" w:rsidR="00F871A0" w:rsidRPr="008E31EC" w:rsidRDefault="00F871A0" w:rsidP="00F871A0">
                            <w:pPr>
                              <w:rPr>
                                <w:b/>
                                <w:sz w:val="16"/>
                                <w:szCs w:val="16"/>
                              </w:rPr>
                            </w:pPr>
                            <w:r w:rsidRPr="008E31EC">
                              <w:rPr>
                                <w:b/>
                                <w:sz w:val="16"/>
                                <w:szCs w:val="16"/>
                              </w:rPr>
                              <w:t>DISCLAIMER</w:t>
                            </w:r>
                          </w:p>
                          <w:p w14:paraId="34941BEB"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30FFDB7E"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6294316F" w14:textId="77777777" w:rsidR="00F871A0" w:rsidRDefault="00F871A0" w:rsidP="00F871A0">
                            <w:pPr>
                              <w:rPr>
                                <w:sz w:val="16"/>
                                <w:szCs w:val="16"/>
                              </w:rPr>
                            </w:pPr>
                          </w:p>
                          <w:p w14:paraId="6A396629" w14:textId="77777777" w:rsidR="00F871A0" w:rsidRPr="008619B3" w:rsidRDefault="00F871A0" w:rsidP="00F871A0">
                            <w:pPr>
                              <w:rPr>
                                <w:b/>
                                <w:sz w:val="16"/>
                                <w:szCs w:val="16"/>
                              </w:rPr>
                            </w:pPr>
                            <w:r w:rsidRPr="008619B3">
                              <w:rPr>
                                <w:b/>
                                <w:sz w:val="16"/>
                                <w:szCs w:val="16"/>
                              </w:rPr>
                              <w:t>COPYRIGHT</w:t>
                            </w:r>
                          </w:p>
                          <w:p w14:paraId="37110FE2" w14:textId="77777777" w:rsidR="00F871A0" w:rsidRDefault="00F871A0" w:rsidP="00F871A0">
                            <w:pPr>
                              <w:rPr>
                                <w:sz w:val="16"/>
                                <w:szCs w:val="16"/>
                              </w:rPr>
                            </w:pPr>
                            <w:r w:rsidRPr="008619B3">
                              <w:rPr>
                                <w:sz w:val="16"/>
                                <w:szCs w:val="16"/>
                              </w:rPr>
                              <w:t xml:space="preserve">© Curtin University </w:t>
                            </w:r>
                            <w:r w:rsidRPr="00EB2AE0">
                              <w:rPr>
                                <w:color w:val="351C26" w:themeColor="text2"/>
                                <w:sz w:val="16"/>
                                <w:szCs w:val="16"/>
                              </w:rPr>
                              <w:t>2025</w:t>
                            </w:r>
                          </w:p>
                          <w:p w14:paraId="6973D11E" w14:textId="6B5D0792" w:rsidR="00447C61"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6C6FB7E3" w14:textId="77777777" w:rsidR="00F871A0" w:rsidRDefault="00F871A0" w:rsidP="00F871A0">
                            <w:pPr>
                              <w:rPr>
                                <w:sz w:val="16"/>
                                <w:szCs w:val="16"/>
                              </w:rPr>
                            </w:pPr>
                            <w:r w:rsidRPr="008619B3">
                              <w:rPr>
                                <w:sz w:val="16"/>
                                <w:szCs w:val="16"/>
                              </w:rPr>
                              <w:t>CRICOS Provider Code 00301J</w:t>
                            </w:r>
                          </w:p>
                          <w:p w14:paraId="14EE83CB" w14:textId="2853C4B9" w:rsidR="00F871A0" w:rsidRPr="00447C61" w:rsidRDefault="00447C61" w:rsidP="00447C61">
                            <w:pPr>
                              <w:spacing w:line="240" w:lineRule="auto"/>
                              <w:rPr>
                                <w:rFonts w:cs="Arial"/>
                                <w:color w:val="000000"/>
                                <w:sz w:val="20"/>
                                <w:szCs w:val="20"/>
                                <w:lang w:eastAsia="en-AU"/>
                              </w:rPr>
                            </w:pPr>
                            <w:r>
                              <w:rPr>
                                <w:sz w:val="16"/>
                                <w:szCs w:val="16"/>
                              </w:rPr>
                              <w:t xml:space="preserve">ISBN </w:t>
                            </w:r>
                            <w:r w:rsidRPr="00447C61">
                              <w:rPr>
                                <w:sz w:val="16"/>
                                <w:szCs w:val="16"/>
                              </w:rPr>
                              <w:t>978-0-6454877-3-2</w:t>
                            </w:r>
                          </w:p>
                          <w:p w14:paraId="1D42ADAF" w14:textId="77777777" w:rsidR="00F871A0" w:rsidRDefault="00F871A0" w:rsidP="00F871A0"/>
                        </w:txbxContent>
                      </wps:txbx>
                      <wps:bodyPr rot="0" vert="horz" wrap="square" lIns="91440" tIns="72000" rIns="91440" bIns="72000" anchor="t" anchorCtr="0">
                        <a:noAutofit/>
                      </wps:bodyPr>
                    </wps:wsp>
                  </a:graphicData>
                </a:graphic>
              </wp:inline>
            </w:drawing>
          </mc:Choice>
          <mc:Fallback>
            <w:pict>
              <v:shapetype w14:anchorId="3CF26900" id="_x0000_t202" coordsize="21600,21600" o:spt="202" path="m,l,21600r21600,l21600,xe">
                <v:stroke joinstyle="miter"/>
                <v:path gradientshapeok="t" o:connecttype="rect"/>
              </v:shapetype>
              <v:shape id="Text Box 2" o:spid="_x0000_s1026" type="#_x0000_t202" alt="Title: Disclaimer - Description: DISCLAIMER&#10;Information in this publication is correct at the time of release but may be subject to change. This material does not purport to constitute legal or professional advice.&#10;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 style="width:458.4pt;height:24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" strokecolor="#fcab63 [3206]">
                <v:textbox inset=",2mm,,2mm">
                  <w:txbxContent>
                    <w:p w14:paraId="139ACC16" w14:textId="77777777" w:rsidR="00F871A0" w:rsidRPr="008E31EC" w:rsidRDefault="00F871A0" w:rsidP="00F871A0">
                      <w:pPr>
                        <w:rPr>
                          <w:b/>
                          <w:sz w:val="16"/>
                          <w:szCs w:val="16"/>
                        </w:rPr>
                      </w:pPr>
                      <w:r w:rsidRPr="008E31EC">
                        <w:rPr>
                          <w:b/>
                          <w:sz w:val="16"/>
                          <w:szCs w:val="16"/>
                        </w:rPr>
                        <w:t>DISCLAIMER</w:t>
                      </w:r>
                    </w:p>
                    <w:p w14:paraId="34941BEB" w14:textId="77777777" w:rsidR="00F871A0" w:rsidRPr="008E31EC" w:rsidRDefault="00F871A0" w:rsidP="00F871A0">
                      <w:pPr>
                        <w:rPr>
                          <w:sz w:val="16"/>
                          <w:szCs w:val="16"/>
                        </w:rPr>
                      </w:pPr>
                      <w:r w:rsidRPr="008E31EC">
                        <w:rPr>
                          <w:sz w:val="16"/>
                          <w:szCs w:val="16"/>
                        </w:rPr>
                        <w:t>Information in this publication is correct at the time of release but may be subject to change. This material does not purport to constitute legal or professional advice.</w:t>
                      </w:r>
                    </w:p>
                    <w:p w14:paraId="30FFDB7E" w14:textId="77777777" w:rsidR="00F871A0" w:rsidRDefault="00F871A0" w:rsidP="00F871A0">
                      <w:pPr>
                        <w:rPr>
                          <w:sz w:val="16"/>
                          <w:szCs w:val="16"/>
                        </w:rPr>
                      </w:pPr>
                      <w:r w:rsidRPr="008E31EC">
                        <w:rPr>
                          <w:sz w:val="16"/>
                          <w:szCs w:val="16"/>
                        </w:rPr>
                        <w:t>Curtin accepts no responsibility for and makes no representations, whether express or implied, as to the accuracy or reliability in any respect of any material in this publication. Except to the extent mandated otherwise by legislation, Curtin University does not accept responsibility for the consequences of any reliance which may be placed on this material by any person. Curtin will not be liable to you or to any other person for any loss or damage (including direct, consequential or economic loss or damage) however caused and whether by negligence or otherwise which may result directly or indirectly from the use of this publication.</w:t>
                      </w:r>
                    </w:p>
                    <w:p w14:paraId="6294316F" w14:textId="77777777" w:rsidR="00F871A0" w:rsidRDefault="00F871A0" w:rsidP="00F871A0">
                      <w:pPr>
                        <w:rPr>
                          <w:sz w:val="16"/>
                          <w:szCs w:val="16"/>
                        </w:rPr>
                      </w:pPr>
                    </w:p>
                    <w:p w14:paraId="6A396629" w14:textId="77777777" w:rsidR="00F871A0" w:rsidRPr="008619B3" w:rsidRDefault="00F871A0" w:rsidP="00F871A0">
                      <w:pPr>
                        <w:rPr>
                          <w:b/>
                          <w:sz w:val="16"/>
                          <w:szCs w:val="16"/>
                        </w:rPr>
                      </w:pPr>
                      <w:r w:rsidRPr="008619B3">
                        <w:rPr>
                          <w:b/>
                          <w:sz w:val="16"/>
                          <w:szCs w:val="16"/>
                        </w:rPr>
                        <w:t>COPYRIGHT</w:t>
                      </w:r>
                    </w:p>
                    <w:p w14:paraId="37110FE2" w14:textId="77777777" w:rsidR="00F871A0" w:rsidRDefault="00F871A0" w:rsidP="00F871A0">
                      <w:pPr>
                        <w:rPr>
                          <w:sz w:val="16"/>
                          <w:szCs w:val="16"/>
                        </w:rPr>
                      </w:pPr>
                      <w:r w:rsidRPr="008619B3">
                        <w:rPr>
                          <w:sz w:val="16"/>
                          <w:szCs w:val="16"/>
                        </w:rPr>
                        <w:t xml:space="preserve">© Curtin University </w:t>
                      </w:r>
                      <w:r w:rsidRPr="00EB2AE0">
                        <w:rPr>
                          <w:color w:val="351C26" w:themeColor="text2"/>
                          <w:sz w:val="16"/>
                          <w:szCs w:val="16"/>
                        </w:rPr>
                        <w:t>2025</w:t>
                      </w:r>
                    </w:p>
                    <w:p w14:paraId="6973D11E" w14:textId="6B5D0792" w:rsidR="00447C61" w:rsidRPr="008619B3" w:rsidRDefault="00F871A0" w:rsidP="00F871A0">
                      <w:pPr>
                        <w:rPr>
                          <w:sz w:val="16"/>
                          <w:szCs w:val="16"/>
                        </w:rPr>
                      </w:pPr>
                      <w:r w:rsidRPr="008619B3">
                        <w:rPr>
                          <w:sz w:val="16"/>
                          <w:szCs w:val="16"/>
                        </w:rPr>
                        <w:t>Except as permitted by the Copyright Act 1968, and unless otherwis</w:t>
                      </w:r>
                      <w:r>
                        <w:rPr>
                          <w:sz w:val="16"/>
                          <w:szCs w:val="16"/>
                        </w:rPr>
                        <w:t xml:space="preserve">e stated, this material may not </w:t>
                      </w:r>
                      <w:r w:rsidRPr="008619B3">
                        <w:rPr>
                          <w:sz w:val="16"/>
                          <w:szCs w:val="16"/>
                        </w:rPr>
                        <w:t>be reproduced, stored or transmitted without the permission of the</w:t>
                      </w:r>
                      <w:r>
                        <w:rPr>
                          <w:sz w:val="16"/>
                          <w:szCs w:val="16"/>
                        </w:rPr>
                        <w:t xml:space="preserve"> copyright owner. All enquiries </w:t>
                      </w:r>
                      <w:r w:rsidRPr="008619B3">
                        <w:rPr>
                          <w:sz w:val="16"/>
                          <w:szCs w:val="16"/>
                        </w:rPr>
                        <w:t>must be directed to Curtin University.</w:t>
                      </w:r>
                    </w:p>
                    <w:p w14:paraId="6C6FB7E3" w14:textId="77777777" w:rsidR="00F871A0" w:rsidRDefault="00F871A0" w:rsidP="00F871A0">
                      <w:pPr>
                        <w:rPr>
                          <w:sz w:val="16"/>
                          <w:szCs w:val="16"/>
                        </w:rPr>
                      </w:pPr>
                      <w:r w:rsidRPr="008619B3">
                        <w:rPr>
                          <w:sz w:val="16"/>
                          <w:szCs w:val="16"/>
                        </w:rPr>
                        <w:t>CRICOS Provider Code 00301J</w:t>
                      </w:r>
                    </w:p>
                    <w:p w14:paraId="14EE83CB" w14:textId="2853C4B9" w:rsidR="00F871A0" w:rsidRPr="00447C61" w:rsidRDefault="00447C61" w:rsidP="00447C61">
                      <w:pPr>
                        <w:spacing w:line="240" w:lineRule="auto"/>
                        <w:rPr>
                          <w:rFonts w:cs="Arial"/>
                          <w:color w:val="000000"/>
                          <w:sz w:val="20"/>
                          <w:szCs w:val="20"/>
                          <w:lang w:eastAsia="en-AU"/>
                        </w:rPr>
                      </w:pPr>
                      <w:r>
                        <w:rPr>
                          <w:sz w:val="16"/>
                          <w:szCs w:val="16"/>
                        </w:rPr>
                        <w:t xml:space="preserve">ISBN </w:t>
                      </w:r>
                      <w:r w:rsidRPr="00447C61">
                        <w:rPr>
                          <w:sz w:val="16"/>
                          <w:szCs w:val="16"/>
                        </w:rPr>
                        <w:t>978-0-6454877-3-2</w:t>
                      </w:r>
                    </w:p>
                    <w:p w14:paraId="1D42ADAF" w14:textId="77777777" w:rsidR="00F871A0" w:rsidRDefault="00F871A0" w:rsidP="00F871A0"/>
                  </w:txbxContent>
                </v:textbox>
                <w10:anchorlock/>
              </v:shape>
            </w:pict>
          </mc:Fallback>
        </mc:AlternateContent>
      </w:r>
      <w:bookmarkEnd w:id="2"/>
      <w:r w:rsidRPr="002F3A26">
        <w:rPr>
          <w:rFonts w:cs="Arial"/>
        </w:rPr>
        <w:br w:type="page"/>
      </w:r>
    </w:p>
    <w:p w14:paraId="4B973876" w14:textId="77777777" w:rsidR="008C7722" w:rsidRPr="002F3A26" w:rsidRDefault="008C7722" w:rsidP="007F5CA7">
      <w:pPr>
        <w:pStyle w:val="headingnotitTOC"/>
      </w:pPr>
      <w:r w:rsidRPr="002F3A26">
        <w:lastRenderedPageBreak/>
        <w:t>Acknowledgement of Country</w:t>
      </w:r>
      <w:bookmarkEnd w:id="1"/>
    </w:p>
    <w:p w14:paraId="035DF6F7" w14:textId="77777777" w:rsidR="0073342F" w:rsidRPr="002F3A26" w:rsidRDefault="00FB6831" w:rsidP="008C7722">
      <w:pPr>
        <w:spacing w:line="259" w:lineRule="auto"/>
        <w:rPr>
          <w:rFonts w:cs="Arial"/>
          <w:sz w:val="28"/>
          <w:szCs w:val="28"/>
        </w:rPr>
      </w:pPr>
      <w:r w:rsidRPr="002F3A26">
        <w:rPr>
          <w:rFonts w:cs="Arial"/>
          <w:sz w:val="28"/>
          <w:szCs w:val="28"/>
        </w:rPr>
        <w:t>The Australian Centre for Student Equity and Success acknowledges Indigenous peoples across Australia as the Traditional Owners of the lands on which the nation’s campuses are situated. With a history spanning more than 60,000 years as the original educators, Indigenous peoples hold a unique place in our nation. We recognise the importance of their knowledge and culture, and reflect the principles of participation, equity, and cultural respect in our work. We pay our respects to Elders past, present, and future, and consider it an honour to learn from our Indigenous colleagues, partners, and friends.</w:t>
      </w:r>
    </w:p>
    <w:p w14:paraId="46D80B04" w14:textId="77777777" w:rsidR="0073342F" w:rsidRPr="002F3A26" w:rsidRDefault="0073342F">
      <w:pPr>
        <w:spacing w:line="259" w:lineRule="auto"/>
        <w:rPr>
          <w:rFonts w:cs="Arial"/>
          <w:sz w:val="28"/>
          <w:szCs w:val="28"/>
        </w:rPr>
      </w:pPr>
      <w:r w:rsidRPr="002F3A26">
        <w:rPr>
          <w:rFonts w:cs="Arial"/>
          <w:sz w:val="28"/>
          <w:szCs w:val="28"/>
        </w:rPr>
        <w:br w:type="page"/>
      </w:r>
    </w:p>
    <w:p w14:paraId="16069C04" w14:textId="6FC55823" w:rsidR="0099076D" w:rsidRDefault="003E7479" w:rsidP="0099076D">
      <w:pPr>
        <w:pStyle w:val="headingnotitTOC"/>
      </w:pPr>
      <w:r>
        <w:lastRenderedPageBreak/>
        <w:t>At a glance</w:t>
      </w:r>
    </w:p>
    <w:p w14:paraId="169C0AB1" w14:textId="5D5CF912" w:rsidR="0099076D" w:rsidRPr="0039644F" w:rsidRDefault="0099076D" w:rsidP="0039644F">
      <w:pPr>
        <w:spacing w:after="60"/>
        <w:rPr>
          <w:b/>
          <w:bCs/>
          <w:color w:val="6B3B57" w:themeColor="accent2"/>
          <w:sz w:val="24"/>
          <w:szCs w:val="28"/>
        </w:rPr>
      </w:pPr>
      <w:r w:rsidRPr="0039644F">
        <w:rPr>
          <w:b/>
          <w:bCs/>
          <w:color w:val="6B3B57" w:themeColor="accent2"/>
          <w:sz w:val="24"/>
          <w:szCs w:val="28"/>
        </w:rPr>
        <w:t>What we did</w:t>
      </w:r>
    </w:p>
    <w:p w14:paraId="7B52D57B" w14:textId="37925097" w:rsidR="0099076D" w:rsidRDefault="0099076D" w:rsidP="0099076D">
      <w:r>
        <w:t>The study involved analysis of data on two cohorts of young people from the Person Level Integrated Data Asset (PLIDA), a dataset linking administrative records from multiple public agencies, to compare the university enrolment patterns of First-in-Family (FiF) students, defined as students without university-educated parents, with that of non-FiF students. Data on individuals aged 16 or 17 years at the time of the 2016 Census, who lived with at least one parent, were used to capture their social background, including parental education. Using immigration records, the sample was narrowed to Australian citizens and permanent residents. Higher education records were then used to track their university enrolment status until 2019. The final analytic dataset comprised 443,609 individuals.</w:t>
      </w:r>
    </w:p>
    <w:p w14:paraId="33D4BDD4" w14:textId="4059CD10" w:rsidR="0099076D" w:rsidRPr="0039644F" w:rsidRDefault="0099076D" w:rsidP="0039644F">
      <w:pPr>
        <w:spacing w:before="240" w:after="60"/>
        <w:rPr>
          <w:b/>
          <w:bCs/>
          <w:color w:val="6B3B57" w:themeColor="accent2"/>
          <w:sz w:val="24"/>
          <w:szCs w:val="28"/>
        </w:rPr>
      </w:pPr>
      <w:r w:rsidRPr="0039644F">
        <w:rPr>
          <w:b/>
          <w:bCs/>
          <w:color w:val="6B3B57" w:themeColor="accent2"/>
          <w:sz w:val="24"/>
          <w:szCs w:val="28"/>
        </w:rPr>
        <w:t>What we found</w:t>
      </w:r>
    </w:p>
    <w:p w14:paraId="03834875" w14:textId="391E6077" w:rsidR="0099076D" w:rsidRDefault="0099076D" w:rsidP="0099076D">
      <w:pPr>
        <w:pStyle w:val="ListParagraph"/>
        <w:numPr>
          <w:ilvl w:val="0"/>
          <w:numId w:val="19"/>
        </w:numPr>
      </w:pPr>
      <w:r>
        <w:t xml:space="preserve">FiF students constitute over two-thirds of the student population but have not been recognised as an official equity group in Australian higher education equity policy. </w:t>
      </w:r>
    </w:p>
    <w:p w14:paraId="5E7F6D32" w14:textId="1B2544E3" w:rsidR="0099076D" w:rsidRDefault="0099076D" w:rsidP="0099076D">
      <w:pPr>
        <w:pStyle w:val="ListParagraph"/>
        <w:numPr>
          <w:ilvl w:val="0"/>
          <w:numId w:val="19"/>
        </w:numPr>
      </w:pPr>
      <w:r>
        <w:t xml:space="preserve">FiF students have substantially lower rates of enrolment in university education than non-FiF students, by around 23 percentage points. The enrolment gap was larger than that observed for most of the official equity groups, with only students with disabilities observed to have a larger enrolment gap. </w:t>
      </w:r>
    </w:p>
    <w:p w14:paraId="598CF5F2" w14:textId="32278360" w:rsidR="0099076D" w:rsidRDefault="0099076D" w:rsidP="0099076D">
      <w:pPr>
        <w:pStyle w:val="ListParagraph"/>
        <w:numPr>
          <w:ilvl w:val="0"/>
          <w:numId w:val="19"/>
        </w:numPr>
      </w:pPr>
      <w:r>
        <w:t xml:space="preserve">Beyond access issues, FiF students also face additional disadvantage in enrolment at selective universities (defined as those with higher entry requirements). Over half of non-FiF students attended selective universities, as compared to only 39% of FiF students. </w:t>
      </w:r>
    </w:p>
    <w:p w14:paraId="0FC43C81" w14:textId="18DF6D2F" w:rsidR="0099076D" w:rsidRDefault="0099076D" w:rsidP="0099076D">
      <w:pPr>
        <w:pStyle w:val="ListParagraph"/>
        <w:numPr>
          <w:ilvl w:val="0"/>
          <w:numId w:val="19"/>
        </w:numPr>
      </w:pPr>
      <w:r>
        <w:t xml:space="preserve">There were also differences in the field of enrolment by FiF status, with FiF students more likely to enrol in education or health (excluding medicine) fields, and less likely to enrol in natural and physical sciences, engineering and related technologies, and medical studies. </w:t>
      </w:r>
    </w:p>
    <w:p w14:paraId="7651D071" w14:textId="43AE8257" w:rsidR="0099076D" w:rsidRPr="0039644F" w:rsidRDefault="0099076D" w:rsidP="0039644F">
      <w:pPr>
        <w:spacing w:before="240" w:after="60"/>
        <w:rPr>
          <w:b/>
          <w:bCs/>
          <w:color w:val="6B3B57" w:themeColor="accent2"/>
          <w:sz w:val="24"/>
          <w:szCs w:val="28"/>
        </w:rPr>
      </w:pPr>
      <w:r w:rsidRPr="0039644F">
        <w:rPr>
          <w:b/>
          <w:bCs/>
          <w:color w:val="6B3B57" w:themeColor="accent2"/>
          <w:sz w:val="24"/>
          <w:szCs w:val="28"/>
        </w:rPr>
        <w:t>What we recommend</w:t>
      </w:r>
    </w:p>
    <w:p w14:paraId="3BB66601" w14:textId="3A793D2C" w:rsidR="0099076D" w:rsidRDefault="0099076D" w:rsidP="0099076D">
      <w:pPr>
        <w:pStyle w:val="ListParagraph"/>
        <w:numPr>
          <w:ilvl w:val="0"/>
          <w:numId w:val="21"/>
        </w:numPr>
      </w:pPr>
      <w:r>
        <w:t>The Australian Government and stakeholders should consider First-in-Family (FiF) status (or parental education) as another important factor affecting university enrolments, access to first-tier institutions, and certain fields of study.</w:t>
      </w:r>
    </w:p>
    <w:p w14:paraId="5F73FE04" w14:textId="4BD9E5A0" w:rsidR="0099076D" w:rsidRDefault="0099076D" w:rsidP="0099076D">
      <w:pPr>
        <w:pStyle w:val="ListParagraph"/>
        <w:numPr>
          <w:ilvl w:val="0"/>
          <w:numId w:val="21"/>
        </w:numPr>
      </w:pPr>
      <w:r>
        <w:t>The Australian Government and stakeholders should work together to build a data asset covering the full educational paths that would allow investigation of when and how the educational pathways of FiF individuals and their peers diverge.</w:t>
      </w:r>
    </w:p>
    <w:p w14:paraId="7FE4CE7E" w14:textId="40F6E511" w:rsidR="0099076D" w:rsidRDefault="0099076D" w:rsidP="0099076D">
      <w:pPr>
        <w:pStyle w:val="ListParagraph"/>
        <w:numPr>
          <w:ilvl w:val="0"/>
          <w:numId w:val="21"/>
        </w:numPr>
      </w:pPr>
      <w:r>
        <w:t>The Australian Government should consider funding further research exploring why attitudes and aspirations of FiF young people differ from those of non-FiF youth and how they shape educational outcomes. This is needed to better understand the mechanisms leading to the divergence of educational pathways.</w:t>
      </w:r>
    </w:p>
    <w:p w14:paraId="3CBF1834" w14:textId="27861EB7" w:rsidR="0099076D" w:rsidRPr="00210A5C" w:rsidRDefault="0099076D" w:rsidP="0099076D">
      <w:pPr>
        <w:pStyle w:val="ListParagraph"/>
        <w:numPr>
          <w:ilvl w:val="0"/>
          <w:numId w:val="21"/>
        </w:numPr>
      </w:pPr>
      <w:r>
        <w:t xml:space="preserve">The Australian Government and stakeholders should invest in approaches to assist FiF individuals in gaining access to higher education, selective institutions, and fields in which they are underrepresented. They should also expand outreach and career counselling programs to equip FiF individuals with the knowledge necessary to navigate the higher education system as well as help them understand various career paths. </w:t>
      </w:r>
      <w:r>
        <w:br w:type="page"/>
      </w:r>
    </w:p>
    <w:p w14:paraId="41DD224C" w14:textId="33722340" w:rsidR="00BB5114" w:rsidRPr="002F3A26" w:rsidRDefault="0073342F" w:rsidP="002A7923">
      <w:pPr>
        <w:pStyle w:val="headingnotitTOC"/>
      </w:pPr>
      <w:r w:rsidRPr="002F3A26">
        <w:lastRenderedPageBreak/>
        <w:t>Acknowledgements</w:t>
      </w:r>
      <w:r w:rsidR="00FB6831" w:rsidRPr="002F3A26">
        <w:t xml:space="preserve"> </w:t>
      </w:r>
    </w:p>
    <w:p w14:paraId="32EB10EB" w14:textId="0D9494F8" w:rsidR="002546E0" w:rsidRPr="002546E0" w:rsidRDefault="002546E0" w:rsidP="002546E0">
      <w:r w:rsidRPr="00A716A4">
        <w:t xml:space="preserve">This report was commissioned by the </w:t>
      </w:r>
      <w:r w:rsidRPr="002546E0">
        <w:t xml:space="preserve">Australian Centre for Student Equity and Success </w:t>
      </w:r>
      <w:r w:rsidRPr="00A716A4">
        <w:t>(</w:t>
      </w:r>
      <w:r>
        <w:t>ACSES</w:t>
      </w:r>
      <w:r w:rsidRPr="00A716A4">
        <w:t>) through its 202</w:t>
      </w:r>
      <w:r>
        <w:t>4</w:t>
      </w:r>
      <w:r w:rsidRPr="00A716A4">
        <w:t xml:space="preserve"> </w:t>
      </w:r>
      <w:r>
        <w:t xml:space="preserve">Small </w:t>
      </w:r>
      <w:r w:rsidRPr="00A716A4">
        <w:t xml:space="preserve">Research Grants Program. We are grateful to </w:t>
      </w:r>
      <w:r>
        <w:t>ACSES</w:t>
      </w:r>
      <w:r w:rsidRPr="00A716A4">
        <w:t xml:space="preserve"> for its financial support. The research builds on </w:t>
      </w:r>
      <w:r>
        <w:t>a</w:t>
      </w:r>
      <w:r w:rsidRPr="00A716A4">
        <w:t xml:space="preserve"> previous study funded </w:t>
      </w:r>
      <w:r>
        <w:t>by</w:t>
      </w:r>
      <w:r w:rsidRPr="00A716A4">
        <w:t xml:space="preserve"> the Australian Research Council Centre of Excellence for Children and Families over the Life Course (project number </w:t>
      </w:r>
      <w:r w:rsidRPr="000B4FA9">
        <w:t>CE200100025</w:t>
      </w:r>
      <w:r w:rsidRPr="00A716A4">
        <w:t>)</w:t>
      </w:r>
      <w:r>
        <w:t xml:space="preserve">. </w:t>
      </w:r>
      <w:r w:rsidRPr="00A716A4">
        <w:t xml:space="preserve">Ethics approval for the research was granted by The University of Queensland’s Office of Research Ethics (project number </w:t>
      </w:r>
      <w:r w:rsidRPr="002546E0">
        <w:t>2023/HE002438</w:t>
      </w:r>
      <w:r w:rsidRPr="00A716A4">
        <w:t xml:space="preserve">). </w:t>
      </w:r>
    </w:p>
    <w:p w14:paraId="76B3EFC0" w14:textId="290CE1D5" w:rsidR="002546E0" w:rsidRPr="002546E0" w:rsidRDefault="002546E0" w:rsidP="002546E0">
      <w:r w:rsidRPr="002546E0">
        <w:t>The results of these studies are based, in part, on data supplied to the</w:t>
      </w:r>
      <w:r w:rsidR="000C600B">
        <w:t xml:space="preserve"> </w:t>
      </w:r>
      <w:r w:rsidR="000C600B" w:rsidRPr="000C600B">
        <w:t>Australian Bureau of Statistics</w:t>
      </w:r>
      <w:r w:rsidRPr="002546E0">
        <w:t xml:space="preserve"> </w:t>
      </w:r>
      <w:r w:rsidR="000C600B">
        <w:t>(</w:t>
      </w:r>
      <w:r w:rsidRPr="002546E0">
        <w:t>ABS</w:t>
      </w:r>
      <w:r w:rsidR="000C600B">
        <w:t>)</w:t>
      </w:r>
      <w:r w:rsidRPr="002546E0">
        <w:t xml:space="preserve"> under the Taxation Administration Act 1953, A New Tax System (Australian Business Number) Act 1999, Australian Border Force Act 2015, Social Security (Administration) Act 1999, A New Tax System (Family Assistance) (Administration) Act 1999, Paid Parental Leave Act 2010</w:t>
      </w:r>
      <w:r w:rsidR="000C600B">
        <w:t>,</w:t>
      </w:r>
      <w:r w:rsidRPr="002546E0">
        <w:t xml:space="preserve"> and/or the Student Assistance Act 1973. Such data may only </w:t>
      </w:r>
      <w:r w:rsidR="00E42A2B">
        <w:t>be</w:t>
      </w:r>
      <w:r w:rsidRPr="002546E0">
        <w:t xml:space="preserve"> used for the purpose of administering the Census and Statistics Act 1905 or performance of functions of the ABS as set out in section 6 of the Australian Bureau of Statistics Act 1975. No individual information collected under the Census and Statistics Act 1905 is provided back to custodians for administrative or regulatory purposes. Any discussion of data limitations or weaknesses is in the context of using the data for statistical purposes and is not related to the ability of the data to support</w:t>
      </w:r>
      <w:r w:rsidR="008E418F">
        <w:t xml:space="preserve"> the core operational requirements of</w:t>
      </w:r>
      <w:r w:rsidRPr="002546E0">
        <w:t xml:space="preserve"> the Australian Taxation Office, Australian Business Register, Department of Social Services</w:t>
      </w:r>
      <w:r w:rsidR="000C600B">
        <w:t>,</w:t>
      </w:r>
      <w:r w:rsidRPr="002546E0">
        <w:t xml:space="preserve"> and/or Department of Home Affairs.</w:t>
      </w:r>
    </w:p>
    <w:p w14:paraId="70017E5A" w14:textId="1878C202" w:rsidR="002546E0" w:rsidRPr="002546E0" w:rsidRDefault="002546E0" w:rsidP="002546E0">
      <w:r w:rsidRPr="002546E0">
        <w:t>Legislative requirements to ensure privacy and secrecy of these data have been followed. For access to</w:t>
      </w:r>
      <w:r w:rsidR="00B307AA">
        <w:t xml:space="preserve"> data from the </w:t>
      </w:r>
      <w:r w:rsidR="00B307AA" w:rsidRPr="00B31350">
        <w:rPr>
          <w:color w:val="000000"/>
        </w:rPr>
        <w:t>Person Level Integrated Data Asset</w:t>
      </w:r>
      <w:r w:rsidRPr="002546E0">
        <w:t xml:space="preserve"> </w:t>
      </w:r>
      <w:r w:rsidR="00B307AA">
        <w:t>(</w:t>
      </w:r>
      <w:r w:rsidRPr="00B307AA">
        <w:t>PLIDA</w:t>
      </w:r>
      <w:r w:rsidR="00B307AA">
        <w:t>)</w:t>
      </w:r>
      <w:r w:rsidRPr="00B307AA">
        <w:t xml:space="preserve"> and/or </w:t>
      </w:r>
      <w:r w:rsidR="00B307AA">
        <w:t xml:space="preserve">the </w:t>
      </w:r>
      <w:r w:rsidR="00B307AA" w:rsidRPr="000C600B">
        <w:rPr>
          <w:color w:val="000000"/>
        </w:rPr>
        <w:t>Business</w:t>
      </w:r>
      <w:r w:rsidR="00B307AA">
        <w:rPr>
          <w:color w:val="000000"/>
        </w:rPr>
        <w:t xml:space="preserve"> </w:t>
      </w:r>
      <w:r w:rsidR="00B307AA" w:rsidRPr="000C600B">
        <w:rPr>
          <w:color w:val="000000"/>
        </w:rPr>
        <w:t>Longitudinal Analysis Data Environment</w:t>
      </w:r>
      <w:r w:rsidR="00B307AA" w:rsidRPr="00B307AA">
        <w:t xml:space="preserve"> </w:t>
      </w:r>
      <w:r w:rsidR="00B307AA">
        <w:t>(</w:t>
      </w:r>
      <w:r w:rsidRPr="00B307AA">
        <w:t>BLADE</w:t>
      </w:r>
      <w:r w:rsidR="00B307AA">
        <w:t>)</w:t>
      </w:r>
      <w:r w:rsidRPr="002546E0">
        <w:t xml:space="preserve"> under Section 16A of the ABS Act 1975 or enabled by section 15 of the Census and Statistics (Information Release and Access) Determination 2018, source data are de-identified and so data about specific individuals has not been viewed in conducting this analysis. In accordance with the Census and Statistics Act 1905, results have been treated where necessary to ensure that they are not likely to enable identification of a particular person or organisation.</w:t>
      </w:r>
    </w:p>
    <w:p w14:paraId="692B7583" w14:textId="4B2F754D" w:rsidR="008C7722" w:rsidRPr="002F3A26" w:rsidRDefault="008C7722" w:rsidP="00BB5114">
      <w:r w:rsidRPr="002F3A26">
        <w:br w:type="page"/>
      </w:r>
    </w:p>
    <w:p w14:paraId="4348135B" w14:textId="1B9DEC45" w:rsidR="008C7722" w:rsidRPr="002F3A26" w:rsidRDefault="008C7722" w:rsidP="002A7923">
      <w:pPr>
        <w:pStyle w:val="headingnotitTOC"/>
      </w:pPr>
      <w:bookmarkStart w:id="3" w:name="_Toc170822381"/>
      <w:r w:rsidRPr="002F3A26">
        <w:lastRenderedPageBreak/>
        <w:t xml:space="preserve">Table of </w:t>
      </w:r>
      <w:r w:rsidR="00210A5C">
        <w:t>c</w:t>
      </w:r>
      <w:r w:rsidRPr="002F3A26">
        <w:t>ontents</w:t>
      </w:r>
      <w:bookmarkEnd w:id="3"/>
    </w:p>
    <w:sdt>
      <w:sdtPr>
        <w:rPr>
          <w:rFonts w:eastAsiaTheme="minorEastAsia" w:cs="Times New Roman"/>
          <w:b/>
          <w:bCs/>
          <w:kern w:val="2"/>
        </w:rPr>
        <w:id w:val="-389729565"/>
        <w:docPartObj>
          <w:docPartGallery w:val="Table of Contents"/>
          <w:docPartUnique/>
        </w:docPartObj>
      </w:sdtPr>
      <w:sdtEndPr>
        <w:rPr>
          <w:b w:val="0"/>
          <w:bCs w:val="0"/>
          <w:kern w:val="0"/>
        </w:rPr>
      </w:sdtEndPr>
      <w:sdtContent>
        <w:p w14:paraId="7DB1B2E6" w14:textId="12C00343" w:rsidR="00B24DFD" w:rsidRDefault="00C86A7E">
          <w:pPr>
            <w:pStyle w:val="TOC1"/>
            <w:rPr>
              <w:rFonts w:asciiTheme="minorHAnsi" w:eastAsiaTheme="minorEastAsia" w:hAnsiTheme="minorHAnsi" w:cstheme="minorBidi"/>
              <w:noProof/>
              <w:kern w:val="2"/>
              <w:sz w:val="24"/>
              <w:lang w:eastAsia="en-AU"/>
              <w14:ligatures w14:val="standardContextual"/>
            </w:rPr>
          </w:pPr>
          <w:r w:rsidRPr="002F3A26">
            <w:fldChar w:fldCharType="begin"/>
          </w:r>
          <w:r w:rsidRPr="002F3A26">
            <w:instrText xml:space="preserve"> TOC \o "1-3" \h \z \u </w:instrText>
          </w:r>
          <w:r w:rsidRPr="002F3A26">
            <w:fldChar w:fldCharType="separate"/>
          </w:r>
          <w:hyperlink w:anchor="_Toc202791782" w:history="1">
            <w:r w:rsidR="00B24DFD" w:rsidRPr="009B474A">
              <w:rPr>
                <w:rStyle w:val="Hyperlink"/>
                <w:noProof/>
              </w:rPr>
              <w:t>1.</w:t>
            </w:r>
            <w:r w:rsidR="00B24DFD">
              <w:rPr>
                <w:rFonts w:asciiTheme="minorHAnsi" w:eastAsiaTheme="minorEastAsia" w:hAnsiTheme="minorHAnsi" w:cstheme="minorBidi"/>
                <w:noProof/>
                <w:kern w:val="2"/>
                <w:sz w:val="24"/>
                <w:lang w:eastAsia="en-AU"/>
                <w14:ligatures w14:val="standardContextual"/>
              </w:rPr>
              <w:tab/>
            </w:r>
            <w:r w:rsidR="00B24DFD" w:rsidRPr="009B474A">
              <w:rPr>
                <w:rStyle w:val="Hyperlink"/>
                <w:noProof/>
              </w:rPr>
              <w:t>Executive summary</w:t>
            </w:r>
            <w:r w:rsidR="00B24DFD">
              <w:rPr>
                <w:noProof/>
                <w:webHidden/>
              </w:rPr>
              <w:tab/>
            </w:r>
            <w:r w:rsidR="00B24DFD">
              <w:rPr>
                <w:noProof/>
                <w:webHidden/>
              </w:rPr>
              <w:fldChar w:fldCharType="begin"/>
            </w:r>
            <w:r w:rsidR="00B24DFD">
              <w:rPr>
                <w:noProof/>
                <w:webHidden/>
              </w:rPr>
              <w:instrText xml:space="preserve"> PAGEREF _Toc202791782 \h </w:instrText>
            </w:r>
            <w:r w:rsidR="00B24DFD">
              <w:rPr>
                <w:noProof/>
                <w:webHidden/>
              </w:rPr>
            </w:r>
            <w:r w:rsidR="00B24DFD">
              <w:rPr>
                <w:noProof/>
                <w:webHidden/>
              </w:rPr>
              <w:fldChar w:fldCharType="separate"/>
            </w:r>
            <w:r w:rsidR="0039644F">
              <w:rPr>
                <w:noProof/>
                <w:webHidden/>
              </w:rPr>
              <w:t>2</w:t>
            </w:r>
            <w:r w:rsidR="00B24DFD">
              <w:rPr>
                <w:noProof/>
                <w:webHidden/>
              </w:rPr>
              <w:fldChar w:fldCharType="end"/>
            </w:r>
          </w:hyperlink>
        </w:p>
        <w:p w14:paraId="25291B51" w14:textId="0E615A77"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783" w:history="1">
            <w:r w:rsidRPr="009B474A">
              <w:rPr>
                <w:rStyle w:val="Hyperlink"/>
                <w:noProof/>
              </w:rPr>
              <w:t>2.</w:t>
            </w:r>
            <w:r>
              <w:rPr>
                <w:rFonts w:asciiTheme="minorHAnsi" w:eastAsiaTheme="minorEastAsia" w:hAnsiTheme="minorHAnsi" w:cstheme="minorBidi"/>
                <w:noProof/>
                <w:kern w:val="2"/>
                <w:sz w:val="24"/>
                <w:lang w:eastAsia="en-AU"/>
                <w14:ligatures w14:val="standardContextual"/>
              </w:rPr>
              <w:tab/>
            </w:r>
            <w:r w:rsidRPr="009B474A">
              <w:rPr>
                <w:rStyle w:val="Hyperlink"/>
                <w:noProof/>
              </w:rPr>
              <w:t>Recommendations</w:t>
            </w:r>
            <w:r>
              <w:rPr>
                <w:noProof/>
                <w:webHidden/>
              </w:rPr>
              <w:tab/>
            </w:r>
            <w:r>
              <w:rPr>
                <w:noProof/>
                <w:webHidden/>
              </w:rPr>
              <w:fldChar w:fldCharType="begin"/>
            </w:r>
            <w:r>
              <w:rPr>
                <w:noProof/>
                <w:webHidden/>
              </w:rPr>
              <w:instrText xml:space="preserve"> PAGEREF _Toc202791783 \h </w:instrText>
            </w:r>
            <w:r>
              <w:rPr>
                <w:noProof/>
                <w:webHidden/>
              </w:rPr>
            </w:r>
            <w:r>
              <w:rPr>
                <w:noProof/>
                <w:webHidden/>
              </w:rPr>
              <w:fldChar w:fldCharType="separate"/>
            </w:r>
            <w:r w:rsidR="0039644F">
              <w:rPr>
                <w:noProof/>
                <w:webHidden/>
              </w:rPr>
              <w:t>4</w:t>
            </w:r>
            <w:r>
              <w:rPr>
                <w:noProof/>
                <w:webHidden/>
              </w:rPr>
              <w:fldChar w:fldCharType="end"/>
            </w:r>
          </w:hyperlink>
        </w:p>
        <w:p w14:paraId="3509AC59" w14:textId="5030E251"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784" w:history="1">
            <w:r w:rsidRPr="009B474A">
              <w:rPr>
                <w:rStyle w:val="Hyperlink"/>
                <w:noProof/>
              </w:rPr>
              <w:t>3.</w:t>
            </w:r>
            <w:r>
              <w:rPr>
                <w:rFonts w:asciiTheme="minorHAnsi" w:eastAsiaTheme="minorEastAsia" w:hAnsiTheme="minorHAnsi" w:cstheme="minorBidi"/>
                <w:noProof/>
                <w:kern w:val="2"/>
                <w:sz w:val="24"/>
                <w:lang w:eastAsia="en-AU"/>
                <w14:ligatures w14:val="standardContextual"/>
              </w:rPr>
              <w:tab/>
            </w:r>
            <w:r w:rsidRPr="009B474A">
              <w:rPr>
                <w:rStyle w:val="Hyperlink"/>
                <w:noProof/>
              </w:rPr>
              <w:t>Introduction</w:t>
            </w:r>
            <w:r>
              <w:rPr>
                <w:noProof/>
                <w:webHidden/>
              </w:rPr>
              <w:tab/>
            </w:r>
            <w:r>
              <w:rPr>
                <w:noProof/>
                <w:webHidden/>
              </w:rPr>
              <w:fldChar w:fldCharType="begin"/>
            </w:r>
            <w:r>
              <w:rPr>
                <w:noProof/>
                <w:webHidden/>
              </w:rPr>
              <w:instrText xml:space="preserve"> PAGEREF _Toc202791784 \h </w:instrText>
            </w:r>
            <w:r>
              <w:rPr>
                <w:noProof/>
                <w:webHidden/>
              </w:rPr>
            </w:r>
            <w:r>
              <w:rPr>
                <w:noProof/>
                <w:webHidden/>
              </w:rPr>
              <w:fldChar w:fldCharType="separate"/>
            </w:r>
            <w:r w:rsidR="0039644F">
              <w:rPr>
                <w:noProof/>
                <w:webHidden/>
              </w:rPr>
              <w:t>5</w:t>
            </w:r>
            <w:r>
              <w:rPr>
                <w:noProof/>
                <w:webHidden/>
              </w:rPr>
              <w:fldChar w:fldCharType="end"/>
            </w:r>
          </w:hyperlink>
        </w:p>
        <w:p w14:paraId="4F259578" w14:textId="56C2FD0B"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785" w:history="1">
            <w:r w:rsidRPr="009B474A">
              <w:rPr>
                <w:rStyle w:val="Hyperlink"/>
                <w:noProof/>
              </w:rPr>
              <w:t>4.</w:t>
            </w:r>
            <w:r>
              <w:rPr>
                <w:rFonts w:asciiTheme="minorHAnsi" w:eastAsiaTheme="minorEastAsia" w:hAnsiTheme="minorHAnsi" w:cstheme="minorBidi"/>
                <w:noProof/>
                <w:kern w:val="2"/>
                <w:sz w:val="24"/>
                <w:lang w:eastAsia="en-AU"/>
                <w14:ligatures w14:val="standardContextual"/>
              </w:rPr>
              <w:tab/>
            </w:r>
            <w:r w:rsidRPr="009B474A">
              <w:rPr>
                <w:rStyle w:val="Hyperlink"/>
                <w:noProof/>
              </w:rPr>
              <w:t>Background</w:t>
            </w:r>
            <w:r>
              <w:rPr>
                <w:noProof/>
                <w:webHidden/>
              </w:rPr>
              <w:tab/>
            </w:r>
            <w:r>
              <w:rPr>
                <w:noProof/>
                <w:webHidden/>
              </w:rPr>
              <w:fldChar w:fldCharType="begin"/>
            </w:r>
            <w:r>
              <w:rPr>
                <w:noProof/>
                <w:webHidden/>
              </w:rPr>
              <w:instrText xml:space="preserve"> PAGEREF _Toc202791785 \h </w:instrText>
            </w:r>
            <w:r>
              <w:rPr>
                <w:noProof/>
                <w:webHidden/>
              </w:rPr>
            </w:r>
            <w:r>
              <w:rPr>
                <w:noProof/>
                <w:webHidden/>
              </w:rPr>
              <w:fldChar w:fldCharType="separate"/>
            </w:r>
            <w:r w:rsidR="0039644F">
              <w:rPr>
                <w:noProof/>
                <w:webHidden/>
              </w:rPr>
              <w:t>7</w:t>
            </w:r>
            <w:r>
              <w:rPr>
                <w:noProof/>
                <w:webHidden/>
              </w:rPr>
              <w:fldChar w:fldCharType="end"/>
            </w:r>
          </w:hyperlink>
        </w:p>
        <w:p w14:paraId="6FE3ECD7" w14:textId="6DF0229E" w:rsidR="00B24DFD" w:rsidRDefault="00B24DFD">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02791786" w:history="1">
            <w:r w:rsidRPr="009B474A">
              <w:rPr>
                <w:rStyle w:val="Hyperlink"/>
                <w:rFonts w:ascii="Segoe UI" w:hAnsi="Segoe UI"/>
                <w:noProof/>
              </w:rPr>
              <w:t>4.1</w:t>
            </w:r>
            <w:r>
              <w:rPr>
                <w:rFonts w:asciiTheme="minorHAnsi" w:eastAsiaTheme="minorEastAsia" w:hAnsiTheme="minorHAnsi" w:cstheme="minorBidi"/>
                <w:noProof/>
                <w:kern w:val="2"/>
                <w:sz w:val="24"/>
                <w:lang w:eastAsia="en-AU"/>
                <w14:ligatures w14:val="standardContextual"/>
              </w:rPr>
              <w:tab/>
            </w:r>
            <w:r w:rsidRPr="009B474A">
              <w:rPr>
                <w:rStyle w:val="Hyperlink"/>
                <w:noProof/>
              </w:rPr>
              <w:t>Social background and educational outcomes</w:t>
            </w:r>
            <w:r>
              <w:rPr>
                <w:noProof/>
                <w:webHidden/>
              </w:rPr>
              <w:tab/>
            </w:r>
            <w:r>
              <w:rPr>
                <w:noProof/>
                <w:webHidden/>
              </w:rPr>
              <w:fldChar w:fldCharType="begin"/>
            </w:r>
            <w:r>
              <w:rPr>
                <w:noProof/>
                <w:webHidden/>
              </w:rPr>
              <w:instrText xml:space="preserve"> PAGEREF _Toc202791786 \h </w:instrText>
            </w:r>
            <w:r>
              <w:rPr>
                <w:noProof/>
                <w:webHidden/>
              </w:rPr>
            </w:r>
            <w:r>
              <w:rPr>
                <w:noProof/>
                <w:webHidden/>
              </w:rPr>
              <w:fldChar w:fldCharType="separate"/>
            </w:r>
            <w:r w:rsidR="0039644F">
              <w:rPr>
                <w:noProof/>
                <w:webHidden/>
              </w:rPr>
              <w:t>7</w:t>
            </w:r>
            <w:r>
              <w:rPr>
                <w:noProof/>
                <w:webHidden/>
              </w:rPr>
              <w:fldChar w:fldCharType="end"/>
            </w:r>
          </w:hyperlink>
        </w:p>
        <w:p w14:paraId="1601E28D" w14:textId="5FF7C5A4"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87" w:history="1">
            <w:r w:rsidRPr="009B474A">
              <w:rPr>
                <w:rStyle w:val="Hyperlink"/>
                <w:rFonts w:ascii="Segoe UI" w:hAnsi="Segoe UI"/>
                <w:noProof/>
              </w:rPr>
              <w:t>4.1.1</w:t>
            </w:r>
            <w:r>
              <w:rPr>
                <w:rFonts w:asciiTheme="minorHAnsi" w:eastAsiaTheme="minorEastAsia" w:hAnsiTheme="minorHAnsi" w:cstheme="minorBidi"/>
                <w:noProof/>
                <w:kern w:val="2"/>
                <w:sz w:val="24"/>
                <w:lang w:eastAsia="en-AU"/>
                <w14:ligatures w14:val="standardContextual"/>
              </w:rPr>
              <w:tab/>
            </w:r>
            <w:r w:rsidRPr="009B474A">
              <w:rPr>
                <w:rStyle w:val="Hyperlink"/>
                <w:noProof/>
              </w:rPr>
              <w:t>Theories of social class</w:t>
            </w:r>
            <w:r>
              <w:rPr>
                <w:noProof/>
                <w:webHidden/>
              </w:rPr>
              <w:tab/>
            </w:r>
            <w:r>
              <w:rPr>
                <w:noProof/>
                <w:webHidden/>
              </w:rPr>
              <w:fldChar w:fldCharType="begin"/>
            </w:r>
            <w:r>
              <w:rPr>
                <w:noProof/>
                <w:webHidden/>
              </w:rPr>
              <w:instrText xml:space="preserve"> PAGEREF _Toc202791787 \h </w:instrText>
            </w:r>
            <w:r>
              <w:rPr>
                <w:noProof/>
                <w:webHidden/>
              </w:rPr>
            </w:r>
            <w:r>
              <w:rPr>
                <w:noProof/>
                <w:webHidden/>
              </w:rPr>
              <w:fldChar w:fldCharType="separate"/>
            </w:r>
            <w:r w:rsidR="0039644F">
              <w:rPr>
                <w:noProof/>
                <w:webHidden/>
              </w:rPr>
              <w:t>7</w:t>
            </w:r>
            <w:r>
              <w:rPr>
                <w:noProof/>
                <w:webHidden/>
              </w:rPr>
              <w:fldChar w:fldCharType="end"/>
            </w:r>
          </w:hyperlink>
        </w:p>
        <w:p w14:paraId="615D0B2B" w14:textId="4A285AA6"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88" w:history="1">
            <w:r w:rsidRPr="009B474A">
              <w:rPr>
                <w:rStyle w:val="Hyperlink"/>
                <w:rFonts w:ascii="Segoe UI" w:hAnsi="Segoe UI"/>
                <w:noProof/>
              </w:rPr>
              <w:t>4.1.2</w:t>
            </w:r>
            <w:r>
              <w:rPr>
                <w:rFonts w:asciiTheme="minorHAnsi" w:eastAsiaTheme="minorEastAsia" w:hAnsiTheme="minorHAnsi" w:cstheme="minorBidi"/>
                <w:noProof/>
                <w:kern w:val="2"/>
                <w:sz w:val="24"/>
                <w:lang w:eastAsia="en-AU"/>
                <w14:ligatures w14:val="standardContextual"/>
              </w:rPr>
              <w:tab/>
            </w:r>
            <w:r w:rsidRPr="009B474A">
              <w:rPr>
                <w:rStyle w:val="Hyperlink"/>
                <w:noProof/>
              </w:rPr>
              <w:t>Relevance of parental education</w:t>
            </w:r>
            <w:r>
              <w:rPr>
                <w:noProof/>
                <w:webHidden/>
              </w:rPr>
              <w:tab/>
            </w:r>
            <w:r>
              <w:rPr>
                <w:noProof/>
                <w:webHidden/>
              </w:rPr>
              <w:fldChar w:fldCharType="begin"/>
            </w:r>
            <w:r>
              <w:rPr>
                <w:noProof/>
                <w:webHidden/>
              </w:rPr>
              <w:instrText xml:space="preserve"> PAGEREF _Toc202791788 \h </w:instrText>
            </w:r>
            <w:r>
              <w:rPr>
                <w:noProof/>
                <w:webHidden/>
              </w:rPr>
            </w:r>
            <w:r>
              <w:rPr>
                <w:noProof/>
                <w:webHidden/>
              </w:rPr>
              <w:fldChar w:fldCharType="separate"/>
            </w:r>
            <w:r w:rsidR="0039644F">
              <w:rPr>
                <w:noProof/>
                <w:webHidden/>
              </w:rPr>
              <w:t>8</w:t>
            </w:r>
            <w:r>
              <w:rPr>
                <w:noProof/>
                <w:webHidden/>
              </w:rPr>
              <w:fldChar w:fldCharType="end"/>
            </w:r>
          </w:hyperlink>
        </w:p>
        <w:p w14:paraId="4982698E" w14:textId="3E77971A"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89" w:history="1">
            <w:r w:rsidRPr="009B474A">
              <w:rPr>
                <w:rStyle w:val="Hyperlink"/>
                <w:rFonts w:ascii="Segoe UI" w:hAnsi="Segoe UI" w:cs="Segoe UI"/>
                <w:noProof/>
              </w:rPr>
              <w:t>4.1.3</w:t>
            </w:r>
            <w:r>
              <w:rPr>
                <w:rFonts w:asciiTheme="minorHAnsi" w:eastAsiaTheme="minorEastAsia" w:hAnsiTheme="minorHAnsi" w:cstheme="minorBidi"/>
                <w:noProof/>
                <w:kern w:val="2"/>
                <w:sz w:val="24"/>
                <w:lang w:eastAsia="en-AU"/>
                <w14:ligatures w14:val="standardContextual"/>
              </w:rPr>
              <w:tab/>
            </w:r>
            <w:r w:rsidRPr="009B474A">
              <w:rPr>
                <w:rStyle w:val="Hyperlink"/>
                <w:noProof/>
              </w:rPr>
              <w:t>The role of cultural capital and habitus</w:t>
            </w:r>
            <w:r>
              <w:rPr>
                <w:noProof/>
                <w:webHidden/>
              </w:rPr>
              <w:tab/>
            </w:r>
            <w:r>
              <w:rPr>
                <w:noProof/>
                <w:webHidden/>
              </w:rPr>
              <w:fldChar w:fldCharType="begin"/>
            </w:r>
            <w:r>
              <w:rPr>
                <w:noProof/>
                <w:webHidden/>
              </w:rPr>
              <w:instrText xml:space="preserve"> PAGEREF _Toc202791789 \h </w:instrText>
            </w:r>
            <w:r>
              <w:rPr>
                <w:noProof/>
                <w:webHidden/>
              </w:rPr>
            </w:r>
            <w:r>
              <w:rPr>
                <w:noProof/>
                <w:webHidden/>
              </w:rPr>
              <w:fldChar w:fldCharType="separate"/>
            </w:r>
            <w:r w:rsidR="0039644F">
              <w:rPr>
                <w:noProof/>
                <w:webHidden/>
              </w:rPr>
              <w:t>8</w:t>
            </w:r>
            <w:r>
              <w:rPr>
                <w:noProof/>
                <w:webHidden/>
              </w:rPr>
              <w:fldChar w:fldCharType="end"/>
            </w:r>
          </w:hyperlink>
        </w:p>
        <w:p w14:paraId="2B184CDF" w14:textId="6A63A5A6" w:rsidR="00B24DFD" w:rsidRDefault="00B24DFD">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02791790" w:history="1">
            <w:r w:rsidRPr="009B474A">
              <w:rPr>
                <w:rStyle w:val="Hyperlink"/>
                <w:rFonts w:ascii="Segoe UI" w:hAnsi="Segoe UI"/>
                <w:noProof/>
              </w:rPr>
              <w:t>4.2</w:t>
            </w:r>
            <w:r>
              <w:rPr>
                <w:rFonts w:asciiTheme="minorHAnsi" w:eastAsiaTheme="minorEastAsia" w:hAnsiTheme="minorHAnsi" w:cstheme="minorBidi"/>
                <w:noProof/>
                <w:kern w:val="2"/>
                <w:sz w:val="24"/>
                <w:lang w:eastAsia="en-AU"/>
                <w14:ligatures w14:val="standardContextual"/>
              </w:rPr>
              <w:tab/>
            </w:r>
            <w:r w:rsidRPr="009B474A">
              <w:rPr>
                <w:rStyle w:val="Hyperlink"/>
                <w:noProof/>
              </w:rPr>
              <w:t>First-in-Family students in Australia</w:t>
            </w:r>
            <w:r>
              <w:rPr>
                <w:noProof/>
                <w:webHidden/>
              </w:rPr>
              <w:tab/>
            </w:r>
            <w:r>
              <w:rPr>
                <w:noProof/>
                <w:webHidden/>
              </w:rPr>
              <w:fldChar w:fldCharType="begin"/>
            </w:r>
            <w:r>
              <w:rPr>
                <w:noProof/>
                <w:webHidden/>
              </w:rPr>
              <w:instrText xml:space="preserve"> PAGEREF _Toc202791790 \h </w:instrText>
            </w:r>
            <w:r>
              <w:rPr>
                <w:noProof/>
                <w:webHidden/>
              </w:rPr>
            </w:r>
            <w:r>
              <w:rPr>
                <w:noProof/>
                <w:webHidden/>
              </w:rPr>
              <w:fldChar w:fldCharType="separate"/>
            </w:r>
            <w:r w:rsidR="0039644F">
              <w:rPr>
                <w:noProof/>
                <w:webHidden/>
              </w:rPr>
              <w:t>10</w:t>
            </w:r>
            <w:r>
              <w:rPr>
                <w:noProof/>
                <w:webHidden/>
              </w:rPr>
              <w:fldChar w:fldCharType="end"/>
            </w:r>
          </w:hyperlink>
        </w:p>
        <w:p w14:paraId="5E49CA25" w14:textId="4841FBA7"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91" w:history="1">
            <w:r w:rsidRPr="009B474A">
              <w:rPr>
                <w:rStyle w:val="Hyperlink"/>
                <w:rFonts w:ascii="Segoe UI" w:hAnsi="Segoe UI"/>
                <w:noProof/>
              </w:rPr>
              <w:t>4.2.1</w:t>
            </w:r>
            <w:r>
              <w:rPr>
                <w:rFonts w:asciiTheme="minorHAnsi" w:eastAsiaTheme="minorEastAsia" w:hAnsiTheme="minorHAnsi" w:cstheme="minorBidi"/>
                <w:noProof/>
                <w:kern w:val="2"/>
                <w:sz w:val="24"/>
                <w:lang w:eastAsia="en-AU"/>
                <w14:ligatures w14:val="standardContextual"/>
              </w:rPr>
              <w:tab/>
            </w:r>
            <w:r w:rsidRPr="009B474A">
              <w:rPr>
                <w:rStyle w:val="Hyperlink"/>
                <w:noProof/>
              </w:rPr>
              <w:t>Common barriers experienced by First-in-Family students</w:t>
            </w:r>
            <w:r>
              <w:rPr>
                <w:noProof/>
                <w:webHidden/>
              </w:rPr>
              <w:tab/>
            </w:r>
            <w:r>
              <w:rPr>
                <w:noProof/>
                <w:webHidden/>
              </w:rPr>
              <w:fldChar w:fldCharType="begin"/>
            </w:r>
            <w:r>
              <w:rPr>
                <w:noProof/>
                <w:webHidden/>
              </w:rPr>
              <w:instrText xml:space="preserve"> PAGEREF _Toc202791791 \h </w:instrText>
            </w:r>
            <w:r>
              <w:rPr>
                <w:noProof/>
                <w:webHidden/>
              </w:rPr>
            </w:r>
            <w:r>
              <w:rPr>
                <w:noProof/>
                <w:webHidden/>
              </w:rPr>
              <w:fldChar w:fldCharType="separate"/>
            </w:r>
            <w:r w:rsidR="0039644F">
              <w:rPr>
                <w:noProof/>
                <w:webHidden/>
              </w:rPr>
              <w:t>11</w:t>
            </w:r>
            <w:r>
              <w:rPr>
                <w:noProof/>
                <w:webHidden/>
              </w:rPr>
              <w:fldChar w:fldCharType="end"/>
            </w:r>
          </w:hyperlink>
        </w:p>
        <w:p w14:paraId="4FDCE40D" w14:textId="4E651E37"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92" w:history="1">
            <w:r w:rsidRPr="009B474A">
              <w:rPr>
                <w:rStyle w:val="Hyperlink"/>
                <w:rFonts w:ascii="Segoe UI" w:hAnsi="Segoe UI"/>
                <w:noProof/>
              </w:rPr>
              <w:t>4.2.2</w:t>
            </w:r>
            <w:r>
              <w:rPr>
                <w:rFonts w:asciiTheme="minorHAnsi" w:eastAsiaTheme="minorEastAsia" w:hAnsiTheme="minorHAnsi" w:cstheme="minorBidi"/>
                <w:noProof/>
                <w:kern w:val="2"/>
                <w:sz w:val="24"/>
                <w:lang w:eastAsia="en-AU"/>
                <w14:ligatures w14:val="standardContextual"/>
              </w:rPr>
              <w:tab/>
            </w:r>
            <w:r w:rsidRPr="009B474A">
              <w:rPr>
                <w:rStyle w:val="Hyperlink"/>
                <w:noProof/>
              </w:rPr>
              <w:t>Motivations of First-in-Family students</w:t>
            </w:r>
            <w:r>
              <w:rPr>
                <w:noProof/>
                <w:webHidden/>
              </w:rPr>
              <w:tab/>
            </w:r>
            <w:r>
              <w:rPr>
                <w:noProof/>
                <w:webHidden/>
              </w:rPr>
              <w:fldChar w:fldCharType="begin"/>
            </w:r>
            <w:r>
              <w:rPr>
                <w:noProof/>
                <w:webHidden/>
              </w:rPr>
              <w:instrText xml:space="preserve"> PAGEREF _Toc202791792 \h </w:instrText>
            </w:r>
            <w:r>
              <w:rPr>
                <w:noProof/>
                <w:webHidden/>
              </w:rPr>
            </w:r>
            <w:r>
              <w:rPr>
                <w:noProof/>
                <w:webHidden/>
              </w:rPr>
              <w:fldChar w:fldCharType="separate"/>
            </w:r>
            <w:r w:rsidR="0039644F">
              <w:rPr>
                <w:noProof/>
                <w:webHidden/>
              </w:rPr>
              <w:t>12</w:t>
            </w:r>
            <w:r>
              <w:rPr>
                <w:noProof/>
                <w:webHidden/>
              </w:rPr>
              <w:fldChar w:fldCharType="end"/>
            </w:r>
          </w:hyperlink>
        </w:p>
        <w:p w14:paraId="6825B52A" w14:textId="2D312BC7"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793" w:history="1">
            <w:r w:rsidRPr="009B474A">
              <w:rPr>
                <w:rStyle w:val="Hyperlink"/>
                <w:noProof/>
              </w:rPr>
              <w:t>5.</w:t>
            </w:r>
            <w:r>
              <w:rPr>
                <w:rFonts w:asciiTheme="minorHAnsi" w:eastAsiaTheme="minorEastAsia" w:hAnsiTheme="minorHAnsi" w:cstheme="minorBidi"/>
                <w:noProof/>
                <w:kern w:val="2"/>
                <w:sz w:val="24"/>
                <w:lang w:eastAsia="en-AU"/>
                <w14:ligatures w14:val="standardContextual"/>
              </w:rPr>
              <w:tab/>
            </w:r>
            <w:r w:rsidRPr="009B474A">
              <w:rPr>
                <w:rStyle w:val="Hyperlink"/>
                <w:noProof/>
              </w:rPr>
              <w:t>Methods</w:t>
            </w:r>
            <w:r>
              <w:rPr>
                <w:noProof/>
                <w:webHidden/>
              </w:rPr>
              <w:tab/>
            </w:r>
            <w:r>
              <w:rPr>
                <w:noProof/>
                <w:webHidden/>
              </w:rPr>
              <w:fldChar w:fldCharType="begin"/>
            </w:r>
            <w:r>
              <w:rPr>
                <w:noProof/>
                <w:webHidden/>
              </w:rPr>
              <w:instrText xml:space="preserve"> PAGEREF _Toc202791793 \h </w:instrText>
            </w:r>
            <w:r>
              <w:rPr>
                <w:noProof/>
                <w:webHidden/>
              </w:rPr>
            </w:r>
            <w:r>
              <w:rPr>
                <w:noProof/>
                <w:webHidden/>
              </w:rPr>
              <w:fldChar w:fldCharType="separate"/>
            </w:r>
            <w:r w:rsidR="0039644F">
              <w:rPr>
                <w:noProof/>
                <w:webHidden/>
              </w:rPr>
              <w:t>15</w:t>
            </w:r>
            <w:r>
              <w:rPr>
                <w:noProof/>
                <w:webHidden/>
              </w:rPr>
              <w:fldChar w:fldCharType="end"/>
            </w:r>
          </w:hyperlink>
        </w:p>
        <w:p w14:paraId="09A4026C" w14:textId="293B2E24" w:rsidR="00B24DFD" w:rsidRDefault="00B24DFD">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02791794" w:history="1">
            <w:r w:rsidRPr="009B474A">
              <w:rPr>
                <w:rStyle w:val="Hyperlink"/>
                <w:noProof/>
              </w:rPr>
              <w:t>5.1</w:t>
            </w:r>
            <w:r>
              <w:rPr>
                <w:rFonts w:asciiTheme="minorHAnsi" w:eastAsiaTheme="minorEastAsia" w:hAnsiTheme="minorHAnsi" w:cstheme="minorBidi"/>
                <w:noProof/>
                <w:kern w:val="2"/>
                <w:sz w:val="24"/>
                <w:lang w:eastAsia="en-AU"/>
                <w14:ligatures w14:val="standardContextual"/>
              </w:rPr>
              <w:tab/>
            </w:r>
            <w:r w:rsidRPr="009B474A">
              <w:rPr>
                <w:rStyle w:val="Hyperlink"/>
                <w:noProof/>
              </w:rPr>
              <w:t>Data and sample selection</w:t>
            </w:r>
            <w:r>
              <w:rPr>
                <w:noProof/>
                <w:webHidden/>
              </w:rPr>
              <w:tab/>
            </w:r>
            <w:r>
              <w:rPr>
                <w:noProof/>
                <w:webHidden/>
              </w:rPr>
              <w:fldChar w:fldCharType="begin"/>
            </w:r>
            <w:r>
              <w:rPr>
                <w:noProof/>
                <w:webHidden/>
              </w:rPr>
              <w:instrText xml:space="preserve"> PAGEREF _Toc202791794 \h </w:instrText>
            </w:r>
            <w:r>
              <w:rPr>
                <w:noProof/>
                <w:webHidden/>
              </w:rPr>
            </w:r>
            <w:r>
              <w:rPr>
                <w:noProof/>
                <w:webHidden/>
              </w:rPr>
              <w:fldChar w:fldCharType="separate"/>
            </w:r>
            <w:r w:rsidR="0039644F">
              <w:rPr>
                <w:noProof/>
                <w:webHidden/>
              </w:rPr>
              <w:t>15</w:t>
            </w:r>
            <w:r>
              <w:rPr>
                <w:noProof/>
                <w:webHidden/>
              </w:rPr>
              <w:fldChar w:fldCharType="end"/>
            </w:r>
          </w:hyperlink>
        </w:p>
        <w:p w14:paraId="73FDADDE" w14:textId="07665913" w:rsidR="00B24DFD" w:rsidRDefault="00B24DFD">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02791795" w:history="1">
            <w:r w:rsidRPr="009B474A">
              <w:rPr>
                <w:rStyle w:val="Hyperlink"/>
                <w:noProof/>
              </w:rPr>
              <w:t>5.2</w:t>
            </w:r>
            <w:r>
              <w:rPr>
                <w:rFonts w:asciiTheme="minorHAnsi" w:eastAsiaTheme="minorEastAsia" w:hAnsiTheme="minorHAnsi" w:cstheme="minorBidi"/>
                <w:noProof/>
                <w:kern w:val="2"/>
                <w:sz w:val="24"/>
                <w:lang w:eastAsia="en-AU"/>
                <w14:ligatures w14:val="standardContextual"/>
              </w:rPr>
              <w:tab/>
            </w:r>
            <w:r w:rsidRPr="009B474A">
              <w:rPr>
                <w:rStyle w:val="Hyperlink"/>
                <w:noProof/>
              </w:rPr>
              <w:t>Measures</w:t>
            </w:r>
            <w:r>
              <w:rPr>
                <w:noProof/>
                <w:webHidden/>
              </w:rPr>
              <w:tab/>
            </w:r>
            <w:r>
              <w:rPr>
                <w:noProof/>
                <w:webHidden/>
              </w:rPr>
              <w:fldChar w:fldCharType="begin"/>
            </w:r>
            <w:r>
              <w:rPr>
                <w:noProof/>
                <w:webHidden/>
              </w:rPr>
              <w:instrText xml:space="preserve"> PAGEREF _Toc202791795 \h </w:instrText>
            </w:r>
            <w:r>
              <w:rPr>
                <w:noProof/>
                <w:webHidden/>
              </w:rPr>
            </w:r>
            <w:r>
              <w:rPr>
                <w:noProof/>
                <w:webHidden/>
              </w:rPr>
              <w:fldChar w:fldCharType="separate"/>
            </w:r>
            <w:r w:rsidR="0039644F">
              <w:rPr>
                <w:noProof/>
                <w:webHidden/>
              </w:rPr>
              <w:t>15</w:t>
            </w:r>
            <w:r>
              <w:rPr>
                <w:noProof/>
                <w:webHidden/>
              </w:rPr>
              <w:fldChar w:fldCharType="end"/>
            </w:r>
          </w:hyperlink>
        </w:p>
        <w:p w14:paraId="6604062C" w14:textId="047A7956"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96" w:history="1">
            <w:r w:rsidRPr="009B474A">
              <w:rPr>
                <w:rStyle w:val="Hyperlink"/>
                <w:noProof/>
              </w:rPr>
              <w:t>5.2.1</w:t>
            </w:r>
            <w:r>
              <w:rPr>
                <w:rFonts w:asciiTheme="minorHAnsi" w:eastAsiaTheme="minorEastAsia" w:hAnsiTheme="minorHAnsi" w:cstheme="minorBidi"/>
                <w:noProof/>
                <w:kern w:val="2"/>
                <w:sz w:val="24"/>
                <w:lang w:eastAsia="en-AU"/>
                <w14:ligatures w14:val="standardContextual"/>
              </w:rPr>
              <w:tab/>
            </w:r>
            <w:r w:rsidRPr="009B474A">
              <w:rPr>
                <w:rStyle w:val="Hyperlink"/>
                <w:noProof/>
              </w:rPr>
              <w:t>Outcome variables</w:t>
            </w:r>
            <w:r>
              <w:rPr>
                <w:noProof/>
                <w:webHidden/>
              </w:rPr>
              <w:tab/>
            </w:r>
            <w:r>
              <w:rPr>
                <w:noProof/>
                <w:webHidden/>
              </w:rPr>
              <w:fldChar w:fldCharType="begin"/>
            </w:r>
            <w:r>
              <w:rPr>
                <w:noProof/>
                <w:webHidden/>
              </w:rPr>
              <w:instrText xml:space="preserve"> PAGEREF _Toc202791796 \h </w:instrText>
            </w:r>
            <w:r>
              <w:rPr>
                <w:noProof/>
                <w:webHidden/>
              </w:rPr>
            </w:r>
            <w:r>
              <w:rPr>
                <w:noProof/>
                <w:webHidden/>
              </w:rPr>
              <w:fldChar w:fldCharType="separate"/>
            </w:r>
            <w:r w:rsidR="0039644F">
              <w:rPr>
                <w:noProof/>
                <w:webHidden/>
              </w:rPr>
              <w:t>15</w:t>
            </w:r>
            <w:r>
              <w:rPr>
                <w:noProof/>
                <w:webHidden/>
              </w:rPr>
              <w:fldChar w:fldCharType="end"/>
            </w:r>
          </w:hyperlink>
        </w:p>
        <w:p w14:paraId="436DAECF" w14:textId="7732D822"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97" w:history="1">
            <w:r w:rsidRPr="009B474A">
              <w:rPr>
                <w:rStyle w:val="Hyperlink"/>
                <w:noProof/>
              </w:rPr>
              <w:t>5.2.2</w:t>
            </w:r>
            <w:r>
              <w:rPr>
                <w:rFonts w:asciiTheme="minorHAnsi" w:eastAsiaTheme="minorEastAsia" w:hAnsiTheme="minorHAnsi" w:cstheme="minorBidi"/>
                <w:noProof/>
                <w:kern w:val="2"/>
                <w:sz w:val="24"/>
                <w:lang w:eastAsia="en-AU"/>
                <w14:ligatures w14:val="standardContextual"/>
              </w:rPr>
              <w:tab/>
            </w:r>
            <w:r w:rsidRPr="009B474A">
              <w:rPr>
                <w:rStyle w:val="Hyperlink"/>
                <w:noProof/>
              </w:rPr>
              <w:t>First-in-Family status</w:t>
            </w:r>
            <w:r>
              <w:rPr>
                <w:noProof/>
                <w:webHidden/>
              </w:rPr>
              <w:tab/>
            </w:r>
            <w:r>
              <w:rPr>
                <w:noProof/>
                <w:webHidden/>
              </w:rPr>
              <w:fldChar w:fldCharType="begin"/>
            </w:r>
            <w:r>
              <w:rPr>
                <w:noProof/>
                <w:webHidden/>
              </w:rPr>
              <w:instrText xml:space="preserve"> PAGEREF _Toc202791797 \h </w:instrText>
            </w:r>
            <w:r>
              <w:rPr>
                <w:noProof/>
                <w:webHidden/>
              </w:rPr>
            </w:r>
            <w:r>
              <w:rPr>
                <w:noProof/>
                <w:webHidden/>
              </w:rPr>
              <w:fldChar w:fldCharType="separate"/>
            </w:r>
            <w:r w:rsidR="0039644F">
              <w:rPr>
                <w:noProof/>
                <w:webHidden/>
              </w:rPr>
              <w:t>16</w:t>
            </w:r>
            <w:r>
              <w:rPr>
                <w:noProof/>
                <w:webHidden/>
              </w:rPr>
              <w:fldChar w:fldCharType="end"/>
            </w:r>
          </w:hyperlink>
        </w:p>
        <w:p w14:paraId="61D81975" w14:textId="65FC481C"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98" w:history="1">
            <w:r w:rsidRPr="009B474A">
              <w:rPr>
                <w:rStyle w:val="Hyperlink"/>
                <w:noProof/>
              </w:rPr>
              <w:t>5.2.3</w:t>
            </w:r>
            <w:r>
              <w:rPr>
                <w:rFonts w:asciiTheme="minorHAnsi" w:eastAsiaTheme="minorEastAsia" w:hAnsiTheme="minorHAnsi" w:cstheme="minorBidi"/>
                <w:noProof/>
                <w:kern w:val="2"/>
                <w:sz w:val="24"/>
                <w:lang w:eastAsia="en-AU"/>
                <w14:ligatures w14:val="standardContextual"/>
              </w:rPr>
              <w:tab/>
            </w:r>
            <w:r w:rsidRPr="009B474A">
              <w:rPr>
                <w:rStyle w:val="Hyperlink"/>
                <w:noProof/>
              </w:rPr>
              <w:t>Equity group membership</w:t>
            </w:r>
            <w:r>
              <w:rPr>
                <w:noProof/>
                <w:webHidden/>
              </w:rPr>
              <w:tab/>
            </w:r>
            <w:r>
              <w:rPr>
                <w:noProof/>
                <w:webHidden/>
              </w:rPr>
              <w:fldChar w:fldCharType="begin"/>
            </w:r>
            <w:r>
              <w:rPr>
                <w:noProof/>
                <w:webHidden/>
              </w:rPr>
              <w:instrText xml:space="preserve"> PAGEREF _Toc202791798 \h </w:instrText>
            </w:r>
            <w:r>
              <w:rPr>
                <w:noProof/>
                <w:webHidden/>
              </w:rPr>
            </w:r>
            <w:r>
              <w:rPr>
                <w:noProof/>
                <w:webHidden/>
              </w:rPr>
              <w:fldChar w:fldCharType="separate"/>
            </w:r>
            <w:r w:rsidR="0039644F">
              <w:rPr>
                <w:noProof/>
                <w:webHidden/>
              </w:rPr>
              <w:t>16</w:t>
            </w:r>
            <w:r>
              <w:rPr>
                <w:noProof/>
                <w:webHidden/>
              </w:rPr>
              <w:fldChar w:fldCharType="end"/>
            </w:r>
          </w:hyperlink>
        </w:p>
        <w:p w14:paraId="3A558AAD" w14:textId="0881B7E1"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799" w:history="1">
            <w:r w:rsidRPr="009B474A">
              <w:rPr>
                <w:rStyle w:val="Hyperlink"/>
                <w:noProof/>
              </w:rPr>
              <w:t>5.2.4</w:t>
            </w:r>
            <w:r>
              <w:rPr>
                <w:rFonts w:asciiTheme="minorHAnsi" w:eastAsiaTheme="minorEastAsia" w:hAnsiTheme="minorHAnsi" w:cstheme="minorBidi"/>
                <w:noProof/>
                <w:kern w:val="2"/>
                <w:sz w:val="24"/>
                <w:lang w:eastAsia="en-AU"/>
                <w14:ligatures w14:val="standardContextual"/>
              </w:rPr>
              <w:tab/>
            </w:r>
            <w:r w:rsidRPr="009B474A">
              <w:rPr>
                <w:rStyle w:val="Hyperlink"/>
                <w:noProof/>
              </w:rPr>
              <w:t>Control variables</w:t>
            </w:r>
            <w:r>
              <w:rPr>
                <w:noProof/>
                <w:webHidden/>
              </w:rPr>
              <w:tab/>
            </w:r>
            <w:r>
              <w:rPr>
                <w:noProof/>
                <w:webHidden/>
              </w:rPr>
              <w:fldChar w:fldCharType="begin"/>
            </w:r>
            <w:r>
              <w:rPr>
                <w:noProof/>
                <w:webHidden/>
              </w:rPr>
              <w:instrText xml:space="preserve"> PAGEREF _Toc202791799 \h </w:instrText>
            </w:r>
            <w:r>
              <w:rPr>
                <w:noProof/>
                <w:webHidden/>
              </w:rPr>
            </w:r>
            <w:r>
              <w:rPr>
                <w:noProof/>
                <w:webHidden/>
              </w:rPr>
              <w:fldChar w:fldCharType="separate"/>
            </w:r>
            <w:r w:rsidR="0039644F">
              <w:rPr>
                <w:noProof/>
                <w:webHidden/>
              </w:rPr>
              <w:t>17</w:t>
            </w:r>
            <w:r>
              <w:rPr>
                <w:noProof/>
                <w:webHidden/>
              </w:rPr>
              <w:fldChar w:fldCharType="end"/>
            </w:r>
          </w:hyperlink>
        </w:p>
        <w:p w14:paraId="7EB5DB45" w14:textId="5BFB044E" w:rsidR="00B24DFD" w:rsidRDefault="00B24DFD">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02791800" w:history="1">
            <w:r w:rsidRPr="009B474A">
              <w:rPr>
                <w:rStyle w:val="Hyperlink"/>
                <w:noProof/>
              </w:rPr>
              <w:t>5.3</w:t>
            </w:r>
            <w:r>
              <w:rPr>
                <w:rFonts w:asciiTheme="minorHAnsi" w:eastAsiaTheme="minorEastAsia" w:hAnsiTheme="minorHAnsi" w:cstheme="minorBidi"/>
                <w:noProof/>
                <w:kern w:val="2"/>
                <w:sz w:val="24"/>
                <w:lang w:eastAsia="en-AU"/>
                <w14:ligatures w14:val="standardContextual"/>
              </w:rPr>
              <w:tab/>
            </w:r>
            <w:r w:rsidRPr="009B474A">
              <w:rPr>
                <w:rStyle w:val="Hyperlink"/>
                <w:noProof/>
              </w:rPr>
              <w:t>Analytic approach</w:t>
            </w:r>
            <w:r>
              <w:rPr>
                <w:noProof/>
                <w:webHidden/>
              </w:rPr>
              <w:tab/>
            </w:r>
            <w:r>
              <w:rPr>
                <w:noProof/>
                <w:webHidden/>
              </w:rPr>
              <w:fldChar w:fldCharType="begin"/>
            </w:r>
            <w:r>
              <w:rPr>
                <w:noProof/>
                <w:webHidden/>
              </w:rPr>
              <w:instrText xml:space="preserve"> PAGEREF _Toc202791800 \h </w:instrText>
            </w:r>
            <w:r>
              <w:rPr>
                <w:noProof/>
                <w:webHidden/>
              </w:rPr>
            </w:r>
            <w:r>
              <w:rPr>
                <w:noProof/>
                <w:webHidden/>
              </w:rPr>
              <w:fldChar w:fldCharType="separate"/>
            </w:r>
            <w:r w:rsidR="0039644F">
              <w:rPr>
                <w:noProof/>
                <w:webHidden/>
              </w:rPr>
              <w:t>17</w:t>
            </w:r>
            <w:r>
              <w:rPr>
                <w:noProof/>
                <w:webHidden/>
              </w:rPr>
              <w:fldChar w:fldCharType="end"/>
            </w:r>
          </w:hyperlink>
        </w:p>
        <w:p w14:paraId="21A9F0C3" w14:textId="1D27DA29"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801" w:history="1">
            <w:r w:rsidRPr="009B474A">
              <w:rPr>
                <w:rStyle w:val="Hyperlink"/>
                <w:noProof/>
              </w:rPr>
              <w:t>6.</w:t>
            </w:r>
            <w:r>
              <w:rPr>
                <w:rFonts w:asciiTheme="minorHAnsi" w:eastAsiaTheme="minorEastAsia" w:hAnsiTheme="minorHAnsi" w:cstheme="minorBidi"/>
                <w:noProof/>
                <w:kern w:val="2"/>
                <w:sz w:val="24"/>
                <w:lang w:eastAsia="en-AU"/>
                <w14:ligatures w14:val="standardContextual"/>
              </w:rPr>
              <w:tab/>
            </w:r>
            <w:r w:rsidRPr="009B474A">
              <w:rPr>
                <w:rStyle w:val="Hyperlink"/>
                <w:noProof/>
              </w:rPr>
              <w:t>Findings</w:t>
            </w:r>
            <w:r>
              <w:rPr>
                <w:noProof/>
                <w:webHidden/>
              </w:rPr>
              <w:tab/>
            </w:r>
            <w:r>
              <w:rPr>
                <w:noProof/>
                <w:webHidden/>
              </w:rPr>
              <w:fldChar w:fldCharType="begin"/>
            </w:r>
            <w:r>
              <w:rPr>
                <w:noProof/>
                <w:webHidden/>
              </w:rPr>
              <w:instrText xml:space="preserve"> PAGEREF _Toc202791801 \h </w:instrText>
            </w:r>
            <w:r>
              <w:rPr>
                <w:noProof/>
                <w:webHidden/>
              </w:rPr>
            </w:r>
            <w:r>
              <w:rPr>
                <w:noProof/>
                <w:webHidden/>
              </w:rPr>
              <w:fldChar w:fldCharType="separate"/>
            </w:r>
            <w:r w:rsidR="0039644F">
              <w:rPr>
                <w:noProof/>
                <w:webHidden/>
              </w:rPr>
              <w:t>19</w:t>
            </w:r>
            <w:r>
              <w:rPr>
                <w:noProof/>
                <w:webHidden/>
              </w:rPr>
              <w:fldChar w:fldCharType="end"/>
            </w:r>
          </w:hyperlink>
        </w:p>
        <w:p w14:paraId="0F8624B6" w14:textId="35B253FE" w:rsidR="00B24DFD" w:rsidRDefault="00B24DFD">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02791802" w:history="1">
            <w:r w:rsidRPr="009B474A">
              <w:rPr>
                <w:rStyle w:val="Hyperlink"/>
                <w:noProof/>
              </w:rPr>
              <w:t>6.1</w:t>
            </w:r>
            <w:r>
              <w:rPr>
                <w:rFonts w:asciiTheme="minorHAnsi" w:eastAsiaTheme="minorEastAsia" w:hAnsiTheme="minorHAnsi" w:cstheme="minorBidi"/>
                <w:noProof/>
                <w:kern w:val="2"/>
                <w:sz w:val="24"/>
                <w:lang w:eastAsia="en-AU"/>
                <w14:ligatures w14:val="standardContextual"/>
              </w:rPr>
              <w:tab/>
            </w:r>
            <w:r w:rsidRPr="009B474A">
              <w:rPr>
                <w:rStyle w:val="Hyperlink"/>
                <w:noProof/>
              </w:rPr>
              <w:t>Access to higher education by First-in-Family status and current equity groups</w:t>
            </w:r>
            <w:r>
              <w:rPr>
                <w:noProof/>
                <w:webHidden/>
              </w:rPr>
              <w:tab/>
            </w:r>
            <w:r>
              <w:rPr>
                <w:noProof/>
                <w:webHidden/>
              </w:rPr>
              <w:fldChar w:fldCharType="begin"/>
            </w:r>
            <w:r>
              <w:rPr>
                <w:noProof/>
                <w:webHidden/>
              </w:rPr>
              <w:instrText xml:space="preserve"> PAGEREF _Toc202791802 \h </w:instrText>
            </w:r>
            <w:r>
              <w:rPr>
                <w:noProof/>
                <w:webHidden/>
              </w:rPr>
            </w:r>
            <w:r>
              <w:rPr>
                <w:noProof/>
                <w:webHidden/>
              </w:rPr>
              <w:fldChar w:fldCharType="separate"/>
            </w:r>
            <w:r w:rsidR="0039644F">
              <w:rPr>
                <w:noProof/>
                <w:webHidden/>
              </w:rPr>
              <w:t>20</w:t>
            </w:r>
            <w:r>
              <w:rPr>
                <w:noProof/>
                <w:webHidden/>
              </w:rPr>
              <w:fldChar w:fldCharType="end"/>
            </w:r>
          </w:hyperlink>
        </w:p>
        <w:p w14:paraId="283B129D" w14:textId="461DF3A9"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803" w:history="1">
            <w:r w:rsidRPr="009B474A">
              <w:rPr>
                <w:rStyle w:val="Hyperlink"/>
                <w:noProof/>
              </w:rPr>
              <w:t>6.1.1</w:t>
            </w:r>
            <w:r>
              <w:rPr>
                <w:rFonts w:asciiTheme="minorHAnsi" w:eastAsiaTheme="minorEastAsia" w:hAnsiTheme="minorHAnsi" w:cstheme="minorBidi"/>
                <w:noProof/>
                <w:kern w:val="2"/>
                <w:sz w:val="24"/>
                <w:lang w:eastAsia="en-AU"/>
                <w14:ligatures w14:val="standardContextual"/>
              </w:rPr>
              <w:tab/>
            </w:r>
            <w:r w:rsidRPr="009B474A">
              <w:rPr>
                <w:rStyle w:val="Hyperlink"/>
                <w:noProof/>
              </w:rPr>
              <w:t>Descriptive patterns</w:t>
            </w:r>
            <w:r>
              <w:rPr>
                <w:noProof/>
                <w:webHidden/>
              </w:rPr>
              <w:tab/>
            </w:r>
            <w:r>
              <w:rPr>
                <w:noProof/>
                <w:webHidden/>
              </w:rPr>
              <w:fldChar w:fldCharType="begin"/>
            </w:r>
            <w:r>
              <w:rPr>
                <w:noProof/>
                <w:webHidden/>
              </w:rPr>
              <w:instrText xml:space="preserve"> PAGEREF _Toc202791803 \h </w:instrText>
            </w:r>
            <w:r>
              <w:rPr>
                <w:noProof/>
                <w:webHidden/>
              </w:rPr>
            </w:r>
            <w:r>
              <w:rPr>
                <w:noProof/>
                <w:webHidden/>
              </w:rPr>
              <w:fldChar w:fldCharType="separate"/>
            </w:r>
            <w:r w:rsidR="0039644F">
              <w:rPr>
                <w:noProof/>
                <w:webHidden/>
              </w:rPr>
              <w:t>20</w:t>
            </w:r>
            <w:r>
              <w:rPr>
                <w:noProof/>
                <w:webHidden/>
              </w:rPr>
              <w:fldChar w:fldCharType="end"/>
            </w:r>
          </w:hyperlink>
        </w:p>
        <w:p w14:paraId="7D45E939" w14:textId="175F4C90" w:rsidR="00B24DFD" w:rsidRDefault="00B24DFD">
          <w:pPr>
            <w:pStyle w:val="TOC2"/>
            <w:tabs>
              <w:tab w:val="left" w:pos="960"/>
              <w:tab w:val="right" w:leader="dot" w:pos="9016"/>
            </w:tabs>
            <w:rPr>
              <w:rFonts w:asciiTheme="minorHAnsi" w:eastAsiaTheme="minorEastAsia" w:hAnsiTheme="minorHAnsi" w:cstheme="minorBidi"/>
              <w:noProof/>
              <w:kern w:val="2"/>
              <w:sz w:val="24"/>
              <w:lang w:eastAsia="en-AU"/>
              <w14:ligatures w14:val="standardContextual"/>
            </w:rPr>
          </w:pPr>
          <w:hyperlink w:anchor="_Toc202791804" w:history="1">
            <w:r w:rsidRPr="009B474A">
              <w:rPr>
                <w:rStyle w:val="Hyperlink"/>
                <w:noProof/>
              </w:rPr>
              <w:t>6.2</w:t>
            </w:r>
            <w:r>
              <w:rPr>
                <w:rFonts w:asciiTheme="minorHAnsi" w:eastAsiaTheme="minorEastAsia" w:hAnsiTheme="minorHAnsi" w:cstheme="minorBidi"/>
                <w:noProof/>
                <w:kern w:val="2"/>
                <w:sz w:val="24"/>
                <w:lang w:eastAsia="en-AU"/>
                <w14:ligatures w14:val="standardContextual"/>
              </w:rPr>
              <w:tab/>
            </w:r>
            <w:r w:rsidRPr="009B474A">
              <w:rPr>
                <w:rStyle w:val="Hyperlink"/>
                <w:noProof/>
              </w:rPr>
              <w:t>Regression modelling</w:t>
            </w:r>
            <w:r>
              <w:rPr>
                <w:noProof/>
                <w:webHidden/>
              </w:rPr>
              <w:tab/>
            </w:r>
            <w:r>
              <w:rPr>
                <w:noProof/>
                <w:webHidden/>
              </w:rPr>
              <w:fldChar w:fldCharType="begin"/>
            </w:r>
            <w:r>
              <w:rPr>
                <w:noProof/>
                <w:webHidden/>
              </w:rPr>
              <w:instrText xml:space="preserve"> PAGEREF _Toc202791804 \h </w:instrText>
            </w:r>
            <w:r>
              <w:rPr>
                <w:noProof/>
                <w:webHidden/>
              </w:rPr>
            </w:r>
            <w:r>
              <w:rPr>
                <w:noProof/>
                <w:webHidden/>
              </w:rPr>
              <w:fldChar w:fldCharType="separate"/>
            </w:r>
            <w:r w:rsidR="0039644F">
              <w:rPr>
                <w:noProof/>
                <w:webHidden/>
              </w:rPr>
              <w:t>23</w:t>
            </w:r>
            <w:r>
              <w:rPr>
                <w:noProof/>
                <w:webHidden/>
              </w:rPr>
              <w:fldChar w:fldCharType="end"/>
            </w:r>
          </w:hyperlink>
        </w:p>
        <w:p w14:paraId="7E1127E3" w14:textId="751A996F"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805" w:history="1">
            <w:r w:rsidRPr="009B474A">
              <w:rPr>
                <w:rStyle w:val="Hyperlink"/>
                <w:noProof/>
              </w:rPr>
              <w:t>6.2.1</w:t>
            </w:r>
            <w:r>
              <w:rPr>
                <w:rFonts w:asciiTheme="minorHAnsi" w:eastAsiaTheme="minorEastAsia" w:hAnsiTheme="minorHAnsi" w:cstheme="minorBidi"/>
                <w:noProof/>
                <w:kern w:val="2"/>
                <w:sz w:val="24"/>
                <w:lang w:eastAsia="en-AU"/>
                <w14:ligatures w14:val="standardContextual"/>
              </w:rPr>
              <w:tab/>
            </w:r>
            <w:r w:rsidRPr="009B474A">
              <w:rPr>
                <w:rStyle w:val="Hyperlink"/>
                <w:noProof/>
              </w:rPr>
              <w:t>Enrolment in higher education</w:t>
            </w:r>
            <w:r>
              <w:rPr>
                <w:noProof/>
                <w:webHidden/>
              </w:rPr>
              <w:tab/>
            </w:r>
            <w:r>
              <w:rPr>
                <w:noProof/>
                <w:webHidden/>
              </w:rPr>
              <w:fldChar w:fldCharType="begin"/>
            </w:r>
            <w:r>
              <w:rPr>
                <w:noProof/>
                <w:webHidden/>
              </w:rPr>
              <w:instrText xml:space="preserve"> PAGEREF _Toc202791805 \h </w:instrText>
            </w:r>
            <w:r>
              <w:rPr>
                <w:noProof/>
                <w:webHidden/>
              </w:rPr>
            </w:r>
            <w:r>
              <w:rPr>
                <w:noProof/>
                <w:webHidden/>
              </w:rPr>
              <w:fldChar w:fldCharType="separate"/>
            </w:r>
            <w:r w:rsidR="0039644F">
              <w:rPr>
                <w:noProof/>
                <w:webHidden/>
              </w:rPr>
              <w:t>23</w:t>
            </w:r>
            <w:r>
              <w:rPr>
                <w:noProof/>
                <w:webHidden/>
              </w:rPr>
              <w:fldChar w:fldCharType="end"/>
            </w:r>
          </w:hyperlink>
        </w:p>
        <w:p w14:paraId="73343D27" w14:textId="1391ECC8"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806" w:history="1">
            <w:r w:rsidRPr="009B474A">
              <w:rPr>
                <w:rStyle w:val="Hyperlink"/>
                <w:noProof/>
              </w:rPr>
              <w:t>6.2.2</w:t>
            </w:r>
            <w:r>
              <w:rPr>
                <w:rFonts w:asciiTheme="minorHAnsi" w:eastAsiaTheme="minorEastAsia" w:hAnsiTheme="minorHAnsi" w:cstheme="minorBidi"/>
                <w:noProof/>
                <w:kern w:val="2"/>
                <w:sz w:val="24"/>
                <w:lang w:eastAsia="en-AU"/>
                <w14:ligatures w14:val="standardContextual"/>
              </w:rPr>
              <w:tab/>
            </w:r>
            <w:r w:rsidRPr="009B474A">
              <w:rPr>
                <w:rStyle w:val="Hyperlink"/>
                <w:noProof/>
              </w:rPr>
              <w:t>Enrolment in selective institutions</w:t>
            </w:r>
            <w:r>
              <w:rPr>
                <w:noProof/>
                <w:webHidden/>
              </w:rPr>
              <w:tab/>
            </w:r>
            <w:r>
              <w:rPr>
                <w:noProof/>
                <w:webHidden/>
              </w:rPr>
              <w:fldChar w:fldCharType="begin"/>
            </w:r>
            <w:r>
              <w:rPr>
                <w:noProof/>
                <w:webHidden/>
              </w:rPr>
              <w:instrText xml:space="preserve"> PAGEREF _Toc202791806 \h </w:instrText>
            </w:r>
            <w:r>
              <w:rPr>
                <w:noProof/>
                <w:webHidden/>
              </w:rPr>
            </w:r>
            <w:r>
              <w:rPr>
                <w:noProof/>
                <w:webHidden/>
              </w:rPr>
              <w:fldChar w:fldCharType="separate"/>
            </w:r>
            <w:r w:rsidR="0039644F">
              <w:rPr>
                <w:noProof/>
                <w:webHidden/>
              </w:rPr>
              <w:t>26</w:t>
            </w:r>
            <w:r>
              <w:rPr>
                <w:noProof/>
                <w:webHidden/>
              </w:rPr>
              <w:fldChar w:fldCharType="end"/>
            </w:r>
          </w:hyperlink>
        </w:p>
        <w:p w14:paraId="361AED97" w14:textId="7B4A9922" w:rsidR="00B24DFD" w:rsidRDefault="00B24DFD">
          <w:pPr>
            <w:pStyle w:val="TOC3"/>
            <w:tabs>
              <w:tab w:val="left" w:pos="1200"/>
              <w:tab w:val="right" w:leader="dot" w:pos="9016"/>
            </w:tabs>
            <w:rPr>
              <w:rFonts w:asciiTheme="minorHAnsi" w:eastAsiaTheme="minorEastAsia" w:hAnsiTheme="minorHAnsi" w:cstheme="minorBidi"/>
              <w:noProof/>
              <w:kern w:val="2"/>
              <w:sz w:val="24"/>
              <w:lang w:eastAsia="en-AU"/>
              <w14:ligatures w14:val="standardContextual"/>
            </w:rPr>
          </w:pPr>
          <w:hyperlink w:anchor="_Toc202791807" w:history="1">
            <w:r w:rsidRPr="009B474A">
              <w:rPr>
                <w:rStyle w:val="Hyperlink"/>
                <w:noProof/>
              </w:rPr>
              <w:t>6.2.3</w:t>
            </w:r>
            <w:r>
              <w:rPr>
                <w:rFonts w:asciiTheme="minorHAnsi" w:eastAsiaTheme="minorEastAsia" w:hAnsiTheme="minorHAnsi" w:cstheme="minorBidi"/>
                <w:noProof/>
                <w:kern w:val="2"/>
                <w:sz w:val="24"/>
                <w:lang w:eastAsia="en-AU"/>
                <w14:ligatures w14:val="standardContextual"/>
              </w:rPr>
              <w:tab/>
            </w:r>
            <w:r w:rsidRPr="009B474A">
              <w:rPr>
                <w:rStyle w:val="Hyperlink"/>
                <w:noProof/>
              </w:rPr>
              <w:t>Field of study choice</w:t>
            </w:r>
            <w:r>
              <w:rPr>
                <w:noProof/>
                <w:webHidden/>
              </w:rPr>
              <w:tab/>
            </w:r>
            <w:r>
              <w:rPr>
                <w:noProof/>
                <w:webHidden/>
              </w:rPr>
              <w:fldChar w:fldCharType="begin"/>
            </w:r>
            <w:r>
              <w:rPr>
                <w:noProof/>
                <w:webHidden/>
              </w:rPr>
              <w:instrText xml:space="preserve"> PAGEREF _Toc202791807 \h </w:instrText>
            </w:r>
            <w:r>
              <w:rPr>
                <w:noProof/>
                <w:webHidden/>
              </w:rPr>
            </w:r>
            <w:r>
              <w:rPr>
                <w:noProof/>
                <w:webHidden/>
              </w:rPr>
              <w:fldChar w:fldCharType="separate"/>
            </w:r>
            <w:r w:rsidR="0039644F">
              <w:rPr>
                <w:noProof/>
                <w:webHidden/>
              </w:rPr>
              <w:t>30</w:t>
            </w:r>
            <w:r>
              <w:rPr>
                <w:noProof/>
                <w:webHidden/>
              </w:rPr>
              <w:fldChar w:fldCharType="end"/>
            </w:r>
          </w:hyperlink>
        </w:p>
        <w:p w14:paraId="42198D67" w14:textId="27339944"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808" w:history="1">
            <w:r w:rsidRPr="009B474A">
              <w:rPr>
                <w:rStyle w:val="Hyperlink"/>
                <w:noProof/>
              </w:rPr>
              <w:t>7.</w:t>
            </w:r>
            <w:r>
              <w:rPr>
                <w:rFonts w:asciiTheme="minorHAnsi" w:eastAsiaTheme="minorEastAsia" w:hAnsiTheme="minorHAnsi" w:cstheme="minorBidi"/>
                <w:noProof/>
                <w:kern w:val="2"/>
                <w:sz w:val="24"/>
                <w:lang w:eastAsia="en-AU"/>
                <w14:ligatures w14:val="standardContextual"/>
              </w:rPr>
              <w:tab/>
            </w:r>
            <w:r w:rsidRPr="009B474A">
              <w:rPr>
                <w:rStyle w:val="Hyperlink"/>
                <w:noProof/>
              </w:rPr>
              <w:t>Discussion</w:t>
            </w:r>
            <w:r>
              <w:rPr>
                <w:noProof/>
                <w:webHidden/>
              </w:rPr>
              <w:tab/>
            </w:r>
            <w:r>
              <w:rPr>
                <w:noProof/>
                <w:webHidden/>
              </w:rPr>
              <w:fldChar w:fldCharType="begin"/>
            </w:r>
            <w:r>
              <w:rPr>
                <w:noProof/>
                <w:webHidden/>
              </w:rPr>
              <w:instrText xml:space="preserve"> PAGEREF _Toc202791808 \h </w:instrText>
            </w:r>
            <w:r>
              <w:rPr>
                <w:noProof/>
                <w:webHidden/>
              </w:rPr>
            </w:r>
            <w:r>
              <w:rPr>
                <w:noProof/>
                <w:webHidden/>
              </w:rPr>
              <w:fldChar w:fldCharType="separate"/>
            </w:r>
            <w:r w:rsidR="0039644F">
              <w:rPr>
                <w:noProof/>
                <w:webHidden/>
              </w:rPr>
              <w:t>37</w:t>
            </w:r>
            <w:r>
              <w:rPr>
                <w:noProof/>
                <w:webHidden/>
              </w:rPr>
              <w:fldChar w:fldCharType="end"/>
            </w:r>
          </w:hyperlink>
        </w:p>
        <w:p w14:paraId="69527032" w14:textId="5EF9A847"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809" w:history="1">
            <w:r w:rsidRPr="009B474A">
              <w:rPr>
                <w:rStyle w:val="Hyperlink"/>
                <w:noProof/>
              </w:rPr>
              <w:t>8.</w:t>
            </w:r>
            <w:r>
              <w:rPr>
                <w:rFonts w:asciiTheme="minorHAnsi" w:eastAsiaTheme="minorEastAsia" w:hAnsiTheme="minorHAnsi" w:cstheme="minorBidi"/>
                <w:noProof/>
                <w:kern w:val="2"/>
                <w:sz w:val="24"/>
                <w:lang w:eastAsia="en-AU"/>
                <w14:ligatures w14:val="standardContextual"/>
              </w:rPr>
              <w:tab/>
            </w:r>
            <w:r w:rsidRPr="009B474A">
              <w:rPr>
                <w:rStyle w:val="Hyperlink"/>
                <w:noProof/>
              </w:rPr>
              <w:t>Conclusion</w:t>
            </w:r>
            <w:r>
              <w:rPr>
                <w:noProof/>
                <w:webHidden/>
              </w:rPr>
              <w:tab/>
            </w:r>
            <w:r>
              <w:rPr>
                <w:noProof/>
                <w:webHidden/>
              </w:rPr>
              <w:fldChar w:fldCharType="begin"/>
            </w:r>
            <w:r>
              <w:rPr>
                <w:noProof/>
                <w:webHidden/>
              </w:rPr>
              <w:instrText xml:space="preserve"> PAGEREF _Toc202791809 \h </w:instrText>
            </w:r>
            <w:r>
              <w:rPr>
                <w:noProof/>
                <w:webHidden/>
              </w:rPr>
            </w:r>
            <w:r>
              <w:rPr>
                <w:noProof/>
                <w:webHidden/>
              </w:rPr>
              <w:fldChar w:fldCharType="separate"/>
            </w:r>
            <w:r w:rsidR="0039644F">
              <w:rPr>
                <w:noProof/>
                <w:webHidden/>
              </w:rPr>
              <w:t>40</w:t>
            </w:r>
            <w:r>
              <w:rPr>
                <w:noProof/>
                <w:webHidden/>
              </w:rPr>
              <w:fldChar w:fldCharType="end"/>
            </w:r>
          </w:hyperlink>
        </w:p>
        <w:p w14:paraId="1AA72ED2" w14:textId="2CA419D5"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810" w:history="1">
            <w:r w:rsidRPr="009B474A">
              <w:rPr>
                <w:rStyle w:val="Hyperlink"/>
                <w:noProof/>
              </w:rPr>
              <w:t>9.</w:t>
            </w:r>
            <w:r>
              <w:rPr>
                <w:rFonts w:asciiTheme="minorHAnsi" w:eastAsiaTheme="minorEastAsia" w:hAnsiTheme="minorHAnsi" w:cstheme="minorBidi"/>
                <w:noProof/>
                <w:kern w:val="2"/>
                <w:sz w:val="24"/>
                <w:lang w:eastAsia="en-AU"/>
                <w14:ligatures w14:val="standardContextual"/>
              </w:rPr>
              <w:tab/>
            </w:r>
            <w:r w:rsidRPr="009B474A">
              <w:rPr>
                <w:rStyle w:val="Hyperlink"/>
                <w:noProof/>
              </w:rPr>
              <w:t>References</w:t>
            </w:r>
            <w:r>
              <w:rPr>
                <w:noProof/>
                <w:webHidden/>
              </w:rPr>
              <w:tab/>
            </w:r>
            <w:r>
              <w:rPr>
                <w:noProof/>
                <w:webHidden/>
              </w:rPr>
              <w:fldChar w:fldCharType="begin"/>
            </w:r>
            <w:r>
              <w:rPr>
                <w:noProof/>
                <w:webHidden/>
              </w:rPr>
              <w:instrText xml:space="preserve"> PAGEREF _Toc202791810 \h </w:instrText>
            </w:r>
            <w:r>
              <w:rPr>
                <w:noProof/>
                <w:webHidden/>
              </w:rPr>
            </w:r>
            <w:r>
              <w:rPr>
                <w:noProof/>
                <w:webHidden/>
              </w:rPr>
              <w:fldChar w:fldCharType="separate"/>
            </w:r>
            <w:r w:rsidR="0039644F">
              <w:rPr>
                <w:noProof/>
                <w:webHidden/>
              </w:rPr>
              <w:t>42</w:t>
            </w:r>
            <w:r>
              <w:rPr>
                <w:noProof/>
                <w:webHidden/>
              </w:rPr>
              <w:fldChar w:fldCharType="end"/>
            </w:r>
          </w:hyperlink>
        </w:p>
        <w:p w14:paraId="1ABBDD0C" w14:textId="75687B9D" w:rsidR="00B24DFD" w:rsidRDefault="00B24DFD">
          <w:pPr>
            <w:pStyle w:val="TOC1"/>
            <w:rPr>
              <w:rFonts w:asciiTheme="minorHAnsi" w:eastAsiaTheme="minorEastAsia" w:hAnsiTheme="minorHAnsi" w:cstheme="minorBidi"/>
              <w:noProof/>
              <w:kern w:val="2"/>
              <w:sz w:val="24"/>
              <w:lang w:eastAsia="en-AU"/>
              <w14:ligatures w14:val="standardContextual"/>
            </w:rPr>
          </w:pPr>
          <w:hyperlink w:anchor="_Toc202791811" w:history="1">
            <w:r w:rsidRPr="009B474A">
              <w:rPr>
                <w:rStyle w:val="Hyperlink"/>
                <w:noProof/>
              </w:rPr>
              <w:t>10.</w:t>
            </w:r>
            <w:r>
              <w:rPr>
                <w:rFonts w:asciiTheme="minorHAnsi" w:eastAsiaTheme="minorEastAsia" w:hAnsiTheme="minorHAnsi" w:cstheme="minorBidi"/>
                <w:noProof/>
                <w:kern w:val="2"/>
                <w:sz w:val="24"/>
                <w:lang w:eastAsia="en-AU"/>
                <w14:ligatures w14:val="standardContextual"/>
              </w:rPr>
              <w:tab/>
            </w:r>
            <w:r w:rsidRPr="009B474A">
              <w:rPr>
                <w:rStyle w:val="Hyperlink"/>
                <w:noProof/>
              </w:rPr>
              <w:t>Appendices</w:t>
            </w:r>
            <w:r>
              <w:rPr>
                <w:noProof/>
                <w:webHidden/>
              </w:rPr>
              <w:tab/>
            </w:r>
            <w:r>
              <w:rPr>
                <w:noProof/>
                <w:webHidden/>
              </w:rPr>
              <w:fldChar w:fldCharType="begin"/>
            </w:r>
            <w:r>
              <w:rPr>
                <w:noProof/>
                <w:webHidden/>
              </w:rPr>
              <w:instrText xml:space="preserve"> PAGEREF _Toc202791811 \h </w:instrText>
            </w:r>
            <w:r>
              <w:rPr>
                <w:noProof/>
                <w:webHidden/>
              </w:rPr>
            </w:r>
            <w:r>
              <w:rPr>
                <w:noProof/>
                <w:webHidden/>
              </w:rPr>
              <w:fldChar w:fldCharType="separate"/>
            </w:r>
            <w:r w:rsidR="0039644F">
              <w:rPr>
                <w:noProof/>
                <w:webHidden/>
              </w:rPr>
              <w:t>51</w:t>
            </w:r>
            <w:r>
              <w:rPr>
                <w:noProof/>
                <w:webHidden/>
              </w:rPr>
              <w:fldChar w:fldCharType="end"/>
            </w:r>
          </w:hyperlink>
        </w:p>
        <w:p w14:paraId="237A86E7" w14:textId="341BD606" w:rsidR="00C31AAB" w:rsidRPr="002F3A26" w:rsidRDefault="00C86A7E" w:rsidP="007F5CA7">
          <w:pPr>
            <w:rPr>
              <w:rFonts w:cs="Arial"/>
              <w:noProof/>
            </w:rPr>
          </w:pPr>
          <w:r w:rsidRPr="002F3A26">
            <w:rPr>
              <w:rFonts w:cs="Arial"/>
            </w:rPr>
            <w:fldChar w:fldCharType="end"/>
          </w:r>
        </w:p>
      </w:sdtContent>
    </w:sdt>
    <w:p w14:paraId="22E3BEEB" w14:textId="77777777" w:rsidR="00304946" w:rsidRDefault="00304946" w:rsidP="007F5CA7">
      <w:pPr>
        <w:pStyle w:val="headingnotitTOC"/>
        <w:rPr>
          <w:noProof/>
        </w:rPr>
      </w:pPr>
    </w:p>
    <w:p w14:paraId="2E9603BE" w14:textId="3984052B" w:rsidR="009D6D47" w:rsidRPr="002F3A26" w:rsidRDefault="009D6D47" w:rsidP="007F5CA7">
      <w:pPr>
        <w:pStyle w:val="headingnotitTOC"/>
        <w:rPr>
          <w:noProof/>
        </w:rPr>
      </w:pPr>
      <w:r w:rsidRPr="002F3A26">
        <w:rPr>
          <w:noProof/>
        </w:rPr>
        <w:lastRenderedPageBreak/>
        <w:t xml:space="preserve">List of </w:t>
      </w:r>
      <w:r w:rsidR="00210A5C">
        <w:rPr>
          <w:noProof/>
        </w:rPr>
        <w:t>t</w:t>
      </w:r>
      <w:r w:rsidRPr="002F3A26">
        <w:rPr>
          <w:noProof/>
        </w:rPr>
        <w:t>ables</w:t>
      </w:r>
    </w:p>
    <w:p w14:paraId="2A1C59D8" w14:textId="6A04C018" w:rsidR="00EE2BEB" w:rsidRDefault="00EB7BEC" w:rsidP="00B24DFD">
      <w:pPr>
        <w:pStyle w:val="TableofFigures"/>
        <w:tabs>
          <w:tab w:val="right" w:leader="dot" w:pos="9016"/>
        </w:tabs>
        <w:spacing w:after="120"/>
        <w:rPr>
          <w:rFonts w:asciiTheme="minorHAnsi" w:eastAsiaTheme="minorEastAsia" w:hAnsiTheme="minorHAnsi" w:cstheme="minorBidi"/>
          <w:noProof/>
          <w:kern w:val="2"/>
          <w:sz w:val="24"/>
          <w:lang w:eastAsia="en-AU"/>
          <w14:ligatures w14:val="standardContextual"/>
        </w:rPr>
      </w:pPr>
      <w:r w:rsidRPr="002F3A26">
        <w:rPr>
          <w:rFonts w:cs="Arial"/>
          <w:noProof/>
        </w:rPr>
        <w:fldChar w:fldCharType="begin"/>
      </w:r>
      <w:r w:rsidRPr="002F3A26">
        <w:rPr>
          <w:rFonts w:cs="Arial"/>
          <w:noProof/>
        </w:rPr>
        <w:instrText xml:space="preserve"> TOC \h \z \c "Table" </w:instrText>
      </w:r>
      <w:r w:rsidRPr="002F3A26">
        <w:rPr>
          <w:rFonts w:cs="Arial"/>
          <w:noProof/>
        </w:rPr>
        <w:fldChar w:fldCharType="separate"/>
      </w:r>
      <w:hyperlink w:anchor="_Toc200108750" w:history="1">
        <w:r w:rsidR="00EE2BEB" w:rsidRPr="00A91420">
          <w:rPr>
            <w:rStyle w:val="Hyperlink"/>
            <w:rFonts w:eastAsiaTheme="majorEastAsia"/>
            <w:noProof/>
          </w:rPr>
          <w:t>Table 1: Selected model coefficients (odds ratios) from logistic regression models of enrolment in a bachelor’s level course</w:t>
        </w:r>
        <w:r w:rsidR="00EE2BEB">
          <w:rPr>
            <w:noProof/>
            <w:webHidden/>
          </w:rPr>
          <w:tab/>
        </w:r>
        <w:r w:rsidR="00EE2BEB">
          <w:rPr>
            <w:noProof/>
            <w:webHidden/>
          </w:rPr>
          <w:fldChar w:fldCharType="begin"/>
        </w:r>
        <w:r w:rsidR="00EE2BEB">
          <w:rPr>
            <w:noProof/>
            <w:webHidden/>
          </w:rPr>
          <w:instrText xml:space="preserve"> PAGEREF _Toc200108750 \h </w:instrText>
        </w:r>
        <w:r w:rsidR="00EE2BEB">
          <w:rPr>
            <w:noProof/>
            <w:webHidden/>
          </w:rPr>
        </w:r>
        <w:r w:rsidR="00EE2BEB">
          <w:rPr>
            <w:noProof/>
            <w:webHidden/>
          </w:rPr>
          <w:fldChar w:fldCharType="separate"/>
        </w:r>
        <w:r w:rsidR="005107FC">
          <w:rPr>
            <w:noProof/>
            <w:webHidden/>
          </w:rPr>
          <w:t>23</w:t>
        </w:r>
        <w:r w:rsidR="00EE2BEB">
          <w:rPr>
            <w:noProof/>
            <w:webHidden/>
          </w:rPr>
          <w:fldChar w:fldCharType="end"/>
        </w:r>
      </w:hyperlink>
    </w:p>
    <w:p w14:paraId="1CAF7DE0" w14:textId="0C5072EC" w:rsidR="00EE2BEB" w:rsidRDefault="00EE2BEB" w:rsidP="00B24DFD">
      <w:pPr>
        <w:pStyle w:val="TableofFigures"/>
        <w:tabs>
          <w:tab w:val="right" w:leader="dot" w:pos="9016"/>
        </w:tabs>
        <w:spacing w:after="120"/>
        <w:rPr>
          <w:rFonts w:asciiTheme="minorHAnsi" w:eastAsiaTheme="minorEastAsia" w:hAnsiTheme="minorHAnsi" w:cstheme="minorBidi"/>
          <w:noProof/>
          <w:kern w:val="2"/>
          <w:sz w:val="24"/>
          <w:lang w:eastAsia="en-AU"/>
          <w14:ligatures w14:val="standardContextual"/>
        </w:rPr>
      </w:pPr>
      <w:hyperlink w:anchor="_Toc200108751" w:history="1">
        <w:r w:rsidRPr="00A91420">
          <w:rPr>
            <w:rStyle w:val="Hyperlink"/>
            <w:rFonts w:eastAsiaTheme="majorEastAsia"/>
            <w:noProof/>
          </w:rPr>
          <w:t>Table 2: Selected model coefficients (odds ratios) from logistic regression models of enrolment in a selective institution</w:t>
        </w:r>
        <w:r>
          <w:rPr>
            <w:noProof/>
            <w:webHidden/>
          </w:rPr>
          <w:tab/>
        </w:r>
        <w:r>
          <w:rPr>
            <w:noProof/>
            <w:webHidden/>
          </w:rPr>
          <w:fldChar w:fldCharType="begin"/>
        </w:r>
        <w:r>
          <w:rPr>
            <w:noProof/>
            <w:webHidden/>
          </w:rPr>
          <w:instrText xml:space="preserve"> PAGEREF _Toc200108751 \h </w:instrText>
        </w:r>
        <w:r>
          <w:rPr>
            <w:noProof/>
            <w:webHidden/>
          </w:rPr>
        </w:r>
        <w:r>
          <w:rPr>
            <w:noProof/>
            <w:webHidden/>
          </w:rPr>
          <w:fldChar w:fldCharType="separate"/>
        </w:r>
        <w:r w:rsidR="005107FC">
          <w:rPr>
            <w:noProof/>
            <w:webHidden/>
          </w:rPr>
          <w:t>28</w:t>
        </w:r>
        <w:r>
          <w:rPr>
            <w:noProof/>
            <w:webHidden/>
          </w:rPr>
          <w:fldChar w:fldCharType="end"/>
        </w:r>
      </w:hyperlink>
    </w:p>
    <w:p w14:paraId="137CBC04" w14:textId="190C5FD8" w:rsidR="00EE2BEB" w:rsidRDefault="00EE2BEB">
      <w:pPr>
        <w:pStyle w:val="TableofFigures"/>
        <w:tabs>
          <w:tab w:val="right" w:leader="dot" w:pos="9016"/>
        </w:tabs>
        <w:rPr>
          <w:rFonts w:asciiTheme="minorHAnsi" w:eastAsiaTheme="minorEastAsia" w:hAnsiTheme="minorHAnsi" w:cstheme="minorBidi"/>
          <w:noProof/>
          <w:kern w:val="2"/>
          <w:sz w:val="24"/>
          <w:lang w:eastAsia="en-AU"/>
          <w14:ligatures w14:val="standardContextual"/>
        </w:rPr>
      </w:pPr>
      <w:hyperlink w:anchor="_Toc200108752" w:history="1">
        <w:r w:rsidRPr="00A91420">
          <w:rPr>
            <w:rStyle w:val="Hyperlink"/>
            <w:rFonts w:eastAsiaTheme="majorEastAsia"/>
            <w:noProof/>
          </w:rPr>
          <w:t>Table 3: Selected model coefficients (relative risk ratios) from multinomial logistic regression models of field of study</w:t>
        </w:r>
        <w:r>
          <w:rPr>
            <w:noProof/>
            <w:webHidden/>
          </w:rPr>
          <w:tab/>
        </w:r>
        <w:r>
          <w:rPr>
            <w:noProof/>
            <w:webHidden/>
          </w:rPr>
          <w:fldChar w:fldCharType="begin"/>
        </w:r>
        <w:r>
          <w:rPr>
            <w:noProof/>
            <w:webHidden/>
          </w:rPr>
          <w:instrText xml:space="preserve"> PAGEREF _Toc200108752 \h </w:instrText>
        </w:r>
        <w:r>
          <w:rPr>
            <w:noProof/>
            <w:webHidden/>
          </w:rPr>
        </w:r>
        <w:r>
          <w:rPr>
            <w:noProof/>
            <w:webHidden/>
          </w:rPr>
          <w:fldChar w:fldCharType="separate"/>
        </w:r>
        <w:r w:rsidR="005107FC">
          <w:rPr>
            <w:noProof/>
            <w:webHidden/>
          </w:rPr>
          <w:t>32</w:t>
        </w:r>
        <w:r>
          <w:rPr>
            <w:noProof/>
            <w:webHidden/>
          </w:rPr>
          <w:fldChar w:fldCharType="end"/>
        </w:r>
      </w:hyperlink>
    </w:p>
    <w:p w14:paraId="2876A1D6" w14:textId="33459D6D" w:rsidR="009D6D47" w:rsidRPr="002F3A26" w:rsidRDefault="00EB7BEC" w:rsidP="007F5CA7">
      <w:pPr>
        <w:rPr>
          <w:rFonts w:cs="Arial"/>
          <w:noProof/>
        </w:rPr>
      </w:pPr>
      <w:r w:rsidRPr="002F3A26">
        <w:rPr>
          <w:rFonts w:cs="Arial"/>
          <w:noProof/>
        </w:rPr>
        <w:fldChar w:fldCharType="end"/>
      </w:r>
    </w:p>
    <w:p w14:paraId="6A2B4C55" w14:textId="26E40BD6" w:rsidR="009D6D47" w:rsidRPr="002F3A26" w:rsidRDefault="009D6D47" w:rsidP="007F5CA7">
      <w:pPr>
        <w:pStyle w:val="headingnotitTOC"/>
        <w:rPr>
          <w:noProof/>
        </w:rPr>
      </w:pPr>
      <w:r w:rsidRPr="002F3A26">
        <w:rPr>
          <w:noProof/>
        </w:rPr>
        <w:t xml:space="preserve">List of </w:t>
      </w:r>
      <w:r w:rsidR="00210A5C">
        <w:rPr>
          <w:noProof/>
        </w:rPr>
        <w:t>f</w:t>
      </w:r>
      <w:r w:rsidRPr="002F3A26">
        <w:rPr>
          <w:noProof/>
        </w:rPr>
        <w:t>igures</w:t>
      </w:r>
    </w:p>
    <w:p w14:paraId="09BF9EF4" w14:textId="5B8DD553" w:rsidR="00FA0BDB" w:rsidRDefault="00EB7BEC"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r w:rsidRPr="002F3A26">
        <w:rPr>
          <w:rFonts w:cs="Arial"/>
          <w:noProof/>
        </w:rPr>
        <w:fldChar w:fldCharType="begin"/>
      </w:r>
      <w:r w:rsidRPr="002F3A26">
        <w:rPr>
          <w:rFonts w:cs="Arial"/>
          <w:noProof/>
        </w:rPr>
        <w:instrText xml:space="preserve"> TOC \h \z \c "Figure" </w:instrText>
      </w:r>
      <w:r w:rsidRPr="002F3A26">
        <w:rPr>
          <w:rFonts w:cs="Arial"/>
          <w:noProof/>
        </w:rPr>
        <w:fldChar w:fldCharType="separate"/>
      </w:r>
      <w:hyperlink w:anchor="_Toc201760806" w:history="1">
        <w:r w:rsidR="00FA0BDB" w:rsidRPr="008E4EBF">
          <w:rPr>
            <w:rStyle w:val="Hyperlink"/>
            <w:rFonts w:eastAsiaTheme="majorEastAsia"/>
            <w:noProof/>
          </w:rPr>
          <w:t>Figure 1: Proportion of individuals belonging to First-in-Family group, by equity-group membership</w:t>
        </w:r>
        <w:r w:rsidR="00FA0BDB">
          <w:rPr>
            <w:noProof/>
            <w:webHidden/>
          </w:rPr>
          <w:tab/>
        </w:r>
        <w:r w:rsidR="00FA0BDB">
          <w:rPr>
            <w:noProof/>
            <w:webHidden/>
          </w:rPr>
          <w:fldChar w:fldCharType="begin"/>
        </w:r>
        <w:r w:rsidR="00FA0BDB">
          <w:rPr>
            <w:noProof/>
            <w:webHidden/>
          </w:rPr>
          <w:instrText xml:space="preserve"> PAGEREF _Toc201760806 \h </w:instrText>
        </w:r>
        <w:r w:rsidR="00FA0BDB">
          <w:rPr>
            <w:noProof/>
            <w:webHidden/>
          </w:rPr>
        </w:r>
        <w:r w:rsidR="00FA0BDB">
          <w:rPr>
            <w:noProof/>
            <w:webHidden/>
          </w:rPr>
          <w:fldChar w:fldCharType="separate"/>
        </w:r>
        <w:r w:rsidR="0039644F">
          <w:rPr>
            <w:noProof/>
            <w:webHidden/>
          </w:rPr>
          <w:t>19</w:t>
        </w:r>
        <w:r w:rsidR="00FA0BDB">
          <w:rPr>
            <w:noProof/>
            <w:webHidden/>
          </w:rPr>
          <w:fldChar w:fldCharType="end"/>
        </w:r>
      </w:hyperlink>
    </w:p>
    <w:p w14:paraId="1741A001" w14:textId="0B804B02"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07" w:history="1">
        <w:r w:rsidRPr="008E4EBF">
          <w:rPr>
            <w:rStyle w:val="Hyperlink"/>
            <w:rFonts w:eastAsiaTheme="majorEastAsia"/>
            <w:noProof/>
          </w:rPr>
          <w:t>Figure 2: Proportion of individuals enrolling in higher education, by equity-group membership and First-in-Family status</w:t>
        </w:r>
        <w:r>
          <w:rPr>
            <w:noProof/>
            <w:webHidden/>
          </w:rPr>
          <w:tab/>
        </w:r>
        <w:r>
          <w:rPr>
            <w:noProof/>
            <w:webHidden/>
          </w:rPr>
          <w:fldChar w:fldCharType="begin"/>
        </w:r>
        <w:r>
          <w:rPr>
            <w:noProof/>
            <w:webHidden/>
          </w:rPr>
          <w:instrText xml:space="preserve"> PAGEREF _Toc201760807 \h </w:instrText>
        </w:r>
        <w:r>
          <w:rPr>
            <w:noProof/>
            <w:webHidden/>
          </w:rPr>
        </w:r>
        <w:r>
          <w:rPr>
            <w:noProof/>
            <w:webHidden/>
          </w:rPr>
          <w:fldChar w:fldCharType="separate"/>
        </w:r>
        <w:r w:rsidR="0039644F">
          <w:rPr>
            <w:noProof/>
            <w:webHidden/>
          </w:rPr>
          <w:t>20</w:t>
        </w:r>
        <w:r>
          <w:rPr>
            <w:noProof/>
            <w:webHidden/>
          </w:rPr>
          <w:fldChar w:fldCharType="end"/>
        </w:r>
      </w:hyperlink>
    </w:p>
    <w:p w14:paraId="4BA40407" w14:textId="713F4EB1"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08" w:history="1">
        <w:r w:rsidRPr="008E4EBF">
          <w:rPr>
            <w:rStyle w:val="Hyperlink"/>
            <w:rFonts w:eastAsiaTheme="majorEastAsia"/>
            <w:noProof/>
          </w:rPr>
          <w:t>Figure 3: Proportion of students enrolling in a selective institution by equity-group membership and First-in-Family status</w:t>
        </w:r>
        <w:r>
          <w:rPr>
            <w:noProof/>
            <w:webHidden/>
          </w:rPr>
          <w:tab/>
        </w:r>
        <w:r>
          <w:rPr>
            <w:noProof/>
            <w:webHidden/>
          </w:rPr>
          <w:fldChar w:fldCharType="begin"/>
        </w:r>
        <w:r>
          <w:rPr>
            <w:noProof/>
            <w:webHidden/>
          </w:rPr>
          <w:instrText xml:space="preserve"> PAGEREF _Toc201760808 \h </w:instrText>
        </w:r>
        <w:r>
          <w:rPr>
            <w:noProof/>
            <w:webHidden/>
          </w:rPr>
        </w:r>
        <w:r>
          <w:rPr>
            <w:noProof/>
            <w:webHidden/>
          </w:rPr>
          <w:fldChar w:fldCharType="separate"/>
        </w:r>
        <w:r w:rsidR="0039644F">
          <w:rPr>
            <w:noProof/>
            <w:webHidden/>
          </w:rPr>
          <w:t>21</w:t>
        </w:r>
        <w:r>
          <w:rPr>
            <w:noProof/>
            <w:webHidden/>
          </w:rPr>
          <w:fldChar w:fldCharType="end"/>
        </w:r>
      </w:hyperlink>
    </w:p>
    <w:p w14:paraId="6E3B6D30" w14:textId="189D19F3"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09" w:history="1">
        <w:r w:rsidRPr="008E4EBF">
          <w:rPr>
            <w:rStyle w:val="Hyperlink"/>
            <w:rFonts w:eastAsiaTheme="majorEastAsia"/>
            <w:noProof/>
          </w:rPr>
          <w:t>Figure 4: Distribution of fields of study among those enrolled in a bachelor’s level course by equity-group membership and First-in-Family status</w:t>
        </w:r>
        <w:r>
          <w:rPr>
            <w:noProof/>
            <w:webHidden/>
          </w:rPr>
          <w:tab/>
        </w:r>
        <w:r>
          <w:rPr>
            <w:noProof/>
            <w:webHidden/>
          </w:rPr>
          <w:fldChar w:fldCharType="begin"/>
        </w:r>
        <w:r>
          <w:rPr>
            <w:noProof/>
            <w:webHidden/>
          </w:rPr>
          <w:instrText xml:space="preserve"> PAGEREF _Toc201760809 \h </w:instrText>
        </w:r>
        <w:r>
          <w:rPr>
            <w:noProof/>
            <w:webHidden/>
          </w:rPr>
        </w:r>
        <w:r>
          <w:rPr>
            <w:noProof/>
            <w:webHidden/>
          </w:rPr>
          <w:fldChar w:fldCharType="separate"/>
        </w:r>
        <w:r w:rsidR="0039644F">
          <w:rPr>
            <w:noProof/>
            <w:webHidden/>
          </w:rPr>
          <w:t>22</w:t>
        </w:r>
        <w:r>
          <w:rPr>
            <w:noProof/>
            <w:webHidden/>
          </w:rPr>
          <w:fldChar w:fldCharType="end"/>
        </w:r>
      </w:hyperlink>
    </w:p>
    <w:p w14:paraId="78D8B2CF" w14:textId="299B5810"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10" w:history="1">
        <w:r w:rsidRPr="008E4EBF">
          <w:rPr>
            <w:rStyle w:val="Hyperlink"/>
            <w:rFonts w:eastAsiaTheme="majorEastAsia"/>
            <w:noProof/>
          </w:rPr>
          <w:t>Figure 5: Adjusted proportion of individuals enrolling in higher education by equity-group membership and First-in-Family status</w:t>
        </w:r>
        <w:r>
          <w:rPr>
            <w:noProof/>
            <w:webHidden/>
          </w:rPr>
          <w:tab/>
        </w:r>
        <w:r>
          <w:rPr>
            <w:noProof/>
            <w:webHidden/>
          </w:rPr>
          <w:fldChar w:fldCharType="begin"/>
        </w:r>
        <w:r>
          <w:rPr>
            <w:noProof/>
            <w:webHidden/>
          </w:rPr>
          <w:instrText xml:space="preserve"> PAGEREF _Toc201760810 \h </w:instrText>
        </w:r>
        <w:r>
          <w:rPr>
            <w:noProof/>
            <w:webHidden/>
          </w:rPr>
        </w:r>
        <w:r>
          <w:rPr>
            <w:noProof/>
            <w:webHidden/>
          </w:rPr>
          <w:fldChar w:fldCharType="separate"/>
        </w:r>
        <w:r w:rsidR="0039644F">
          <w:rPr>
            <w:noProof/>
            <w:webHidden/>
          </w:rPr>
          <w:t>24</w:t>
        </w:r>
        <w:r>
          <w:rPr>
            <w:noProof/>
            <w:webHidden/>
          </w:rPr>
          <w:fldChar w:fldCharType="end"/>
        </w:r>
      </w:hyperlink>
    </w:p>
    <w:p w14:paraId="2C50B074" w14:textId="6FDC80E7"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11" w:history="1">
        <w:r w:rsidRPr="008E4EBF">
          <w:rPr>
            <w:rStyle w:val="Hyperlink"/>
            <w:rFonts w:eastAsiaTheme="majorEastAsia"/>
            <w:noProof/>
          </w:rPr>
          <w:t>Figure 6: Adjusted proportion of individuals enrolling in higher education by interacted equity-group membership and First-in-Family status</w:t>
        </w:r>
        <w:r>
          <w:rPr>
            <w:noProof/>
            <w:webHidden/>
          </w:rPr>
          <w:tab/>
        </w:r>
        <w:r>
          <w:rPr>
            <w:noProof/>
            <w:webHidden/>
          </w:rPr>
          <w:fldChar w:fldCharType="begin"/>
        </w:r>
        <w:r>
          <w:rPr>
            <w:noProof/>
            <w:webHidden/>
          </w:rPr>
          <w:instrText xml:space="preserve"> PAGEREF _Toc201760811 \h </w:instrText>
        </w:r>
        <w:r>
          <w:rPr>
            <w:noProof/>
            <w:webHidden/>
          </w:rPr>
        </w:r>
        <w:r>
          <w:rPr>
            <w:noProof/>
            <w:webHidden/>
          </w:rPr>
          <w:fldChar w:fldCharType="separate"/>
        </w:r>
        <w:r w:rsidR="0039644F">
          <w:rPr>
            <w:noProof/>
            <w:webHidden/>
          </w:rPr>
          <w:t>25</w:t>
        </w:r>
        <w:r>
          <w:rPr>
            <w:noProof/>
            <w:webHidden/>
          </w:rPr>
          <w:fldChar w:fldCharType="end"/>
        </w:r>
      </w:hyperlink>
    </w:p>
    <w:p w14:paraId="2E8E125B" w14:textId="62321E66"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12" w:history="1">
        <w:r w:rsidRPr="008E4EBF">
          <w:rPr>
            <w:rStyle w:val="Hyperlink"/>
            <w:rFonts w:eastAsiaTheme="majorEastAsia"/>
            <w:noProof/>
          </w:rPr>
          <w:t>Figure 7: Average marginal effects of First-in-Family status on enrolments in higher education by equity group membership</w:t>
        </w:r>
        <w:r>
          <w:rPr>
            <w:noProof/>
            <w:webHidden/>
          </w:rPr>
          <w:tab/>
        </w:r>
        <w:r>
          <w:rPr>
            <w:noProof/>
            <w:webHidden/>
          </w:rPr>
          <w:fldChar w:fldCharType="begin"/>
        </w:r>
        <w:r>
          <w:rPr>
            <w:noProof/>
            <w:webHidden/>
          </w:rPr>
          <w:instrText xml:space="preserve"> PAGEREF _Toc201760812 \h </w:instrText>
        </w:r>
        <w:r>
          <w:rPr>
            <w:noProof/>
            <w:webHidden/>
          </w:rPr>
        </w:r>
        <w:r>
          <w:rPr>
            <w:noProof/>
            <w:webHidden/>
          </w:rPr>
          <w:fldChar w:fldCharType="separate"/>
        </w:r>
        <w:r w:rsidR="0039644F">
          <w:rPr>
            <w:noProof/>
            <w:webHidden/>
          </w:rPr>
          <w:t>26</w:t>
        </w:r>
        <w:r>
          <w:rPr>
            <w:noProof/>
            <w:webHidden/>
          </w:rPr>
          <w:fldChar w:fldCharType="end"/>
        </w:r>
      </w:hyperlink>
    </w:p>
    <w:p w14:paraId="1B62FA16" w14:textId="3A742C76"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13" w:history="1">
        <w:r w:rsidRPr="008E4EBF">
          <w:rPr>
            <w:rStyle w:val="Hyperlink"/>
            <w:rFonts w:eastAsiaTheme="majorEastAsia"/>
            <w:noProof/>
          </w:rPr>
          <w:t>Figure 8: Adjusted proportion of students enrolled in a selective institution by equity group membership and First-in-Family status</w:t>
        </w:r>
        <w:r>
          <w:rPr>
            <w:noProof/>
            <w:webHidden/>
          </w:rPr>
          <w:tab/>
        </w:r>
        <w:r>
          <w:rPr>
            <w:noProof/>
            <w:webHidden/>
          </w:rPr>
          <w:fldChar w:fldCharType="begin"/>
        </w:r>
        <w:r>
          <w:rPr>
            <w:noProof/>
            <w:webHidden/>
          </w:rPr>
          <w:instrText xml:space="preserve"> PAGEREF _Toc201760813 \h </w:instrText>
        </w:r>
        <w:r>
          <w:rPr>
            <w:noProof/>
            <w:webHidden/>
          </w:rPr>
        </w:r>
        <w:r>
          <w:rPr>
            <w:noProof/>
            <w:webHidden/>
          </w:rPr>
          <w:fldChar w:fldCharType="separate"/>
        </w:r>
        <w:r w:rsidR="0039644F">
          <w:rPr>
            <w:noProof/>
            <w:webHidden/>
          </w:rPr>
          <w:t>28</w:t>
        </w:r>
        <w:r>
          <w:rPr>
            <w:noProof/>
            <w:webHidden/>
          </w:rPr>
          <w:fldChar w:fldCharType="end"/>
        </w:r>
      </w:hyperlink>
    </w:p>
    <w:p w14:paraId="3F20ED57" w14:textId="4F006DD9"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14" w:history="1">
        <w:r w:rsidRPr="008E4EBF">
          <w:rPr>
            <w:rStyle w:val="Hyperlink"/>
            <w:rFonts w:eastAsiaTheme="majorEastAsia"/>
            <w:noProof/>
          </w:rPr>
          <w:t>Figure 9: Adjusted proportion of students enrolled in a selective institution by interacted equity group membership and First-in-Family status</w:t>
        </w:r>
        <w:r>
          <w:rPr>
            <w:noProof/>
            <w:webHidden/>
          </w:rPr>
          <w:tab/>
        </w:r>
        <w:r>
          <w:rPr>
            <w:noProof/>
            <w:webHidden/>
          </w:rPr>
          <w:fldChar w:fldCharType="begin"/>
        </w:r>
        <w:r>
          <w:rPr>
            <w:noProof/>
            <w:webHidden/>
          </w:rPr>
          <w:instrText xml:space="preserve"> PAGEREF _Toc201760814 \h </w:instrText>
        </w:r>
        <w:r>
          <w:rPr>
            <w:noProof/>
            <w:webHidden/>
          </w:rPr>
        </w:r>
        <w:r>
          <w:rPr>
            <w:noProof/>
            <w:webHidden/>
          </w:rPr>
          <w:fldChar w:fldCharType="separate"/>
        </w:r>
        <w:r w:rsidR="0039644F">
          <w:rPr>
            <w:noProof/>
            <w:webHidden/>
          </w:rPr>
          <w:t>29</w:t>
        </w:r>
        <w:r>
          <w:rPr>
            <w:noProof/>
            <w:webHidden/>
          </w:rPr>
          <w:fldChar w:fldCharType="end"/>
        </w:r>
      </w:hyperlink>
    </w:p>
    <w:p w14:paraId="6D3E0A27" w14:textId="311DCA3D"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15" w:history="1">
        <w:r w:rsidRPr="008E4EBF">
          <w:rPr>
            <w:rStyle w:val="Hyperlink"/>
            <w:rFonts w:eastAsiaTheme="majorEastAsia"/>
            <w:noProof/>
          </w:rPr>
          <w:t>Figure 10: Average marginal effects of First-in-Family status on enrolments in a selective institution by equity group membership</w:t>
        </w:r>
        <w:r>
          <w:rPr>
            <w:noProof/>
            <w:webHidden/>
          </w:rPr>
          <w:tab/>
        </w:r>
        <w:r>
          <w:rPr>
            <w:noProof/>
            <w:webHidden/>
          </w:rPr>
          <w:fldChar w:fldCharType="begin"/>
        </w:r>
        <w:r>
          <w:rPr>
            <w:noProof/>
            <w:webHidden/>
          </w:rPr>
          <w:instrText xml:space="preserve"> PAGEREF _Toc201760815 \h </w:instrText>
        </w:r>
        <w:r>
          <w:rPr>
            <w:noProof/>
            <w:webHidden/>
          </w:rPr>
        </w:r>
        <w:r>
          <w:rPr>
            <w:noProof/>
            <w:webHidden/>
          </w:rPr>
          <w:fldChar w:fldCharType="separate"/>
        </w:r>
        <w:r w:rsidR="0039644F">
          <w:rPr>
            <w:noProof/>
            <w:webHidden/>
          </w:rPr>
          <w:t>30</w:t>
        </w:r>
        <w:r>
          <w:rPr>
            <w:noProof/>
            <w:webHidden/>
          </w:rPr>
          <w:fldChar w:fldCharType="end"/>
        </w:r>
      </w:hyperlink>
    </w:p>
    <w:p w14:paraId="00187B6C" w14:textId="1C3EDACB"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16" w:history="1">
        <w:r w:rsidRPr="008E4EBF">
          <w:rPr>
            <w:rStyle w:val="Hyperlink"/>
            <w:rFonts w:eastAsiaTheme="majorEastAsia"/>
            <w:noProof/>
          </w:rPr>
          <w:t>Figure 11: Adjusted proportions of students enrolled in fields of study by First-in-Family status and equity group membership</w:t>
        </w:r>
        <w:r>
          <w:rPr>
            <w:noProof/>
            <w:webHidden/>
          </w:rPr>
          <w:tab/>
        </w:r>
        <w:r>
          <w:rPr>
            <w:noProof/>
            <w:webHidden/>
          </w:rPr>
          <w:fldChar w:fldCharType="begin"/>
        </w:r>
        <w:r>
          <w:rPr>
            <w:noProof/>
            <w:webHidden/>
          </w:rPr>
          <w:instrText xml:space="preserve"> PAGEREF _Toc201760816 \h </w:instrText>
        </w:r>
        <w:r>
          <w:rPr>
            <w:noProof/>
            <w:webHidden/>
          </w:rPr>
        </w:r>
        <w:r>
          <w:rPr>
            <w:noProof/>
            <w:webHidden/>
          </w:rPr>
          <w:fldChar w:fldCharType="separate"/>
        </w:r>
        <w:r w:rsidR="0039644F">
          <w:rPr>
            <w:noProof/>
            <w:webHidden/>
          </w:rPr>
          <w:t>33</w:t>
        </w:r>
        <w:r>
          <w:rPr>
            <w:noProof/>
            <w:webHidden/>
          </w:rPr>
          <w:fldChar w:fldCharType="end"/>
        </w:r>
      </w:hyperlink>
    </w:p>
    <w:p w14:paraId="46439E73" w14:textId="4F54BD62" w:rsidR="00FA0BDB" w:rsidRDefault="00FA0BDB" w:rsidP="00B24DFD">
      <w:pPr>
        <w:pStyle w:val="TableofFigures"/>
        <w:tabs>
          <w:tab w:val="right" w:leader="dot" w:pos="9016"/>
        </w:tabs>
        <w:spacing w:after="120"/>
        <w:rPr>
          <w:rFonts w:asciiTheme="minorHAnsi" w:eastAsiaTheme="minorEastAsia" w:hAnsiTheme="minorHAnsi" w:cstheme="minorBidi"/>
          <w:noProof/>
          <w:kern w:val="2"/>
          <w:sz w:val="24"/>
          <w14:ligatures w14:val="standardContextual"/>
        </w:rPr>
      </w:pPr>
      <w:hyperlink w:anchor="_Toc201760817" w:history="1">
        <w:r w:rsidRPr="008E4EBF">
          <w:rPr>
            <w:rStyle w:val="Hyperlink"/>
            <w:rFonts w:eastAsiaTheme="majorEastAsia"/>
            <w:noProof/>
          </w:rPr>
          <w:t>Figure 12: Average marginal effects of First-in-Family status on field of study by equity group membership</w:t>
        </w:r>
        <w:r>
          <w:rPr>
            <w:noProof/>
            <w:webHidden/>
          </w:rPr>
          <w:tab/>
        </w:r>
        <w:r>
          <w:rPr>
            <w:noProof/>
            <w:webHidden/>
          </w:rPr>
          <w:fldChar w:fldCharType="begin"/>
        </w:r>
        <w:r>
          <w:rPr>
            <w:noProof/>
            <w:webHidden/>
          </w:rPr>
          <w:instrText xml:space="preserve"> PAGEREF _Toc201760817 \h </w:instrText>
        </w:r>
        <w:r>
          <w:rPr>
            <w:noProof/>
            <w:webHidden/>
          </w:rPr>
        </w:r>
        <w:r>
          <w:rPr>
            <w:noProof/>
            <w:webHidden/>
          </w:rPr>
          <w:fldChar w:fldCharType="separate"/>
        </w:r>
        <w:r w:rsidR="0039644F">
          <w:rPr>
            <w:noProof/>
            <w:webHidden/>
          </w:rPr>
          <w:t>35</w:t>
        </w:r>
        <w:r>
          <w:rPr>
            <w:noProof/>
            <w:webHidden/>
          </w:rPr>
          <w:fldChar w:fldCharType="end"/>
        </w:r>
      </w:hyperlink>
    </w:p>
    <w:p w14:paraId="1A1C3E8F" w14:textId="2B226ECE" w:rsidR="009D6D47" w:rsidRPr="002F3A26" w:rsidRDefault="00EB7BEC">
      <w:pPr>
        <w:spacing w:line="259" w:lineRule="auto"/>
        <w:rPr>
          <w:rFonts w:cs="Arial"/>
          <w:noProof/>
        </w:rPr>
      </w:pPr>
      <w:r w:rsidRPr="002F3A26">
        <w:rPr>
          <w:rFonts w:cs="Arial"/>
          <w:noProof/>
        </w:rPr>
        <w:fldChar w:fldCharType="end"/>
      </w:r>
    </w:p>
    <w:p w14:paraId="4898BA15" w14:textId="77777777" w:rsidR="009D6D47" w:rsidRPr="002F3A26" w:rsidRDefault="009D6D47">
      <w:pPr>
        <w:spacing w:line="259" w:lineRule="auto"/>
        <w:rPr>
          <w:rFonts w:cs="Arial"/>
          <w:noProof/>
        </w:rPr>
      </w:pPr>
    </w:p>
    <w:p w14:paraId="26279212" w14:textId="77777777" w:rsidR="009D6D47" w:rsidRPr="002F3A26" w:rsidRDefault="009D6D47">
      <w:pPr>
        <w:spacing w:line="259" w:lineRule="auto"/>
        <w:rPr>
          <w:rFonts w:cs="Arial"/>
          <w:noProof/>
        </w:rPr>
        <w:sectPr w:rsidR="009D6D47" w:rsidRPr="002F3A26" w:rsidSect="00C31AAB">
          <w:pgSz w:w="11906" w:h="16838"/>
          <w:pgMar w:top="1440" w:right="1440" w:bottom="1440" w:left="1440" w:header="708" w:footer="397" w:gutter="0"/>
          <w:pgNumType w:fmt="lowerRoman" w:start="1"/>
          <w:cols w:space="708"/>
          <w:docGrid w:linePitch="360"/>
        </w:sectPr>
      </w:pPr>
    </w:p>
    <w:p w14:paraId="571B793B" w14:textId="77777777" w:rsidR="009D6D47" w:rsidRPr="002F3A26" w:rsidRDefault="009D6D47" w:rsidP="007F5CA7">
      <w:pPr>
        <w:pStyle w:val="headingnotitTOC"/>
      </w:pPr>
      <w:r w:rsidRPr="002F3A26">
        <w:lastRenderedPageBreak/>
        <w:t>Abbreviations</w:t>
      </w:r>
    </w:p>
    <w:p w14:paraId="20E86CFC" w14:textId="117D9005" w:rsidR="00066074" w:rsidRPr="00B31350" w:rsidRDefault="00066074" w:rsidP="00066074">
      <w:pPr>
        <w:rPr>
          <w:color w:val="000000"/>
        </w:rPr>
      </w:pPr>
      <w:r w:rsidRPr="00B31350">
        <w:rPr>
          <w:color w:val="000000"/>
        </w:rPr>
        <w:t>ABS</w:t>
      </w:r>
      <w:r w:rsidR="008E418F">
        <w:rPr>
          <w:color w:val="000000"/>
        </w:rPr>
        <w:tab/>
      </w:r>
      <w:r w:rsidR="008E418F">
        <w:rPr>
          <w:color w:val="000000"/>
        </w:rPr>
        <w:tab/>
      </w:r>
      <w:r w:rsidRPr="00B31350">
        <w:rPr>
          <w:color w:val="000000"/>
        </w:rPr>
        <w:t>Australian Bureau of Statistics</w:t>
      </w:r>
    </w:p>
    <w:p w14:paraId="0FA9B1AD" w14:textId="44C35573" w:rsidR="00066074" w:rsidRPr="00B31350" w:rsidRDefault="00066074" w:rsidP="00066074">
      <w:pPr>
        <w:rPr>
          <w:color w:val="000000"/>
        </w:rPr>
      </w:pPr>
      <w:r w:rsidRPr="00B31350">
        <w:rPr>
          <w:color w:val="000000"/>
        </w:rPr>
        <w:t>ACSES</w:t>
      </w:r>
      <w:r w:rsidR="008E418F">
        <w:rPr>
          <w:color w:val="000000"/>
        </w:rPr>
        <w:tab/>
      </w:r>
      <w:r w:rsidRPr="00B31350">
        <w:rPr>
          <w:color w:val="000000"/>
        </w:rPr>
        <w:t>Australian Centre for Student Equity and Success</w:t>
      </w:r>
    </w:p>
    <w:p w14:paraId="7C12012D" w14:textId="5DDE5332" w:rsidR="00066074" w:rsidRPr="00B31350" w:rsidRDefault="00066074" w:rsidP="00066074">
      <w:pPr>
        <w:rPr>
          <w:color w:val="000000"/>
        </w:rPr>
      </w:pPr>
      <w:r w:rsidRPr="00B31350">
        <w:rPr>
          <w:color w:val="000000"/>
        </w:rPr>
        <w:t>AME</w:t>
      </w:r>
      <w:r w:rsidR="008E418F">
        <w:rPr>
          <w:color w:val="000000"/>
        </w:rPr>
        <w:tab/>
      </w:r>
      <w:r w:rsidR="008E418F">
        <w:rPr>
          <w:color w:val="000000"/>
        </w:rPr>
        <w:tab/>
      </w:r>
      <w:r w:rsidRPr="00B31350">
        <w:rPr>
          <w:color w:val="000000"/>
        </w:rPr>
        <w:t xml:space="preserve">Average </w:t>
      </w:r>
      <w:r>
        <w:rPr>
          <w:color w:val="000000"/>
        </w:rPr>
        <w:t>m</w:t>
      </w:r>
      <w:r w:rsidRPr="00B31350">
        <w:rPr>
          <w:color w:val="000000"/>
        </w:rPr>
        <w:t xml:space="preserve">arginal </w:t>
      </w:r>
      <w:r>
        <w:rPr>
          <w:color w:val="000000"/>
        </w:rPr>
        <w:t>e</w:t>
      </w:r>
      <w:r w:rsidRPr="00B31350">
        <w:rPr>
          <w:color w:val="000000"/>
        </w:rPr>
        <w:t>ffect</w:t>
      </w:r>
    </w:p>
    <w:p w14:paraId="59C4188D" w14:textId="31C1F39A" w:rsidR="00066074" w:rsidRPr="00B31350" w:rsidRDefault="00066074" w:rsidP="00066074">
      <w:pPr>
        <w:rPr>
          <w:color w:val="000000"/>
        </w:rPr>
      </w:pPr>
      <w:r w:rsidRPr="00B31350">
        <w:rPr>
          <w:color w:val="000000"/>
        </w:rPr>
        <w:t>ASGS</w:t>
      </w:r>
      <w:r w:rsidR="008E418F">
        <w:rPr>
          <w:color w:val="000000"/>
        </w:rPr>
        <w:tab/>
      </w:r>
      <w:r w:rsidR="008E418F">
        <w:rPr>
          <w:color w:val="000000"/>
        </w:rPr>
        <w:tab/>
      </w:r>
      <w:r w:rsidRPr="00B31350">
        <w:rPr>
          <w:color w:val="000000"/>
        </w:rPr>
        <w:t>Australian Statistical Geography Standard</w:t>
      </w:r>
    </w:p>
    <w:p w14:paraId="52EEC724" w14:textId="4391CF4E" w:rsidR="00066074" w:rsidRDefault="00066074" w:rsidP="00066074">
      <w:pPr>
        <w:rPr>
          <w:color w:val="000000"/>
        </w:rPr>
      </w:pPr>
      <w:r w:rsidRPr="00B31350">
        <w:rPr>
          <w:color w:val="000000"/>
        </w:rPr>
        <w:t>ATAR</w:t>
      </w:r>
      <w:r w:rsidR="008E418F">
        <w:rPr>
          <w:color w:val="000000"/>
        </w:rPr>
        <w:tab/>
      </w:r>
      <w:r w:rsidR="008E418F">
        <w:rPr>
          <w:color w:val="000000"/>
        </w:rPr>
        <w:tab/>
      </w:r>
      <w:r w:rsidRPr="00B31350">
        <w:rPr>
          <w:color w:val="000000"/>
        </w:rPr>
        <w:t>Australian Tertiary Admission Rank</w:t>
      </w:r>
    </w:p>
    <w:p w14:paraId="02F34DD3" w14:textId="04C8895F" w:rsidR="000C600B" w:rsidRDefault="000C600B" w:rsidP="00066074">
      <w:pPr>
        <w:rPr>
          <w:color w:val="000000"/>
        </w:rPr>
      </w:pPr>
      <w:r>
        <w:rPr>
          <w:color w:val="000000"/>
        </w:rPr>
        <w:t>BLADE</w:t>
      </w:r>
      <w:r w:rsidR="008E418F">
        <w:rPr>
          <w:color w:val="000000"/>
        </w:rPr>
        <w:tab/>
      </w:r>
      <w:r w:rsidRPr="000C600B">
        <w:rPr>
          <w:color w:val="000000"/>
        </w:rPr>
        <w:t>Business</w:t>
      </w:r>
      <w:r>
        <w:rPr>
          <w:color w:val="000000"/>
        </w:rPr>
        <w:t xml:space="preserve"> </w:t>
      </w:r>
      <w:r w:rsidRPr="000C600B">
        <w:rPr>
          <w:color w:val="000000"/>
        </w:rPr>
        <w:t>Longitudinal Analysis Data Environment</w:t>
      </w:r>
    </w:p>
    <w:p w14:paraId="4B7D4894" w14:textId="534924A3" w:rsidR="00C54827" w:rsidRDefault="00C54827" w:rsidP="00C54827">
      <w:pPr>
        <w:rPr>
          <w:color w:val="000000"/>
        </w:rPr>
      </w:pPr>
      <w:r>
        <w:rPr>
          <w:color w:val="000000"/>
        </w:rPr>
        <w:t>DEEWR</w:t>
      </w:r>
      <w:r w:rsidR="008E418F">
        <w:rPr>
          <w:color w:val="000000"/>
        </w:rPr>
        <w:tab/>
      </w:r>
      <w:r w:rsidRPr="004C7FF2">
        <w:rPr>
          <w:rFonts w:eastAsiaTheme="majorEastAsia"/>
        </w:rPr>
        <w:t>Department</w:t>
      </w:r>
      <w:r>
        <w:rPr>
          <w:rFonts w:eastAsiaTheme="majorEastAsia"/>
        </w:rPr>
        <w:t xml:space="preserve"> </w:t>
      </w:r>
      <w:r w:rsidRPr="004C7FF2">
        <w:rPr>
          <w:rFonts w:eastAsiaTheme="majorEastAsia"/>
        </w:rPr>
        <w:t>of Education, Employment and Workplace Relations</w:t>
      </w:r>
    </w:p>
    <w:p w14:paraId="205634A1" w14:textId="0DBCD9C1" w:rsidR="00C54827" w:rsidRDefault="00C54827" w:rsidP="008E418F">
      <w:pPr>
        <w:ind w:left="1440" w:hanging="1440"/>
        <w:rPr>
          <w:rFonts w:eastAsiaTheme="majorEastAsia"/>
        </w:rPr>
      </w:pPr>
      <w:r w:rsidRPr="004C7FF2">
        <w:rPr>
          <w:rFonts w:eastAsiaTheme="majorEastAsia"/>
        </w:rPr>
        <w:t>DIICSRTE</w:t>
      </w:r>
      <w:r w:rsidR="008E418F">
        <w:rPr>
          <w:rFonts w:eastAsiaTheme="majorEastAsia"/>
        </w:rPr>
        <w:tab/>
      </w:r>
      <w:r w:rsidRPr="004C7FF2">
        <w:rPr>
          <w:rFonts w:eastAsiaTheme="majorEastAsia"/>
        </w:rPr>
        <w:t>Department</w:t>
      </w:r>
      <w:r>
        <w:rPr>
          <w:rFonts w:eastAsiaTheme="majorEastAsia"/>
        </w:rPr>
        <w:t xml:space="preserve"> </w:t>
      </w:r>
      <w:r w:rsidRPr="004C7FF2">
        <w:rPr>
          <w:rFonts w:eastAsiaTheme="majorEastAsia"/>
        </w:rPr>
        <w:t>of Industry, Innovation, Climate change, Science, Research and Tertiary Education</w:t>
      </w:r>
    </w:p>
    <w:p w14:paraId="262DB651" w14:textId="2A94A1BA" w:rsidR="00C54827" w:rsidRPr="00B31350" w:rsidRDefault="00C54827" w:rsidP="00C54827">
      <w:pPr>
        <w:rPr>
          <w:color w:val="000000"/>
        </w:rPr>
      </w:pPr>
      <w:r>
        <w:rPr>
          <w:color w:val="000000"/>
        </w:rPr>
        <w:t>EG</w:t>
      </w:r>
      <w:r w:rsidR="008E418F">
        <w:rPr>
          <w:color w:val="000000"/>
        </w:rPr>
        <w:tab/>
      </w:r>
      <w:r w:rsidR="008E418F">
        <w:rPr>
          <w:color w:val="000000"/>
        </w:rPr>
        <w:tab/>
      </w:r>
      <w:r>
        <w:rPr>
          <w:color w:val="000000"/>
        </w:rPr>
        <w:t>Equity group</w:t>
      </w:r>
    </w:p>
    <w:p w14:paraId="44173056" w14:textId="5A348D07" w:rsidR="00BB0B3A" w:rsidRPr="00B31350" w:rsidRDefault="00BB0B3A" w:rsidP="00066074">
      <w:pPr>
        <w:rPr>
          <w:color w:val="000000"/>
        </w:rPr>
      </w:pPr>
      <w:r>
        <w:rPr>
          <w:color w:val="000000"/>
        </w:rPr>
        <w:t>ESB</w:t>
      </w:r>
      <w:r w:rsidR="008E418F">
        <w:rPr>
          <w:color w:val="000000"/>
        </w:rPr>
        <w:tab/>
      </w:r>
      <w:r w:rsidR="008E418F">
        <w:rPr>
          <w:color w:val="000000"/>
        </w:rPr>
        <w:tab/>
      </w:r>
      <w:r w:rsidR="00036C4B" w:rsidRPr="00B31350">
        <w:rPr>
          <w:color w:val="000000"/>
        </w:rPr>
        <w:t>English Speaking Background</w:t>
      </w:r>
    </w:p>
    <w:p w14:paraId="2D5A9BD4" w14:textId="5C0EDD94" w:rsidR="00066074" w:rsidRPr="00B31350" w:rsidRDefault="00066074" w:rsidP="00066074">
      <w:pPr>
        <w:rPr>
          <w:color w:val="000000"/>
        </w:rPr>
      </w:pPr>
      <w:r w:rsidRPr="00E67D2C">
        <w:rPr>
          <w:color w:val="000000"/>
        </w:rPr>
        <w:t>FGS</w:t>
      </w:r>
      <w:r w:rsidR="008E418F">
        <w:rPr>
          <w:color w:val="000000"/>
        </w:rPr>
        <w:tab/>
      </w:r>
      <w:r w:rsidR="008E418F">
        <w:rPr>
          <w:color w:val="000000"/>
        </w:rPr>
        <w:tab/>
      </w:r>
      <w:r w:rsidRPr="00B31350">
        <w:rPr>
          <w:color w:val="000000"/>
        </w:rPr>
        <w:t xml:space="preserve">First-Generation Students </w:t>
      </w:r>
    </w:p>
    <w:p w14:paraId="0818CF23" w14:textId="747B5E50" w:rsidR="00066074" w:rsidRPr="00B31350" w:rsidRDefault="00066074" w:rsidP="00066074">
      <w:pPr>
        <w:rPr>
          <w:color w:val="000000"/>
        </w:rPr>
      </w:pPr>
      <w:r w:rsidRPr="00B31350">
        <w:rPr>
          <w:color w:val="000000"/>
        </w:rPr>
        <w:t>FiF</w:t>
      </w:r>
      <w:r w:rsidR="008E418F">
        <w:rPr>
          <w:color w:val="000000"/>
        </w:rPr>
        <w:tab/>
      </w:r>
      <w:r w:rsidR="008E418F">
        <w:rPr>
          <w:color w:val="000000"/>
        </w:rPr>
        <w:tab/>
      </w:r>
      <w:r w:rsidRPr="00B31350">
        <w:rPr>
          <w:color w:val="000000"/>
        </w:rPr>
        <w:t>First-in-Family</w:t>
      </w:r>
    </w:p>
    <w:p w14:paraId="2EF9667B" w14:textId="000343CC" w:rsidR="007713D1" w:rsidRPr="00B31350" w:rsidRDefault="007713D1" w:rsidP="00066074">
      <w:pPr>
        <w:rPr>
          <w:color w:val="000000"/>
        </w:rPr>
      </w:pPr>
      <w:r>
        <w:rPr>
          <w:color w:val="000000"/>
        </w:rPr>
        <w:t>HEI</w:t>
      </w:r>
      <w:r w:rsidR="008E418F">
        <w:rPr>
          <w:color w:val="000000"/>
        </w:rPr>
        <w:tab/>
      </w:r>
      <w:r w:rsidR="008E418F">
        <w:rPr>
          <w:color w:val="000000"/>
        </w:rPr>
        <w:tab/>
      </w:r>
      <w:r w:rsidR="00036C4B">
        <w:rPr>
          <w:color w:val="000000"/>
        </w:rPr>
        <w:t>Higher education institution</w:t>
      </w:r>
    </w:p>
    <w:p w14:paraId="3ACF3141" w14:textId="0CD7C504" w:rsidR="00066074" w:rsidRPr="00B31350" w:rsidRDefault="00066074" w:rsidP="00066074">
      <w:pPr>
        <w:rPr>
          <w:color w:val="000000"/>
        </w:rPr>
      </w:pPr>
      <w:r w:rsidRPr="00B31350">
        <w:rPr>
          <w:color w:val="000000"/>
        </w:rPr>
        <w:t>HEIMS</w:t>
      </w:r>
      <w:r w:rsidR="008E418F">
        <w:rPr>
          <w:color w:val="000000"/>
        </w:rPr>
        <w:tab/>
      </w:r>
      <w:r w:rsidR="008E418F">
        <w:rPr>
          <w:color w:val="000000"/>
        </w:rPr>
        <w:tab/>
      </w:r>
      <w:r w:rsidRPr="00B31350">
        <w:rPr>
          <w:color w:val="000000"/>
        </w:rPr>
        <w:t>Higher Education Information Management System</w:t>
      </w:r>
    </w:p>
    <w:p w14:paraId="39A165A7" w14:textId="4B53CE16" w:rsidR="00066074" w:rsidRDefault="00066074" w:rsidP="00066074">
      <w:pPr>
        <w:rPr>
          <w:color w:val="000000"/>
        </w:rPr>
      </w:pPr>
      <w:r w:rsidRPr="00B31350">
        <w:rPr>
          <w:color w:val="000000"/>
        </w:rPr>
        <w:t>NESB</w:t>
      </w:r>
      <w:r w:rsidR="008E418F">
        <w:rPr>
          <w:color w:val="000000"/>
        </w:rPr>
        <w:tab/>
      </w:r>
      <w:r w:rsidR="008E418F">
        <w:rPr>
          <w:color w:val="000000"/>
        </w:rPr>
        <w:tab/>
      </w:r>
      <w:r w:rsidRPr="00B31350">
        <w:rPr>
          <w:color w:val="000000"/>
        </w:rPr>
        <w:t>Non-English Speaking Background</w:t>
      </w:r>
    </w:p>
    <w:p w14:paraId="58818F1E" w14:textId="6D760D3F" w:rsidR="00C54827" w:rsidRPr="00B31350" w:rsidRDefault="00C54827" w:rsidP="00C54827">
      <w:pPr>
        <w:rPr>
          <w:color w:val="000000"/>
        </w:rPr>
      </w:pPr>
      <w:r>
        <w:rPr>
          <w:color w:val="000000"/>
        </w:rPr>
        <w:t>NSW</w:t>
      </w:r>
      <w:r w:rsidR="008E418F">
        <w:rPr>
          <w:color w:val="000000"/>
        </w:rPr>
        <w:tab/>
      </w:r>
      <w:r w:rsidR="008E418F">
        <w:rPr>
          <w:color w:val="000000"/>
        </w:rPr>
        <w:tab/>
      </w:r>
      <w:r>
        <w:rPr>
          <w:color w:val="000000"/>
        </w:rPr>
        <w:t>New South Wales</w:t>
      </w:r>
    </w:p>
    <w:p w14:paraId="7FC585BD" w14:textId="1487D5BF" w:rsidR="00066074" w:rsidRPr="00B31350" w:rsidRDefault="00066074" w:rsidP="00066074">
      <w:pPr>
        <w:rPr>
          <w:color w:val="000000"/>
        </w:rPr>
      </w:pPr>
      <w:r w:rsidRPr="00B31350">
        <w:rPr>
          <w:color w:val="000000"/>
        </w:rPr>
        <w:t>OR</w:t>
      </w:r>
      <w:r w:rsidR="008E418F">
        <w:rPr>
          <w:color w:val="000000"/>
        </w:rPr>
        <w:tab/>
      </w:r>
      <w:r w:rsidR="008E418F">
        <w:rPr>
          <w:color w:val="000000"/>
        </w:rPr>
        <w:tab/>
      </w:r>
      <w:r w:rsidRPr="00B31350">
        <w:rPr>
          <w:color w:val="000000"/>
        </w:rPr>
        <w:t xml:space="preserve">Odds </w:t>
      </w:r>
      <w:r>
        <w:rPr>
          <w:color w:val="000000"/>
        </w:rPr>
        <w:t>r</w:t>
      </w:r>
      <w:r w:rsidRPr="00B31350">
        <w:rPr>
          <w:color w:val="000000"/>
        </w:rPr>
        <w:t>atio</w:t>
      </w:r>
    </w:p>
    <w:p w14:paraId="57A8AE34" w14:textId="1C3D8C09" w:rsidR="00066074" w:rsidRPr="00B31350" w:rsidRDefault="00066074" w:rsidP="00066074">
      <w:pPr>
        <w:rPr>
          <w:color w:val="000000"/>
        </w:rPr>
      </w:pPr>
      <w:r w:rsidRPr="00B31350">
        <w:rPr>
          <w:color w:val="000000"/>
        </w:rPr>
        <w:t>PLIDA</w:t>
      </w:r>
      <w:r w:rsidR="008E418F">
        <w:rPr>
          <w:color w:val="000000"/>
        </w:rPr>
        <w:tab/>
      </w:r>
      <w:r w:rsidR="008E418F">
        <w:rPr>
          <w:color w:val="000000"/>
        </w:rPr>
        <w:tab/>
      </w:r>
      <w:r w:rsidRPr="00B31350">
        <w:rPr>
          <w:color w:val="000000"/>
        </w:rPr>
        <w:t>Person Level Integrated Data Asset</w:t>
      </w:r>
    </w:p>
    <w:p w14:paraId="7D2FD52E" w14:textId="5FCDC20D" w:rsidR="00066074" w:rsidRPr="00B31350" w:rsidRDefault="008E418F" w:rsidP="00066074">
      <w:pPr>
        <w:rPr>
          <w:color w:val="000000"/>
        </w:rPr>
      </w:pPr>
      <w:r>
        <w:rPr>
          <w:color w:val="000000"/>
        </w:rPr>
        <w:t>p</w:t>
      </w:r>
      <w:r w:rsidR="00066074" w:rsidRPr="00B31350">
        <w:rPr>
          <w:color w:val="000000"/>
        </w:rPr>
        <w:t>p</w:t>
      </w:r>
      <w:r>
        <w:rPr>
          <w:color w:val="000000"/>
        </w:rPr>
        <w:tab/>
      </w:r>
      <w:r>
        <w:rPr>
          <w:color w:val="000000"/>
        </w:rPr>
        <w:tab/>
      </w:r>
      <w:r w:rsidR="00066074" w:rsidRPr="00B31350">
        <w:rPr>
          <w:color w:val="000000"/>
        </w:rPr>
        <w:t xml:space="preserve">Percentage </w:t>
      </w:r>
      <w:r w:rsidR="00066074">
        <w:rPr>
          <w:color w:val="000000"/>
        </w:rPr>
        <w:t>p</w:t>
      </w:r>
      <w:r w:rsidR="00066074" w:rsidRPr="00B31350">
        <w:rPr>
          <w:color w:val="000000"/>
        </w:rPr>
        <w:t>oints</w:t>
      </w:r>
    </w:p>
    <w:p w14:paraId="2F12532D" w14:textId="70A1F061" w:rsidR="00066074" w:rsidRPr="00B31350" w:rsidRDefault="00066074" w:rsidP="00066074">
      <w:pPr>
        <w:rPr>
          <w:color w:val="000000"/>
        </w:rPr>
      </w:pPr>
      <w:r w:rsidRPr="00B31350">
        <w:rPr>
          <w:color w:val="000000"/>
        </w:rPr>
        <w:t>RR</w:t>
      </w:r>
      <w:r w:rsidR="008E418F">
        <w:rPr>
          <w:color w:val="000000"/>
        </w:rPr>
        <w:tab/>
      </w:r>
      <w:r w:rsidR="008E418F">
        <w:rPr>
          <w:color w:val="000000"/>
        </w:rPr>
        <w:tab/>
      </w:r>
      <w:r w:rsidRPr="00B31350">
        <w:rPr>
          <w:color w:val="000000"/>
        </w:rPr>
        <w:t>Regional</w:t>
      </w:r>
      <w:r>
        <w:rPr>
          <w:color w:val="000000"/>
        </w:rPr>
        <w:t xml:space="preserve"> </w:t>
      </w:r>
      <w:r w:rsidRPr="00B31350">
        <w:rPr>
          <w:color w:val="000000"/>
        </w:rPr>
        <w:t xml:space="preserve">and </w:t>
      </w:r>
      <w:r>
        <w:rPr>
          <w:color w:val="000000"/>
        </w:rPr>
        <w:t>r</w:t>
      </w:r>
      <w:r w:rsidRPr="00B31350">
        <w:rPr>
          <w:color w:val="000000"/>
        </w:rPr>
        <w:t>emote</w:t>
      </w:r>
    </w:p>
    <w:p w14:paraId="6D0DBCC9" w14:textId="73C44801" w:rsidR="00066074" w:rsidRPr="00B31350" w:rsidRDefault="00066074" w:rsidP="00066074">
      <w:pPr>
        <w:rPr>
          <w:color w:val="000000"/>
        </w:rPr>
      </w:pPr>
      <w:r w:rsidRPr="00B31350">
        <w:rPr>
          <w:color w:val="000000"/>
        </w:rPr>
        <w:t>SEIFA</w:t>
      </w:r>
      <w:r w:rsidR="008E418F">
        <w:rPr>
          <w:color w:val="000000"/>
        </w:rPr>
        <w:tab/>
      </w:r>
      <w:r w:rsidR="008E418F">
        <w:rPr>
          <w:color w:val="000000"/>
        </w:rPr>
        <w:tab/>
      </w:r>
      <w:r w:rsidRPr="00B31350">
        <w:rPr>
          <w:color w:val="000000"/>
        </w:rPr>
        <w:t>Socio-Economic Indexes for Areas</w:t>
      </w:r>
    </w:p>
    <w:p w14:paraId="43106A3F" w14:textId="52AFE883" w:rsidR="00066074" w:rsidRPr="00B31350" w:rsidRDefault="00066074" w:rsidP="00066074">
      <w:pPr>
        <w:rPr>
          <w:color w:val="000000"/>
        </w:rPr>
      </w:pPr>
      <w:r w:rsidRPr="00B31350">
        <w:rPr>
          <w:color w:val="000000"/>
        </w:rPr>
        <w:t>SES</w:t>
      </w:r>
      <w:r w:rsidR="008E418F">
        <w:rPr>
          <w:color w:val="000000"/>
        </w:rPr>
        <w:tab/>
      </w:r>
      <w:r w:rsidR="008E418F">
        <w:rPr>
          <w:color w:val="000000"/>
        </w:rPr>
        <w:tab/>
      </w:r>
      <w:r w:rsidRPr="00B31350">
        <w:rPr>
          <w:color w:val="000000"/>
        </w:rPr>
        <w:t>Socio</w:t>
      </w:r>
      <w:r w:rsidR="00F07AF4">
        <w:rPr>
          <w:color w:val="000000"/>
        </w:rPr>
        <w:t>-</w:t>
      </w:r>
      <w:r w:rsidRPr="00B31350">
        <w:rPr>
          <w:color w:val="000000"/>
        </w:rPr>
        <w:t xml:space="preserve">economic </w:t>
      </w:r>
      <w:r>
        <w:rPr>
          <w:color w:val="000000"/>
        </w:rPr>
        <w:t>s</w:t>
      </w:r>
      <w:r w:rsidRPr="00B31350">
        <w:rPr>
          <w:color w:val="000000"/>
        </w:rPr>
        <w:t>tatus</w:t>
      </w:r>
    </w:p>
    <w:p w14:paraId="13CEC0F7" w14:textId="540F7EF7" w:rsidR="00A629D9" w:rsidRDefault="008C5E1F" w:rsidP="00066074">
      <w:pPr>
        <w:rPr>
          <w:color w:val="000000"/>
        </w:rPr>
      </w:pPr>
      <w:r>
        <w:rPr>
          <w:color w:val="000000"/>
        </w:rPr>
        <w:t>STEM</w:t>
      </w:r>
      <w:r w:rsidR="008E418F">
        <w:rPr>
          <w:color w:val="000000"/>
        </w:rPr>
        <w:tab/>
      </w:r>
      <w:r w:rsidR="008E418F">
        <w:rPr>
          <w:color w:val="000000"/>
        </w:rPr>
        <w:tab/>
      </w:r>
      <w:r w:rsidR="00B037EB" w:rsidRPr="009D3EA7">
        <w:rPr>
          <w:color w:val="000000"/>
        </w:rPr>
        <w:t>Science, technology, engineering</w:t>
      </w:r>
      <w:r w:rsidR="000C600B">
        <w:rPr>
          <w:color w:val="000000"/>
        </w:rPr>
        <w:t>,</w:t>
      </w:r>
      <w:r w:rsidR="00B037EB" w:rsidRPr="009D3EA7">
        <w:rPr>
          <w:color w:val="000000"/>
        </w:rPr>
        <w:t xml:space="preserve"> and mathematics</w:t>
      </w:r>
    </w:p>
    <w:p w14:paraId="62D0E5CB" w14:textId="7A87EA09" w:rsidR="00BC6C1C" w:rsidRPr="00B31350" w:rsidRDefault="00BC6C1C" w:rsidP="00066074">
      <w:pPr>
        <w:rPr>
          <w:color w:val="000000"/>
        </w:rPr>
      </w:pPr>
      <w:r w:rsidRPr="009D3EA7">
        <w:rPr>
          <w:color w:val="000000"/>
        </w:rPr>
        <w:t>WINTA</w:t>
      </w:r>
      <w:r w:rsidR="008E418F">
        <w:rPr>
          <w:color w:val="000000"/>
        </w:rPr>
        <w:tab/>
      </w:r>
      <w:r w:rsidR="008E418F">
        <w:rPr>
          <w:color w:val="000000"/>
        </w:rPr>
        <w:tab/>
      </w:r>
      <w:r w:rsidR="00C016E3" w:rsidRPr="009D3EA7">
        <w:t>Women in Non-Traditional Areas</w:t>
      </w:r>
    </w:p>
    <w:p w14:paraId="1EE35492" w14:textId="77777777" w:rsidR="009D6D47" w:rsidRPr="002F3A26" w:rsidRDefault="009D6D47">
      <w:pPr>
        <w:spacing w:line="259" w:lineRule="auto"/>
        <w:rPr>
          <w:lang w:eastAsia="en-AU"/>
        </w:rPr>
      </w:pPr>
      <w:r w:rsidRPr="002F3A26">
        <w:rPr>
          <w:lang w:eastAsia="en-AU"/>
        </w:rPr>
        <w:br w:type="page"/>
      </w:r>
    </w:p>
    <w:p w14:paraId="1230149F" w14:textId="0BC202BA" w:rsidR="008C7722" w:rsidRPr="002F3A26" w:rsidRDefault="0073342F" w:rsidP="00942F29">
      <w:pPr>
        <w:pStyle w:val="Heading1"/>
      </w:pPr>
      <w:bookmarkStart w:id="4" w:name="_Toc202791782"/>
      <w:r w:rsidRPr="002F3A26">
        <w:lastRenderedPageBreak/>
        <w:t xml:space="preserve">Executive </w:t>
      </w:r>
      <w:r w:rsidR="00C54827">
        <w:t>s</w:t>
      </w:r>
      <w:r w:rsidRPr="00B307AA">
        <w:t>ummary</w:t>
      </w:r>
      <w:bookmarkEnd w:id="4"/>
    </w:p>
    <w:p w14:paraId="55DEC344" w14:textId="0FA18245" w:rsidR="0073052C" w:rsidRDefault="0073052C" w:rsidP="0073052C">
      <w:r>
        <w:t>Since the 1960s, successive Australian governments have focused on equity in the higher education sector where, for the most part, it is recognised that university education has a pivotal role to play in enhancing the socio</w:t>
      </w:r>
      <w:r w:rsidR="001C26F9">
        <w:t>-</w:t>
      </w:r>
      <w:r>
        <w:t xml:space="preserve">economic status </w:t>
      </w:r>
      <w:r w:rsidR="00B307AA">
        <w:t xml:space="preserve">(SES) </w:t>
      </w:r>
      <w:r>
        <w:t xml:space="preserve">and quality of life </w:t>
      </w:r>
      <w:r w:rsidRPr="0048508B">
        <w:t>for disadvantaged individuals</w:t>
      </w:r>
      <w:r>
        <w:t xml:space="preserve">. Much of the debate on equity </w:t>
      </w:r>
      <w:r w:rsidR="00C602E7">
        <w:t>with</w:t>
      </w:r>
      <w:r>
        <w:t xml:space="preserve">in Australian higher education has focused on six recognised equity groups: people </w:t>
      </w:r>
      <w:r w:rsidRPr="002B0C27">
        <w:t xml:space="preserve">from </w:t>
      </w:r>
      <w:r w:rsidR="00493DF6" w:rsidRPr="002B0C27">
        <w:t xml:space="preserve">low </w:t>
      </w:r>
      <w:r w:rsidR="00F95E4B" w:rsidRPr="002B0C27">
        <w:t>SES</w:t>
      </w:r>
      <w:r w:rsidRPr="002B0C27">
        <w:t xml:space="preserve"> backgrounds, people from </w:t>
      </w:r>
      <w:r w:rsidR="004150BE" w:rsidRPr="002B0C27">
        <w:t>N</w:t>
      </w:r>
      <w:r w:rsidRPr="002B0C27">
        <w:t xml:space="preserve">on-English </w:t>
      </w:r>
      <w:r w:rsidR="00B34B36" w:rsidRPr="002B0C27">
        <w:t>S</w:t>
      </w:r>
      <w:r w:rsidRPr="002B0C27">
        <w:t xml:space="preserve">peaking </w:t>
      </w:r>
      <w:r w:rsidR="00B34B36" w:rsidRPr="002B0C27">
        <w:t>B</w:t>
      </w:r>
      <w:r w:rsidRPr="002B0C27">
        <w:t>ackgrounds</w:t>
      </w:r>
      <w:r w:rsidR="00B34B36" w:rsidRPr="002B0C27">
        <w:t xml:space="preserve"> (NESB)</w:t>
      </w:r>
      <w:r w:rsidRPr="002B0C27">
        <w:t xml:space="preserve">, Aboriginal and Torres Strait Islander </w:t>
      </w:r>
      <w:r w:rsidR="00FC7F2D" w:rsidRPr="002B0C27">
        <w:t>p</w:t>
      </w:r>
      <w:r w:rsidRPr="002B0C27">
        <w:t>eople</w:t>
      </w:r>
      <w:r w:rsidR="00FC7F2D" w:rsidRPr="002B0C27">
        <w:t>s</w:t>
      </w:r>
      <w:r w:rsidRPr="002B0C27">
        <w:t xml:space="preserve">, people from regional and remote </w:t>
      </w:r>
      <w:r w:rsidR="00C708C2" w:rsidRPr="002B0C27">
        <w:t xml:space="preserve">(RR) </w:t>
      </w:r>
      <w:r w:rsidRPr="002B0C27">
        <w:t xml:space="preserve">areas, people with disability, and </w:t>
      </w:r>
      <w:r w:rsidR="009B48A1" w:rsidRPr="002B0C27">
        <w:t>W</w:t>
      </w:r>
      <w:r w:rsidRPr="002B0C27">
        <w:t xml:space="preserve">omen in </w:t>
      </w:r>
      <w:r w:rsidR="009B48A1" w:rsidRPr="002B0C27">
        <w:t>N</w:t>
      </w:r>
      <w:r w:rsidRPr="002B0C27">
        <w:t>on-</w:t>
      </w:r>
      <w:r w:rsidR="009B48A1" w:rsidRPr="002B0C27">
        <w:t>T</w:t>
      </w:r>
      <w:r w:rsidRPr="002B0C27">
        <w:t xml:space="preserve">raditional </w:t>
      </w:r>
      <w:r w:rsidR="009B48A1" w:rsidRPr="002B0C27">
        <w:t>A</w:t>
      </w:r>
      <w:r w:rsidRPr="002B0C27">
        <w:t xml:space="preserve">reas </w:t>
      </w:r>
      <w:r w:rsidR="009B48A1" w:rsidRPr="002B0C27">
        <w:t xml:space="preserve">(WINTA) </w:t>
      </w:r>
      <w:r w:rsidRPr="002B0C27">
        <w:t>of study.</w:t>
      </w:r>
      <w:r>
        <w:t xml:space="preserve"> Critics of the Australian higher education equity framework have underscored the existence of other potential groups </w:t>
      </w:r>
      <w:r w:rsidR="00E954A2" w:rsidRPr="00E954A2">
        <w:t>that experience disadvantage and are underrepresented in higher education</w:t>
      </w:r>
      <w:r w:rsidR="00E954A2">
        <w:t xml:space="preserve"> </w:t>
      </w:r>
      <w:r>
        <w:t>and yet currently lack official recognition. First-in-Family (FiF) students, that is, people without university-educated parents, are one of the disadvantaged groups that are not included in the current equity framework.</w:t>
      </w:r>
    </w:p>
    <w:p w14:paraId="4236BCE6" w14:textId="2FD9672D" w:rsidR="005A6697" w:rsidRPr="00202649" w:rsidRDefault="0073052C" w:rsidP="0073052C">
      <w:r>
        <w:t xml:space="preserve">There is rich theoretical and empirical literature linking social background to educational outcomes. One important marker of social background – parental education – has been identified as a key factor affecting educational trajectories. Studies focused on FiF students have provided ample evidence of </w:t>
      </w:r>
      <w:r w:rsidRPr="00E137A2">
        <w:t xml:space="preserve">their disadvantage in higher education. The lack of cultural capital, mentoring, and guidance are important factors hindering FiF </w:t>
      </w:r>
      <w:r w:rsidR="008E418F" w:rsidRPr="00E137A2">
        <w:t>students’</w:t>
      </w:r>
      <w:r w:rsidRPr="00E137A2">
        <w:t xml:space="preserve"> success. Both in Australia and internationally, there is evidence that FiF students choose educational pathways differently from their peers. However, in Australia, the evidence on FiF students comes mostly from small-scale qualitative studies. </w:t>
      </w:r>
    </w:p>
    <w:p w14:paraId="3FD9E0A3" w14:textId="26FFA764" w:rsidR="0073052C" w:rsidRDefault="0073052C" w:rsidP="0073052C">
      <w:r w:rsidRPr="00E137A2">
        <w:t>This study aim</w:t>
      </w:r>
      <w:r w:rsidR="001444FB">
        <w:t>ed</w:t>
      </w:r>
      <w:r w:rsidRPr="00E137A2">
        <w:t xml:space="preserve"> to close th</w:t>
      </w:r>
      <w:r w:rsidR="009623E4" w:rsidRPr="00F93969">
        <w:t>e</w:t>
      </w:r>
      <w:r w:rsidRPr="00E137A2">
        <w:t xml:space="preserve"> gap </w:t>
      </w:r>
      <w:r w:rsidR="0053563E" w:rsidRPr="00F93969">
        <w:t xml:space="preserve">in existing literature </w:t>
      </w:r>
      <w:r w:rsidRPr="00E137A2">
        <w:t xml:space="preserve">by drawing on </w:t>
      </w:r>
      <w:r w:rsidR="00470077" w:rsidRPr="00F93969">
        <w:t xml:space="preserve">unique </w:t>
      </w:r>
      <w:r w:rsidRPr="00E137A2">
        <w:t xml:space="preserve">whole-of-population data to provide robust evidence on </w:t>
      </w:r>
      <w:r w:rsidR="00B25D67" w:rsidRPr="00F93969">
        <w:t xml:space="preserve">access to </w:t>
      </w:r>
      <w:r w:rsidR="008B3DE4" w:rsidRPr="00F93969">
        <w:t xml:space="preserve">university for </w:t>
      </w:r>
      <w:r w:rsidR="00044DB2">
        <w:t>young people</w:t>
      </w:r>
      <w:r w:rsidRPr="00E137A2">
        <w:t xml:space="preserve"> whose parents did not complete higher education.</w:t>
      </w:r>
      <w:r w:rsidR="009C18BD">
        <w:t xml:space="preserve"> </w:t>
      </w:r>
      <w:r w:rsidR="00D26E74">
        <w:t>I</w:t>
      </w:r>
      <w:r w:rsidR="007B5CC0">
        <w:t>t</w:t>
      </w:r>
      <w:r w:rsidR="00FC2D61">
        <w:t xml:space="preserve"> involved analysis of</w:t>
      </w:r>
      <w:r>
        <w:t xml:space="preserve"> data on two cohorts of young people from the Person Level Integrated Data Asset (PLIDA). Specifically, </w:t>
      </w:r>
      <w:r w:rsidR="000002BA">
        <w:t>data</w:t>
      </w:r>
      <w:r>
        <w:t xml:space="preserve"> on </w:t>
      </w:r>
      <w:r w:rsidR="000002BA">
        <w:t>social background from</w:t>
      </w:r>
      <w:r>
        <w:t xml:space="preserve"> the 2016 Census </w:t>
      </w:r>
      <w:r w:rsidR="000C5835">
        <w:t xml:space="preserve">were </w:t>
      </w:r>
      <w:r>
        <w:t>link</w:t>
      </w:r>
      <w:r w:rsidR="00CA7702">
        <w:t>ed</w:t>
      </w:r>
      <w:r>
        <w:t xml:space="preserve"> </w:t>
      </w:r>
      <w:r w:rsidR="000C5835">
        <w:t>with</w:t>
      </w:r>
      <w:r>
        <w:t xml:space="preserve"> Higher Education Information Management System (HEIMS) records to </w:t>
      </w:r>
      <w:r w:rsidR="002418F6">
        <w:t xml:space="preserve">compare the </w:t>
      </w:r>
      <w:r>
        <w:t xml:space="preserve">university enrolment patterns </w:t>
      </w:r>
      <w:r w:rsidR="00597630">
        <w:t>of</w:t>
      </w:r>
      <w:r>
        <w:t xml:space="preserve"> FiF </w:t>
      </w:r>
      <w:r w:rsidR="00283AB9">
        <w:t xml:space="preserve">students </w:t>
      </w:r>
      <w:r w:rsidR="004B6506">
        <w:t>with that of</w:t>
      </w:r>
      <w:r>
        <w:t xml:space="preserve"> non-FiF </w:t>
      </w:r>
      <w:r w:rsidR="00C51275">
        <w:t>students</w:t>
      </w:r>
      <w:r>
        <w:t>.</w:t>
      </w:r>
      <w:r w:rsidR="000072FD">
        <w:t xml:space="preserve"> </w:t>
      </w:r>
      <w:r w:rsidR="000072FD">
        <w:rPr>
          <w:color w:val="000000"/>
        </w:rPr>
        <w:t>Data on i</w:t>
      </w:r>
      <w:r w:rsidR="000072FD" w:rsidRPr="002F3A26">
        <w:rPr>
          <w:color w:val="000000"/>
        </w:rPr>
        <w:t xml:space="preserve">ndividuals aged 16 or 17 years at the time of the </w:t>
      </w:r>
      <w:r w:rsidR="000072FD">
        <w:rPr>
          <w:color w:val="000000"/>
        </w:rPr>
        <w:t xml:space="preserve">2016 </w:t>
      </w:r>
      <w:r w:rsidR="000072FD" w:rsidRPr="002F3A26">
        <w:rPr>
          <w:color w:val="000000"/>
        </w:rPr>
        <w:t>Census, who lived with at least one parent</w:t>
      </w:r>
      <w:r w:rsidR="000072FD">
        <w:rPr>
          <w:color w:val="000000"/>
        </w:rPr>
        <w:t>,</w:t>
      </w:r>
      <w:r w:rsidR="000072FD" w:rsidRPr="002F3A26">
        <w:rPr>
          <w:color w:val="000000"/>
        </w:rPr>
        <w:t xml:space="preserve"> </w:t>
      </w:r>
      <w:r w:rsidR="000072FD">
        <w:rPr>
          <w:color w:val="000000"/>
        </w:rPr>
        <w:t xml:space="preserve">were used </w:t>
      </w:r>
      <w:r w:rsidR="000072FD" w:rsidRPr="002F3A26">
        <w:rPr>
          <w:color w:val="000000"/>
        </w:rPr>
        <w:t xml:space="preserve">to capture their social background, including parental education. </w:t>
      </w:r>
      <w:r w:rsidR="000072FD">
        <w:rPr>
          <w:color w:val="000000"/>
        </w:rPr>
        <w:t xml:space="preserve">Using </w:t>
      </w:r>
      <w:r w:rsidR="000072FD" w:rsidRPr="002F3A26">
        <w:rPr>
          <w:color w:val="000000"/>
        </w:rPr>
        <w:t xml:space="preserve">immigration records, the sample </w:t>
      </w:r>
      <w:r w:rsidR="000072FD">
        <w:rPr>
          <w:color w:val="000000"/>
        </w:rPr>
        <w:t xml:space="preserve">was narrowed </w:t>
      </w:r>
      <w:r w:rsidR="000072FD" w:rsidRPr="002F3A26">
        <w:rPr>
          <w:color w:val="000000"/>
        </w:rPr>
        <w:t xml:space="preserve">to Australian citizens and permanent residents. Higher education records </w:t>
      </w:r>
      <w:r w:rsidR="000072FD">
        <w:rPr>
          <w:color w:val="000000"/>
        </w:rPr>
        <w:t xml:space="preserve">were then used to </w:t>
      </w:r>
      <w:r w:rsidR="000072FD" w:rsidRPr="002F3A26">
        <w:rPr>
          <w:color w:val="000000"/>
        </w:rPr>
        <w:t>track their university enrolment status until 2019. The final analytic dataset comprised 443,609 individuals.</w:t>
      </w:r>
    </w:p>
    <w:p w14:paraId="248BB2D2" w14:textId="1BDF540B" w:rsidR="0073052C" w:rsidRDefault="00CE198A" w:rsidP="0073052C">
      <w:r>
        <w:t>The</w:t>
      </w:r>
      <w:r w:rsidR="0073052C">
        <w:t xml:space="preserve"> analysis document</w:t>
      </w:r>
      <w:r w:rsidR="008A5F5E">
        <w:t>ed</w:t>
      </w:r>
      <w:r w:rsidR="0073052C">
        <w:t xml:space="preserve"> significant overlaps between FiF status and four equity groups: </w:t>
      </w:r>
      <w:r w:rsidR="00863416">
        <w:t xml:space="preserve">people </w:t>
      </w:r>
      <w:r w:rsidR="0073052C">
        <w:t xml:space="preserve">from low SES backgrounds, </w:t>
      </w:r>
      <w:r w:rsidR="00713EAA">
        <w:t xml:space="preserve">people from </w:t>
      </w:r>
      <w:r w:rsidR="0073052C">
        <w:t xml:space="preserve">RR areas, </w:t>
      </w:r>
      <w:r w:rsidR="00C9257D">
        <w:t>Aboriginal and Torres Strait Islander people</w:t>
      </w:r>
      <w:r w:rsidR="00B75051">
        <w:t>s</w:t>
      </w:r>
      <w:r w:rsidR="0073052C">
        <w:t xml:space="preserve">, and </w:t>
      </w:r>
      <w:r w:rsidR="00317EF7">
        <w:t xml:space="preserve">people </w:t>
      </w:r>
      <w:r w:rsidR="0073052C">
        <w:t xml:space="preserve">with disability. The overlaps </w:t>
      </w:r>
      <w:r w:rsidR="008E1AF1">
        <w:t>we</w:t>
      </w:r>
      <w:r w:rsidR="0073052C">
        <w:t xml:space="preserve">re particularly large for Indigenous </w:t>
      </w:r>
      <w:r w:rsidR="00A3427F">
        <w:t>people</w:t>
      </w:r>
      <w:r w:rsidR="001205A8">
        <w:t xml:space="preserve"> </w:t>
      </w:r>
      <w:r w:rsidR="0073052C">
        <w:t xml:space="preserve">and </w:t>
      </w:r>
      <w:r w:rsidR="001205A8">
        <w:t>people</w:t>
      </w:r>
      <w:r w:rsidR="0073052C">
        <w:t xml:space="preserve"> from low SES </w:t>
      </w:r>
      <w:r w:rsidR="0073052C" w:rsidRPr="00545A97">
        <w:t>backgrounds, nearly 90% of whom belong</w:t>
      </w:r>
      <w:r w:rsidR="0032358C" w:rsidRPr="00490126">
        <w:t>ed</w:t>
      </w:r>
      <w:r w:rsidR="0073052C" w:rsidRPr="00545A97">
        <w:t xml:space="preserve"> to the FiF category.</w:t>
      </w:r>
      <w:r w:rsidR="0073052C">
        <w:t xml:space="preserve"> However, over two-thirds of the sample </w:t>
      </w:r>
      <w:r w:rsidR="00F969C8">
        <w:t>we</w:t>
      </w:r>
      <w:r w:rsidR="0073052C">
        <w:t>re classified as FiF, compared to 18.0% who qualif</w:t>
      </w:r>
      <w:r w:rsidR="00790A85">
        <w:t>ied</w:t>
      </w:r>
      <w:r w:rsidR="0073052C">
        <w:t xml:space="preserve"> as low SES and 3.9% as Indigenous, which mean</w:t>
      </w:r>
      <w:r w:rsidR="009C0362">
        <w:t>t</w:t>
      </w:r>
      <w:r w:rsidR="0073052C">
        <w:t xml:space="preserve"> that the vast majority of FiF individuals are not low SES or Indigenous.</w:t>
      </w:r>
    </w:p>
    <w:p w14:paraId="1E57E175" w14:textId="0EB86536" w:rsidR="0073052C" w:rsidRDefault="0073052C" w:rsidP="0073052C">
      <w:r>
        <w:t>Furthermore, the analysis provide</w:t>
      </w:r>
      <w:r w:rsidR="00BD5E0D">
        <w:t>d</w:t>
      </w:r>
      <w:r>
        <w:t xml:space="preserve"> evidence of the effects of FiF status on educational pathways. It reveal</w:t>
      </w:r>
      <w:r w:rsidR="00135270">
        <w:t>ed</w:t>
      </w:r>
      <w:r>
        <w:t xml:space="preserve"> a wide gap associated with FiF status in chances of enrolling in a</w:t>
      </w:r>
      <w:r w:rsidR="00CB6DC3">
        <w:t>n</w:t>
      </w:r>
      <w:r w:rsidR="00D10AF2">
        <w:t xml:space="preserve"> </w:t>
      </w:r>
      <w:r w:rsidR="00D10AF2">
        <w:lastRenderedPageBreak/>
        <w:t>undergraduate</w:t>
      </w:r>
      <w:r>
        <w:t xml:space="preserve"> program. The adjusted enrolment rate among the FiF category </w:t>
      </w:r>
      <w:r w:rsidR="00FC6CCE">
        <w:t>wa</w:t>
      </w:r>
      <w:r>
        <w:t xml:space="preserve">s 35.7% compared to 58.6% among those with university-educated parents. </w:t>
      </w:r>
      <w:r w:rsidR="00DC3CCF" w:rsidRPr="00907934">
        <w:t>C</w:t>
      </w:r>
      <w:r w:rsidRPr="00AC2104">
        <w:t>ompar</w:t>
      </w:r>
      <w:r w:rsidR="00DC3CCF" w:rsidRPr="00907934">
        <w:t>ing</w:t>
      </w:r>
      <w:r w:rsidRPr="00AC2104">
        <w:t xml:space="preserve"> the effect of FiF status to those of equity-group membership</w:t>
      </w:r>
      <w:r w:rsidR="00E7740A" w:rsidRPr="00907934">
        <w:t xml:space="preserve"> showed that o</w:t>
      </w:r>
      <w:r w:rsidRPr="00AC2104">
        <w:t xml:space="preserve">nly people with disability </w:t>
      </w:r>
      <w:r w:rsidR="00981F2C" w:rsidRPr="00907934">
        <w:t>we</w:t>
      </w:r>
      <w:r w:rsidRPr="00AC2104">
        <w:t xml:space="preserve">re more disadvantaged </w:t>
      </w:r>
      <w:r w:rsidR="008D4570" w:rsidRPr="00907934">
        <w:t xml:space="preserve">in terms of enrolment rate </w:t>
      </w:r>
      <w:r w:rsidRPr="00AC2104">
        <w:t xml:space="preserve">compared to their peers. The gap in adjusted proportions </w:t>
      </w:r>
      <w:r w:rsidR="008250C1" w:rsidRPr="00907934">
        <w:t>was</w:t>
      </w:r>
      <w:r w:rsidRPr="00AC2104">
        <w:t xml:space="preserve"> 30.7 </w:t>
      </w:r>
      <w:r w:rsidR="00B307AA">
        <w:t>percentage points (</w:t>
      </w:r>
      <w:r w:rsidRPr="00AC2104">
        <w:t>pp</w:t>
      </w:r>
      <w:r w:rsidR="00B307AA">
        <w:t>)</w:t>
      </w:r>
      <w:r w:rsidRPr="00AC2104">
        <w:t xml:space="preserve"> for that group.</w:t>
      </w:r>
    </w:p>
    <w:p w14:paraId="2C70FDB4" w14:textId="18D1D6A6" w:rsidR="0073052C" w:rsidRDefault="0073052C" w:rsidP="0073052C">
      <w:r>
        <w:t xml:space="preserve">Marked differences </w:t>
      </w:r>
      <w:r w:rsidR="00C83B33">
        <w:t xml:space="preserve">were </w:t>
      </w:r>
      <w:r>
        <w:t>also observed in the case of enrolments in selective institutions</w:t>
      </w:r>
      <w:r w:rsidR="00564CE6">
        <w:t xml:space="preserve"> (that is, those </w:t>
      </w:r>
      <w:r w:rsidR="004E1AB2">
        <w:t>that</w:t>
      </w:r>
      <w:r w:rsidR="001048B9">
        <w:t xml:space="preserve"> attract students with </w:t>
      </w:r>
      <w:r w:rsidR="00FE5AA4">
        <w:t xml:space="preserve">higher </w:t>
      </w:r>
      <w:r w:rsidR="00B307AA" w:rsidRPr="00B307AA">
        <w:t xml:space="preserve">Australian Tertiary Admission Rank </w:t>
      </w:r>
      <w:r w:rsidR="00B307AA">
        <w:t>(</w:t>
      </w:r>
      <w:r w:rsidR="001048B9">
        <w:t>ATAR</w:t>
      </w:r>
      <w:r w:rsidR="00B307AA">
        <w:t>)</w:t>
      </w:r>
      <w:r w:rsidR="001048B9">
        <w:t xml:space="preserve"> scores)</w:t>
      </w:r>
      <w:r>
        <w:t>.</w:t>
      </w:r>
      <w:r w:rsidR="00B9221F">
        <w:rPr>
          <w:rStyle w:val="FootnoteReference"/>
        </w:rPr>
        <w:footnoteReference w:id="2"/>
      </w:r>
      <w:r>
        <w:t xml:space="preserve"> This analysis provide</w:t>
      </w:r>
      <w:r w:rsidR="00770F9B">
        <w:t>d</w:t>
      </w:r>
      <w:r>
        <w:t xml:space="preserve"> evidence that FiF individuals, who </w:t>
      </w:r>
      <w:r w:rsidR="00940DC8">
        <w:t>we</w:t>
      </w:r>
      <w:r>
        <w:t xml:space="preserve">re already less likely to </w:t>
      </w:r>
      <w:r w:rsidRPr="00AC2104">
        <w:t>enter</w:t>
      </w:r>
      <w:r>
        <w:t xml:space="preserve"> higher education, </w:t>
      </w:r>
      <w:r w:rsidR="00A71636">
        <w:t>we</w:t>
      </w:r>
      <w:r>
        <w:t xml:space="preserve">re also less likely to </w:t>
      </w:r>
      <w:r w:rsidRPr="00AC2104">
        <w:t>secure a spot</w:t>
      </w:r>
      <w:r>
        <w:t xml:space="preserve"> at a first-tier university. </w:t>
      </w:r>
      <w:r w:rsidRPr="00AC2104">
        <w:t xml:space="preserve">While over half of non-FiF students </w:t>
      </w:r>
      <w:r w:rsidR="001B5665" w:rsidRPr="00AC2104">
        <w:t xml:space="preserve">were </w:t>
      </w:r>
      <w:r w:rsidRPr="00AC2104">
        <w:t>study</w:t>
      </w:r>
      <w:r w:rsidR="00B87090" w:rsidRPr="00AC2104">
        <w:t>ing</w:t>
      </w:r>
      <w:r w:rsidRPr="00AC2104">
        <w:t xml:space="preserve"> at a selective institution, the share among FiF students </w:t>
      </w:r>
      <w:r w:rsidR="00FF2326" w:rsidRPr="00AC2104">
        <w:t>wa</w:t>
      </w:r>
      <w:r w:rsidRPr="00AC2104">
        <w:t>s only 39.3%.</w:t>
      </w:r>
    </w:p>
    <w:p w14:paraId="05C19EB6" w14:textId="5079B3D1" w:rsidR="0073052C" w:rsidRDefault="0073052C" w:rsidP="0073052C">
      <w:r>
        <w:t>The final stage of the analysis focuse</w:t>
      </w:r>
      <w:r w:rsidR="005A08A0">
        <w:t>d</w:t>
      </w:r>
      <w:r>
        <w:t xml:space="preserve"> on </w:t>
      </w:r>
      <w:r w:rsidR="002E706B">
        <w:t xml:space="preserve">representation of </w:t>
      </w:r>
      <w:r w:rsidR="001B40C8">
        <w:t xml:space="preserve">FiF </w:t>
      </w:r>
      <w:r w:rsidR="002E706B">
        <w:t xml:space="preserve">individuals </w:t>
      </w:r>
      <w:r w:rsidR="0040210A">
        <w:t>within</w:t>
      </w:r>
      <w:r>
        <w:t xml:space="preserve"> fields of study. The results from multinomial logistic regression models suggest</w:t>
      </w:r>
      <w:r w:rsidR="00F91882">
        <w:t>ed</w:t>
      </w:r>
      <w:r>
        <w:t xml:space="preserve"> that a large proportion of fields </w:t>
      </w:r>
      <w:r w:rsidR="007E28AF">
        <w:t>we</w:t>
      </w:r>
      <w:r>
        <w:t xml:space="preserve">re equally likely to be studied by </w:t>
      </w:r>
      <w:r w:rsidR="009241CD">
        <w:t>FiF</w:t>
      </w:r>
      <w:r>
        <w:t xml:space="preserve"> students and their </w:t>
      </w:r>
      <w:r w:rsidR="00F33CE9">
        <w:t xml:space="preserve">peers </w:t>
      </w:r>
      <w:r>
        <w:t xml:space="preserve">with university-educated parents. However, FiF students </w:t>
      </w:r>
      <w:r w:rsidR="00B1098B">
        <w:t>we</w:t>
      </w:r>
      <w:r>
        <w:t xml:space="preserve">re significantly more likely than their peers to enrol in education </w:t>
      </w:r>
      <w:r w:rsidR="005343F5">
        <w:t xml:space="preserve">programs </w:t>
      </w:r>
      <w:r>
        <w:t xml:space="preserve">and health programs other than medical studies and less likely than their peers to study natural and physical sciences, engineering and related technologies, and medical studies. </w:t>
      </w:r>
    </w:p>
    <w:p w14:paraId="6FF2680F" w14:textId="3FC479A0" w:rsidR="0073052C" w:rsidRPr="002F3A26" w:rsidRDefault="0038782F" w:rsidP="0073052C">
      <w:pPr>
        <w:rPr>
          <w:lang w:eastAsia="en-AU"/>
        </w:rPr>
      </w:pPr>
      <w:r>
        <w:t>Combined, t</w:t>
      </w:r>
      <w:r w:rsidR="00BC01BE">
        <w:t>he study outcomes</w:t>
      </w:r>
      <w:r w:rsidR="0073052C">
        <w:t xml:space="preserve"> </w:t>
      </w:r>
      <w:r w:rsidR="002F3BAC">
        <w:t>emphasise</w:t>
      </w:r>
      <w:r w:rsidR="0073052C">
        <w:t xml:space="preserve"> </w:t>
      </w:r>
      <w:r w:rsidR="00E73860">
        <w:t>that</w:t>
      </w:r>
      <w:r w:rsidR="0073052C">
        <w:t xml:space="preserve"> FiF status</w:t>
      </w:r>
      <w:r w:rsidR="00B307AA">
        <w:t>—</w:t>
      </w:r>
      <w:r w:rsidR="0073052C">
        <w:t>and parental education more broadly</w:t>
      </w:r>
      <w:r w:rsidR="00B307AA">
        <w:t>—</w:t>
      </w:r>
      <w:r w:rsidR="00A0601D">
        <w:t>are</w:t>
      </w:r>
      <w:r w:rsidR="0073052C">
        <w:t xml:space="preserve"> </w:t>
      </w:r>
      <w:r w:rsidR="003D2B6A">
        <w:t>very</w:t>
      </w:r>
      <w:r w:rsidR="0073052C">
        <w:t xml:space="preserve"> important factors affecting educational trajectories. There are some overlaps between students who belong to the officially identified equity groups and those identified as FiF. However, the latter is a much larger group, and as </w:t>
      </w:r>
      <w:r w:rsidR="00DA5998">
        <w:t xml:space="preserve">the </w:t>
      </w:r>
      <w:r w:rsidR="0073052C">
        <w:t>results indicate, the disadvantage stemming from FiF status is distinct from that resulting from being a member of any of the designated equity groups.</w:t>
      </w:r>
      <w:r w:rsidR="005B5C5B">
        <w:t xml:space="preserve"> </w:t>
      </w:r>
      <w:r w:rsidR="0073052C" w:rsidRPr="002F3A26">
        <w:rPr>
          <w:lang w:eastAsia="en-AU"/>
        </w:rPr>
        <w:br w:type="page"/>
      </w:r>
    </w:p>
    <w:p w14:paraId="233190F1" w14:textId="7CE682E5" w:rsidR="0073052C" w:rsidRPr="002F3A26" w:rsidRDefault="0073052C" w:rsidP="00942F29">
      <w:pPr>
        <w:pStyle w:val="Heading1"/>
      </w:pPr>
      <w:bookmarkStart w:id="5" w:name="_Toc202791783"/>
      <w:r w:rsidRPr="002F3A26">
        <w:lastRenderedPageBreak/>
        <w:t>Recommendations</w:t>
      </w:r>
      <w:bookmarkEnd w:id="5"/>
      <w:r w:rsidRPr="002F3A26">
        <w:t xml:space="preserve"> </w:t>
      </w:r>
    </w:p>
    <w:p w14:paraId="3F92205A" w14:textId="75E12FE3" w:rsidR="0073052C" w:rsidRPr="00D80910" w:rsidRDefault="0073052C" w:rsidP="0073052C">
      <w:r w:rsidRPr="00D80910">
        <w:t xml:space="preserve">Based on </w:t>
      </w:r>
      <w:r w:rsidR="00315732">
        <w:t>the</w:t>
      </w:r>
      <w:r w:rsidRPr="00D80910">
        <w:t xml:space="preserve"> findings</w:t>
      </w:r>
      <w:r>
        <w:t>,</w:t>
      </w:r>
      <w:r w:rsidRPr="00D80910">
        <w:t xml:space="preserve"> the following </w:t>
      </w:r>
      <w:r>
        <w:t>four</w:t>
      </w:r>
      <w:r w:rsidRPr="00D80910">
        <w:t xml:space="preserve"> recommendations</w:t>
      </w:r>
      <w:r w:rsidR="00620113">
        <w:t xml:space="preserve"> are made</w:t>
      </w:r>
      <w:r w:rsidRPr="00D80910">
        <w:t>:</w:t>
      </w:r>
    </w:p>
    <w:p w14:paraId="63EFFC60" w14:textId="2E4C4668" w:rsidR="0073052C" w:rsidRDefault="0073052C" w:rsidP="0073052C">
      <w:r w:rsidRPr="000C47FA">
        <w:rPr>
          <w:b/>
          <w:bCs/>
        </w:rPr>
        <w:t xml:space="preserve">Recommendation </w:t>
      </w:r>
      <w:r>
        <w:rPr>
          <w:b/>
          <w:bCs/>
        </w:rPr>
        <w:t>1</w:t>
      </w:r>
      <w:r w:rsidRPr="000C47FA">
        <w:rPr>
          <w:b/>
          <w:bCs/>
        </w:rPr>
        <w:t>.</w:t>
      </w:r>
      <w:r w:rsidRPr="000C47FA">
        <w:t xml:space="preserve"> </w:t>
      </w:r>
      <w:r>
        <w:t>The Australian Government and s</w:t>
      </w:r>
      <w:r w:rsidRPr="008079FF">
        <w:t xml:space="preserve">takeholders at </w:t>
      </w:r>
      <w:r>
        <w:t>other</w:t>
      </w:r>
      <w:r w:rsidRPr="008079FF">
        <w:t xml:space="preserve"> levels </w:t>
      </w:r>
      <w:r>
        <w:t xml:space="preserve">should </w:t>
      </w:r>
      <w:r w:rsidRPr="008079FF">
        <w:t xml:space="preserve">consider </w:t>
      </w:r>
      <w:r>
        <w:t>First-in-Family</w:t>
      </w:r>
      <w:r w:rsidR="00E0634A">
        <w:t xml:space="preserve"> (FiF)</w:t>
      </w:r>
      <w:r>
        <w:t xml:space="preserve"> status</w:t>
      </w:r>
      <w:r w:rsidRPr="008079FF">
        <w:t xml:space="preserve"> </w:t>
      </w:r>
      <w:r>
        <w:t xml:space="preserve">(or parental education) </w:t>
      </w:r>
      <w:r w:rsidRPr="008079FF">
        <w:t xml:space="preserve">as </w:t>
      </w:r>
      <w:r>
        <w:t xml:space="preserve">another </w:t>
      </w:r>
      <w:r w:rsidRPr="008079FF">
        <w:t xml:space="preserve">important factor </w:t>
      </w:r>
      <w:r>
        <w:t>affecting</w:t>
      </w:r>
      <w:r w:rsidR="00D47B36">
        <w:t xml:space="preserve"> </w:t>
      </w:r>
      <w:r>
        <w:t xml:space="preserve">university enrolments, access to first-tier institutions, and </w:t>
      </w:r>
      <w:r w:rsidR="007A70AC">
        <w:t xml:space="preserve">certain </w:t>
      </w:r>
      <w:r>
        <w:t>fields of study.</w:t>
      </w:r>
    </w:p>
    <w:p w14:paraId="08B1ED5C" w14:textId="7C84A7B6" w:rsidR="0073052C" w:rsidRDefault="0073052C" w:rsidP="0073052C">
      <w:r w:rsidRPr="00F3469A">
        <w:t xml:space="preserve">Young people whose parents did not attend university were themselves significantly less likely to attend university and enrol in a selective institution. Furthermore, our results provide evidence that </w:t>
      </w:r>
      <w:r w:rsidR="005C7F8D">
        <w:t>FiF</w:t>
      </w:r>
      <w:r w:rsidRPr="00F3469A">
        <w:t xml:space="preserve"> status can affect the choice of field of study. It is also important to note that young people without university-educated parents were not a small minority. On the contrary, they constituted </w:t>
      </w:r>
      <w:r>
        <w:t xml:space="preserve">a </w:t>
      </w:r>
      <w:r w:rsidRPr="00F3469A">
        <w:t>majority of the cohort under study</w:t>
      </w:r>
      <w:r>
        <w:t xml:space="preserve"> (two-thirds of the sample)</w:t>
      </w:r>
      <w:r w:rsidRPr="00F3469A">
        <w:t xml:space="preserve">. </w:t>
      </w:r>
    </w:p>
    <w:p w14:paraId="2CEB86EA" w14:textId="3B668DB5" w:rsidR="0073052C" w:rsidRDefault="0073052C" w:rsidP="0073052C">
      <w:r w:rsidRPr="000C47FA">
        <w:rPr>
          <w:b/>
          <w:bCs/>
        </w:rPr>
        <w:t xml:space="preserve">Recommendation </w:t>
      </w:r>
      <w:r>
        <w:rPr>
          <w:b/>
          <w:bCs/>
        </w:rPr>
        <w:t>2</w:t>
      </w:r>
      <w:r w:rsidRPr="000C47FA">
        <w:rPr>
          <w:b/>
          <w:bCs/>
        </w:rPr>
        <w:t>.</w:t>
      </w:r>
      <w:r w:rsidRPr="000C47FA">
        <w:t xml:space="preserve"> </w:t>
      </w:r>
      <w:r>
        <w:t xml:space="preserve">The different levels of the Australian </w:t>
      </w:r>
      <w:r w:rsidR="00E0634A">
        <w:t>G</w:t>
      </w:r>
      <w:r>
        <w:t xml:space="preserve">overnment and other stakeholders should work together to build a data asset covering the full educational paths that would allow investigation of when and how the educational pathways of </w:t>
      </w:r>
      <w:r w:rsidR="00754A23">
        <w:t>FiF</w:t>
      </w:r>
      <w:r>
        <w:t xml:space="preserve"> individuals and their peers diverge</w:t>
      </w:r>
      <w:r w:rsidR="007A19D9">
        <w:t>.</w:t>
      </w:r>
    </w:p>
    <w:p w14:paraId="62A38417" w14:textId="62C55C02" w:rsidR="0073052C" w:rsidRDefault="0073052C" w:rsidP="0073052C">
      <w:r w:rsidRPr="000C47FA">
        <w:rPr>
          <w:b/>
          <w:bCs/>
        </w:rPr>
        <w:t xml:space="preserve">Recommendation </w:t>
      </w:r>
      <w:r>
        <w:rPr>
          <w:b/>
          <w:bCs/>
        </w:rPr>
        <w:t>3</w:t>
      </w:r>
      <w:r w:rsidRPr="000C47FA">
        <w:rPr>
          <w:b/>
          <w:bCs/>
        </w:rPr>
        <w:t>.</w:t>
      </w:r>
      <w:r>
        <w:rPr>
          <w:b/>
          <w:bCs/>
        </w:rPr>
        <w:t xml:space="preserve"> </w:t>
      </w:r>
      <w:r w:rsidR="00DD015F">
        <w:t xml:space="preserve">The Australian Government should consider funding further research exploring </w:t>
      </w:r>
      <w:r w:rsidR="00C14FB5">
        <w:t>why</w:t>
      </w:r>
      <w:r w:rsidR="00DD015F">
        <w:t xml:space="preserve"> attitudes and aspirations of FiF young people </w:t>
      </w:r>
      <w:r w:rsidR="00C14FB5">
        <w:t xml:space="preserve">differ from those of non-FiF youth </w:t>
      </w:r>
      <w:r w:rsidR="00DD015F">
        <w:t xml:space="preserve">and how they shape educational outcomes. This is needed to better understand </w:t>
      </w:r>
      <w:r w:rsidR="00DD015F" w:rsidRPr="00E014AD">
        <w:t>the mechanisms leading to the divergence of educational pathways.</w:t>
      </w:r>
    </w:p>
    <w:p w14:paraId="360F5254" w14:textId="78DA9888" w:rsidR="0073052C" w:rsidRDefault="0073052C" w:rsidP="0073052C">
      <w:pPr>
        <w:spacing w:line="259" w:lineRule="auto"/>
      </w:pPr>
      <w:r w:rsidRPr="00D80910">
        <w:t>These new data sources and research studies would significantly expand current understandings of how</w:t>
      </w:r>
      <w:r>
        <w:t xml:space="preserve"> </w:t>
      </w:r>
      <w:r w:rsidR="00174CFA">
        <w:t>FiF</w:t>
      </w:r>
      <w:r>
        <w:t xml:space="preserve"> status affect</w:t>
      </w:r>
      <w:r w:rsidR="00E0634A">
        <w:t>s</w:t>
      </w:r>
      <w:r>
        <w:t xml:space="preserve"> educational trajectories of young people</w:t>
      </w:r>
      <w:r w:rsidR="00E014AD">
        <w:t xml:space="preserve"> and help to design policy interventions to address equity challenges across the educational lifecycle.</w:t>
      </w:r>
    </w:p>
    <w:p w14:paraId="04D6308B" w14:textId="20885D6D" w:rsidR="0073052C" w:rsidRDefault="0073052C" w:rsidP="0073052C">
      <w:r w:rsidRPr="000C47FA">
        <w:rPr>
          <w:b/>
          <w:bCs/>
        </w:rPr>
        <w:t xml:space="preserve">Recommendation </w:t>
      </w:r>
      <w:r>
        <w:rPr>
          <w:b/>
          <w:bCs/>
        </w:rPr>
        <w:t>4</w:t>
      </w:r>
      <w:r w:rsidRPr="000C47FA">
        <w:rPr>
          <w:b/>
          <w:bCs/>
        </w:rPr>
        <w:t>.</w:t>
      </w:r>
      <w:r>
        <w:rPr>
          <w:b/>
          <w:bCs/>
        </w:rPr>
        <w:t xml:space="preserve"> </w:t>
      </w:r>
      <w:r>
        <w:t>The Australian Government and other</w:t>
      </w:r>
      <w:r w:rsidRPr="008079FF">
        <w:t xml:space="preserve"> </w:t>
      </w:r>
      <w:r>
        <w:t>s</w:t>
      </w:r>
      <w:r w:rsidRPr="008079FF">
        <w:t xml:space="preserve">takeholders </w:t>
      </w:r>
      <w:r>
        <w:t xml:space="preserve">should invest </w:t>
      </w:r>
      <w:r w:rsidR="006D4CAA">
        <w:t>in approache</w:t>
      </w:r>
      <w:r w:rsidR="0057360D">
        <w:t>s</w:t>
      </w:r>
      <w:r w:rsidR="006D4CAA">
        <w:t xml:space="preserve"> to </w:t>
      </w:r>
      <w:r w:rsidR="0057360D">
        <w:t>assist FiF</w:t>
      </w:r>
      <w:r w:rsidR="00E0634A">
        <w:t xml:space="preserve"> individuals in gaining</w:t>
      </w:r>
      <w:r w:rsidR="0057360D">
        <w:t xml:space="preserve"> </w:t>
      </w:r>
      <w:r w:rsidR="00D83A51">
        <w:t>access</w:t>
      </w:r>
      <w:r w:rsidR="005150FB">
        <w:t xml:space="preserve"> to </w:t>
      </w:r>
      <w:r w:rsidR="00B51063">
        <w:t>higher education</w:t>
      </w:r>
      <w:r w:rsidR="000850D8">
        <w:t xml:space="preserve">, </w:t>
      </w:r>
      <w:r w:rsidR="00487914">
        <w:t xml:space="preserve">selective </w:t>
      </w:r>
      <w:r w:rsidR="000C0C9D">
        <w:t>institutions</w:t>
      </w:r>
      <w:r w:rsidR="004E2F9D">
        <w:t>, and fields in which they are underrepresented</w:t>
      </w:r>
      <w:r w:rsidR="00E0634A">
        <w:t xml:space="preserve"> and e</w:t>
      </w:r>
      <w:r w:rsidR="00880C0E">
        <w:t xml:space="preserve">xpand </w:t>
      </w:r>
      <w:r>
        <w:t>outreach and career</w:t>
      </w:r>
      <w:r w:rsidRPr="007E524B">
        <w:t xml:space="preserve"> counselling </w:t>
      </w:r>
      <w:r>
        <w:t xml:space="preserve">programs that would equip </w:t>
      </w:r>
      <w:r w:rsidR="004D2309">
        <w:t>FiF</w:t>
      </w:r>
      <w:r>
        <w:t xml:space="preserve"> individuals with the knowledge necessary to navigate the higher education system as well as help them understand various career paths. </w:t>
      </w:r>
    </w:p>
    <w:p w14:paraId="2DFA5DA6" w14:textId="70C199BD" w:rsidR="0073052C" w:rsidRDefault="0073052C" w:rsidP="00880C0E">
      <w:r>
        <w:t xml:space="preserve">Such programs could mitigate the effects of </w:t>
      </w:r>
      <w:r w:rsidR="00580346">
        <w:t>FiF</w:t>
      </w:r>
      <w:r>
        <w:t xml:space="preserve"> status by reducing the disparities in the cultural capital and knowledge necessary to navigate the higher education system, which previous literature identified as important factors contributing to educational inequality.</w:t>
      </w:r>
    </w:p>
    <w:p w14:paraId="78E76CD0" w14:textId="77777777" w:rsidR="0073052C" w:rsidRPr="002F3A26" w:rsidRDefault="0073052C" w:rsidP="0073052C">
      <w:pPr>
        <w:spacing w:line="259" w:lineRule="auto"/>
      </w:pPr>
      <w:r w:rsidRPr="002F3A26">
        <w:br w:type="page"/>
      </w:r>
    </w:p>
    <w:p w14:paraId="61465AA7" w14:textId="77777777" w:rsidR="0073052C" w:rsidRPr="002F3A26" w:rsidRDefault="0073052C" w:rsidP="00942F29">
      <w:pPr>
        <w:pStyle w:val="Heading1"/>
      </w:pPr>
      <w:bookmarkStart w:id="6" w:name="_Toc202791784"/>
      <w:r w:rsidRPr="002F3A26">
        <w:lastRenderedPageBreak/>
        <w:t>Introduction</w:t>
      </w:r>
      <w:bookmarkEnd w:id="6"/>
    </w:p>
    <w:p w14:paraId="63109281" w14:textId="32C4EDC6" w:rsidR="0073052C" w:rsidRDefault="0073052C" w:rsidP="0073052C">
      <w:pPr>
        <w:rPr>
          <w:rFonts w:ascii="Segoe UI" w:hAnsi="Segoe UI" w:cs="Segoe UI"/>
          <w:sz w:val="18"/>
          <w:szCs w:val="18"/>
          <w:lang w:eastAsia="zh-CN"/>
        </w:rPr>
      </w:pPr>
      <w:r w:rsidRPr="00A17044">
        <w:t>Since the 1960s, successive Australian governments have focused on equity in the higher education sector where, for the most part, it is recogni</w:t>
      </w:r>
      <w:r w:rsidR="00480E3E">
        <w:t>s</w:t>
      </w:r>
      <w:r w:rsidRPr="00A17044">
        <w:t xml:space="preserve">ed that </w:t>
      </w:r>
      <w:r>
        <w:t>university</w:t>
      </w:r>
      <w:r w:rsidRPr="00A17044">
        <w:t xml:space="preserve"> educatio</w:t>
      </w:r>
      <w:r>
        <w:t>n</w:t>
      </w:r>
      <w:r w:rsidRPr="00A17044">
        <w:t xml:space="preserve"> has a pivotal role to play in enhancing the socio</w:t>
      </w:r>
      <w:r w:rsidR="004B4405">
        <w:t>-</w:t>
      </w:r>
      <w:r w:rsidRPr="00A17044">
        <w:t>economic status</w:t>
      </w:r>
      <w:r w:rsidR="00E0634A">
        <w:t xml:space="preserve"> (SES)</w:t>
      </w:r>
      <w:r w:rsidRPr="00A17044">
        <w:t xml:space="preserve"> and quality of life for disadvantaged individuals. David (2021) note</w:t>
      </w:r>
      <w:r w:rsidR="000C4DC5">
        <w:t>d</w:t>
      </w:r>
      <w:r w:rsidRPr="00A17044">
        <w:t xml:space="preserve"> </w:t>
      </w:r>
      <w:r>
        <w:t xml:space="preserve">that </w:t>
      </w:r>
      <w:r w:rsidRPr="00A17044">
        <w:t>“how to make educational opportunities more equal or equitable for various groups” has been a policy theme “throughout the second half of the twentieth century” (xviii). The commitment to widening participation emerged from the acknowledgment that the underrepresentation of certain groups indicated a failure to fully utilise human potential. Increasing access</w:t>
      </w:r>
      <w:r w:rsidRPr="002F3A26">
        <w:rPr>
          <w:lang w:eastAsia="zh-CN"/>
        </w:rPr>
        <w:t xml:space="preserve"> for non-traditional populations remains a key priority.</w:t>
      </w:r>
      <w:r>
        <w:rPr>
          <w:rStyle w:val="FootnoteReference"/>
          <w:lang w:eastAsia="zh-CN"/>
        </w:rPr>
        <w:footnoteReference w:id="3"/>
      </w:r>
    </w:p>
    <w:p w14:paraId="0DD156E7" w14:textId="5D18D134" w:rsidR="0073052C" w:rsidRPr="002F3A26" w:rsidRDefault="0073052C" w:rsidP="0073052C">
      <w:pPr>
        <w:rPr>
          <w:lang w:eastAsia="zh-CN"/>
        </w:rPr>
      </w:pPr>
      <w:r w:rsidRPr="00A17044">
        <w:t>In 1988, the Federal Government demonstrated its commitment to enhancing equity in higher education through the Dawkins White Paper on Higher Education Policy (Dawkins, 1988), which highlighted barriers hindering access to and success in higher education for several disadvantaged groups. This document served as a cornerstone for subsequent discussions, notably the paper</w:t>
      </w:r>
      <w:r w:rsidRPr="002F3A26">
        <w:rPr>
          <w:shd w:val="clear" w:color="auto" w:fill="FFFFFF"/>
          <w:lang w:eastAsia="zh-CN"/>
        </w:rPr>
        <w:t xml:space="preserve"> </w:t>
      </w:r>
      <w:r w:rsidRPr="002F3A26">
        <w:rPr>
          <w:color w:val="000000"/>
          <w:lang w:eastAsia="zh-CN"/>
        </w:rPr>
        <w:t>"</w:t>
      </w:r>
      <w:r w:rsidRPr="33BA7FA2">
        <w:rPr>
          <w:i/>
          <w:iCs/>
          <w:shd w:val="clear" w:color="auto" w:fill="FFFFFF"/>
          <w:lang w:eastAsia="zh-CN"/>
        </w:rPr>
        <w:t>A fair chance for all: national and institutional planning for equity in higher education</w:t>
      </w:r>
      <w:r w:rsidRPr="002F3A26">
        <w:rPr>
          <w:color w:val="000000"/>
          <w:lang w:eastAsia="zh-CN"/>
        </w:rPr>
        <w:t>"</w:t>
      </w:r>
      <w:r w:rsidRPr="002F3A26">
        <w:rPr>
          <w:shd w:val="clear" w:color="auto" w:fill="FFFFFF"/>
          <w:lang w:eastAsia="zh-CN"/>
        </w:rPr>
        <w:t xml:space="preserve"> </w:t>
      </w:r>
      <w:r w:rsidRPr="00A17044">
        <w:t>(DEET, 1990), which, along with</w:t>
      </w:r>
      <w:r w:rsidRPr="002F3A26">
        <w:rPr>
          <w:shd w:val="clear" w:color="auto" w:fill="FFFFFF"/>
          <w:lang w:eastAsia="zh-CN"/>
        </w:rPr>
        <w:t xml:space="preserve"> "</w:t>
      </w:r>
      <w:r w:rsidRPr="33BA7FA2">
        <w:rPr>
          <w:i/>
          <w:iCs/>
          <w:shd w:val="clear" w:color="auto" w:fill="FFFFFF"/>
          <w:lang w:eastAsia="zh-CN"/>
        </w:rPr>
        <w:t>Equity and general performance indicators in higher education</w:t>
      </w:r>
      <w:r w:rsidRPr="002F3A26">
        <w:rPr>
          <w:shd w:val="clear" w:color="auto" w:fill="FFFFFF"/>
          <w:lang w:eastAsia="zh-CN"/>
        </w:rPr>
        <w:t xml:space="preserve">" </w:t>
      </w:r>
      <w:r w:rsidRPr="00A17044">
        <w:t>by Martin (1994), laid the groundwork for the current equity framework.</w:t>
      </w:r>
      <w:r w:rsidRPr="002F3A26">
        <w:rPr>
          <w:shd w:val="clear" w:color="auto" w:fill="FFFFFF"/>
          <w:lang w:eastAsia="zh-CN"/>
        </w:rPr>
        <w:t xml:space="preserve"> </w:t>
      </w:r>
      <w:r w:rsidRPr="002F3A26">
        <w:rPr>
          <w:lang w:eastAsia="zh-CN"/>
        </w:rPr>
        <w:t xml:space="preserve">The aim of </w:t>
      </w:r>
      <w:r w:rsidRPr="33BA7FA2">
        <w:rPr>
          <w:i/>
          <w:iCs/>
          <w:lang w:eastAsia="zh-CN"/>
        </w:rPr>
        <w:t>A Fair Chance for All</w:t>
      </w:r>
      <w:r w:rsidRPr="002F3A26">
        <w:rPr>
          <w:lang w:eastAsia="zh-CN"/>
        </w:rPr>
        <w:t xml:space="preserve"> was to radically change the student population and set the stage for success. It was “focused explicitly on access and representation, advocating the need for composition of the student population to reflect the broader population” (Harvey, Andrewartha, &amp; Burnheim, 2016, p. 6</w:t>
      </w:r>
      <w:r w:rsidRPr="00A17044">
        <w:t>). This framework identifie</w:t>
      </w:r>
      <w:r>
        <w:t xml:space="preserve">d </w:t>
      </w:r>
      <w:r w:rsidRPr="00A17044">
        <w:t>six equity groups based on characteristics associated with barriers to higher education participation and success, including:</w:t>
      </w:r>
      <w:r>
        <w:rPr>
          <w:rFonts w:ascii="Segoe UI" w:hAnsi="Segoe UI" w:cs="Segoe UI"/>
          <w:sz w:val="18"/>
          <w:szCs w:val="18"/>
          <w:lang w:eastAsia="zh-CN"/>
        </w:rPr>
        <w:t xml:space="preserve"> </w:t>
      </w:r>
      <w:r w:rsidRPr="00192A86">
        <w:t xml:space="preserve">1) </w:t>
      </w:r>
      <w:r w:rsidR="004F64B4">
        <w:t>p</w:t>
      </w:r>
      <w:r w:rsidRPr="00A17044">
        <w:t xml:space="preserve">eople from </w:t>
      </w:r>
      <w:r w:rsidR="00223931">
        <w:t xml:space="preserve">low </w:t>
      </w:r>
      <w:r w:rsidR="00B01868">
        <w:t>SES</w:t>
      </w:r>
      <w:r w:rsidRPr="00A17044">
        <w:t xml:space="preserve"> backgrounds</w:t>
      </w:r>
      <w:r>
        <w:t xml:space="preserve">, 2) </w:t>
      </w:r>
      <w:r w:rsidRPr="00A17044">
        <w:t>Aboriginal and Torres Strait Islander people</w:t>
      </w:r>
      <w:r w:rsidR="0049776E">
        <w:t>s</w:t>
      </w:r>
      <w:r>
        <w:t xml:space="preserve">, 3) </w:t>
      </w:r>
      <w:r w:rsidR="004F64B4">
        <w:t>p</w:t>
      </w:r>
      <w:r w:rsidRPr="00A17044">
        <w:t xml:space="preserve">eople from regional and remote </w:t>
      </w:r>
      <w:r w:rsidR="00F22A6B">
        <w:t xml:space="preserve">(RR) </w:t>
      </w:r>
      <w:r w:rsidRPr="00A17044">
        <w:t>areas</w:t>
      </w:r>
      <w:r>
        <w:t xml:space="preserve">, 4) </w:t>
      </w:r>
      <w:r w:rsidR="004F64B4">
        <w:t>p</w:t>
      </w:r>
      <w:r w:rsidRPr="00A17044">
        <w:t xml:space="preserve">eople from </w:t>
      </w:r>
      <w:r w:rsidR="00503F7B">
        <w:t>N</w:t>
      </w:r>
      <w:r w:rsidRPr="00A17044">
        <w:t xml:space="preserve">on-English </w:t>
      </w:r>
      <w:r w:rsidR="00503F7B">
        <w:t>S</w:t>
      </w:r>
      <w:r w:rsidRPr="00A17044">
        <w:t xml:space="preserve">peaking </w:t>
      </w:r>
      <w:r w:rsidR="00503F7B">
        <w:t>B</w:t>
      </w:r>
      <w:r w:rsidRPr="00A17044">
        <w:t>ackgrounds</w:t>
      </w:r>
      <w:r w:rsidR="00503F7B">
        <w:t xml:space="preserve"> (NESB)</w:t>
      </w:r>
      <w:r>
        <w:t xml:space="preserve">, 5) </w:t>
      </w:r>
      <w:r w:rsidR="004F64B4">
        <w:t>p</w:t>
      </w:r>
      <w:r w:rsidRPr="00A17044">
        <w:t>eople with disability</w:t>
      </w:r>
      <w:r>
        <w:t>,</w:t>
      </w:r>
      <w:r w:rsidRPr="00A17044">
        <w:t xml:space="preserve"> and</w:t>
      </w:r>
      <w:r w:rsidR="00A538A4">
        <w:t xml:space="preserve"> </w:t>
      </w:r>
      <w:r>
        <w:t xml:space="preserve">6) </w:t>
      </w:r>
      <w:r w:rsidRPr="00A17044">
        <w:t xml:space="preserve">Women in </w:t>
      </w:r>
      <w:r w:rsidR="0075295F">
        <w:t>N</w:t>
      </w:r>
      <w:r w:rsidRPr="00A17044">
        <w:t>on-</w:t>
      </w:r>
      <w:r w:rsidR="0075295F">
        <w:t>T</w:t>
      </w:r>
      <w:r w:rsidRPr="00A17044">
        <w:t xml:space="preserve">raditional </w:t>
      </w:r>
      <w:r w:rsidR="00141FD8">
        <w:t>Areas (WINTA) of study</w:t>
      </w:r>
      <w:r w:rsidRPr="00A17044">
        <w:t>.</w:t>
      </w:r>
      <w:r>
        <w:rPr>
          <w:rStyle w:val="FootnoteReference"/>
          <w:lang w:eastAsia="zh-CN"/>
        </w:rPr>
        <w:footnoteReference w:id="4"/>
      </w:r>
    </w:p>
    <w:p w14:paraId="32FF8EF2" w14:textId="47E2951A" w:rsidR="0073052C" w:rsidRDefault="0073052C" w:rsidP="0073052C">
      <w:pPr>
        <w:rPr>
          <w:lang w:eastAsia="zh-CN"/>
        </w:rPr>
      </w:pPr>
      <w:r w:rsidRPr="002F3A26">
        <w:rPr>
          <w:lang w:eastAsia="zh-CN"/>
        </w:rPr>
        <w:t xml:space="preserve">Interrelated with the agenda to improve equity in higher education was the massification of the Australian higher education sector in 1989 (Dobson, 2001). This was followed by the development of a </w:t>
      </w:r>
      <w:r w:rsidR="004F64B4">
        <w:rPr>
          <w:lang w:eastAsia="zh-CN"/>
        </w:rPr>
        <w:t>“</w:t>
      </w:r>
      <w:r w:rsidRPr="002F3A26">
        <w:rPr>
          <w:lang w:eastAsia="zh-CN"/>
        </w:rPr>
        <w:t>demand-driven funding system</w:t>
      </w:r>
      <w:r w:rsidR="004F64B4">
        <w:rPr>
          <w:lang w:eastAsia="zh-CN"/>
        </w:rPr>
        <w:t>”</w:t>
      </w:r>
      <w:r>
        <w:rPr>
          <w:lang w:eastAsia="zh-CN"/>
        </w:rPr>
        <w:t xml:space="preserve"> </w:t>
      </w:r>
      <w:r w:rsidRPr="002F3A26">
        <w:rPr>
          <w:lang w:eastAsia="zh-CN"/>
        </w:rPr>
        <w:t>implemented between 2010 and 2017 with the aim of increasing domestic student numbers and providing greater access to higher education for underrepresented groups (Australian Government, 2009).</w:t>
      </w:r>
      <w:r>
        <w:rPr>
          <w:lang w:eastAsia="zh-CN"/>
        </w:rPr>
        <w:t xml:space="preserve"> </w:t>
      </w:r>
    </w:p>
    <w:p w14:paraId="111BA824" w14:textId="55884585" w:rsidR="0073052C" w:rsidRPr="00A17044" w:rsidRDefault="0073052C" w:rsidP="0073052C">
      <w:r>
        <w:t xml:space="preserve">The outcomes of the demand-driven university system were “a mixed report card”, as reported by the Productivity Commission in its research paper (Productivity Commission, 2019). While the number of students from low </w:t>
      </w:r>
      <w:r w:rsidR="00AA167A">
        <w:t>SES</w:t>
      </w:r>
      <w:r>
        <w:t xml:space="preserve"> backgrounds increased following the expansion of university places, this expansion did not lead to increased participation rates among Aboriginal and Torres Strait Islander peoples or young people from RR communities. </w:t>
      </w:r>
      <w:r>
        <w:lastRenderedPageBreak/>
        <w:t>This</w:t>
      </w:r>
      <w:r w:rsidRPr="33BA7FA2">
        <w:rPr>
          <w:lang w:eastAsia="zh-CN"/>
        </w:rPr>
        <w:t xml:space="preserve"> conclusion was also supported by a range of empirical </w:t>
      </w:r>
      <w:r>
        <w:t>evidence from equity scholars (Chesters &amp; Watson, 2013; Czarnecki, 2018).</w:t>
      </w:r>
    </w:p>
    <w:p w14:paraId="6D0E38D4" w14:textId="37470356" w:rsidR="0073052C" w:rsidRDefault="0073052C" w:rsidP="0073052C">
      <w:pPr>
        <w:rPr>
          <w:lang w:eastAsia="zh-CN"/>
        </w:rPr>
      </w:pPr>
      <w:r>
        <w:t xml:space="preserve">Another result of the expansion in higher education is </w:t>
      </w:r>
      <w:r w:rsidR="00DD015F">
        <w:t xml:space="preserve">an increase in the number of </w:t>
      </w:r>
      <w:r>
        <w:t xml:space="preserve">First-in-Family (FiF) students. </w:t>
      </w:r>
      <w:r w:rsidRPr="33BA7FA2">
        <w:rPr>
          <w:lang w:eastAsia="zh-CN"/>
        </w:rPr>
        <w:t xml:space="preserve">In this report, we foreground that </w:t>
      </w:r>
      <w:r>
        <w:rPr>
          <w:lang w:eastAsia="zh-CN"/>
        </w:rPr>
        <w:t>the</w:t>
      </w:r>
      <w:r w:rsidRPr="33BA7FA2">
        <w:rPr>
          <w:lang w:eastAsia="zh-CN"/>
        </w:rPr>
        <w:t xml:space="preserve"> FiF status</w:t>
      </w:r>
      <w:r w:rsidR="004F64B4">
        <w:rPr>
          <w:lang w:eastAsia="zh-CN"/>
        </w:rPr>
        <w:t>—</w:t>
      </w:r>
      <w:r w:rsidRPr="33BA7FA2">
        <w:rPr>
          <w:lang w:eastAsia="zh-CN"/>
        </w:rPr>
        <w:t>in other words</w:t>
      </w:r>
      <w:r>
        <w:rPr>
          <w:lang w:eastAsia="zh-CN"/>
        </w:rPr>
        <w:t xml:space="preserve"> having</w:t>
      </w:r>
      <w:r w:rsidRPr="33BA7FA2">
        <w:rPr>
          <w:lang w:eastAsia="zh-CN"/>
        </w:rPr>
        <w:t xml:space="preserve"> parents </w:t>
      </w:r>
      <w:r w:rsidR="00883844">
        <w:rPr>
          <w:lang w:eastAsia="zh-CN"/>
        </w:rPr>
        <w:t>who</w:t>
      </w:r>
      <w:r w:rsidRPr="33BA7FA2">
        <w:rPr>
          <w:lang w:eastAsia="zh-CN"/>
        </w:rPr>
        <w:t xml:space="preserve"> did not obtain a university/college degree</w:t>
      </w:r>
      <w:r>
        <w:rPr>
          <w:rStyle w:val="FootnoteReference"/>
          <w:lang w:eastAsia="zh-CN"/>
        </w:rPr>
        <w:footnoteReference w:id="5"/>
      </w:r>
      <w:r w:rsidR="004F64B4">
        <w:rPr>
          <w:lang w:eastAsia="zh-CN"/>
        </w:rPr>
        <w:t>—</w:t>
      </w:r>
      <w:r w:rsidRPr="33BA7FA2">
        <w:rPr>
          <w:lang w:eastAsia="zh-CN"/>
        </w:rPr>
        <w:t xml:space="preserve">should be considered as </w:t>
      </w:r>
      <w:r>
        <w:t>an</w:t>
      </w:r>
      <w:r w:rsidRPr="008079FF">
        <w:t>other</w:t>
      </w:r>
      <w:r>
        <w:t xml:space="preserve"> </w:t>
      </w:r>
      <w:r w:rsidRPr="008079FF">
        <w:t xml:space="preserve">important </w:t>
      </w:r>
      <w:r>
        <w:t xml:space="preserve">disadvantaging </w:t>
      </w:r>
      <w:r w:rsidRPr="008079FF">
        <w:t xml:space="preserve">factor </w:t>
      </w:r>
      <w:r w:rsidRPr="33BA7FA2">
        <w:rPr>
          <w:lang w:eastAsia="zh-CN"/>
        </w:rPr>
        <w:t xml:space="preserve">in the Australian equity framework. </w:t>
      </w:r>
      <w:r>
        <w:rPr>
          <w:lang w:eastAsia="zh-CN"/>
        </w:rPr>
        <w:t>People with FiF status</w:t>
      </w:r>
      <w:r w:rsidR="00DD015F">
        <w:rPr>
          <w:rStyle w:val="FootnoteReference"/>
          <w:lang w:eastAsia="zh-CN"/>
        </w:rPr>
        <w:footnoteReference w:id="6"/>
      </w:r>
      <w:r>
        <w:rPr>
          <w:lang w:eastAsia="zh-CN"/>
        </w:rPr>
        <w:t xml:space="preserve"> </w:t>
      </w:r>
      <w:r w:rsidRPr="33BA7FA2">
        <w:rPr>
          <w:lang w:eastAsia="zh-CN"/>
        </w:rPr>
        <w:t xml:space="preserve">have certain structural barriers </w:t>
      </w:r>
      <w:r w:rsidR="004F64B4">
        <w:rPr>
          <w:lang w:eastAsia="zh-CN"/>
        </w:rPr>
        <w:t>that</w:t>
      </w:r>
      <w:r w:rsidR="004F64B4" w:rsidRPr="33BA7FA2">
        <w:rPr>
          <w:lang w:eastAsia="zh-CN"/>
        </w:rPr>
        <w:t xml:space="preserve"> </w:t>
      </w:r>
      <w:r w:rsidRPr="33BA7FA2">
        <w:rPr>
          <w:lang w:eastAsia="zh-CN"/>
        </w:rPr>
        <w:t xml:space="preserve">impact their chances of success in their education. </w:t>
      </w:r>
      <w:r>
        <w:t>I</w:t>
      </w:r>
      <w:r w:rsidRPr="33BA7FA2">
        <w:rPr>
          <w:lang w:eastAsia="zh-CN"/>
        </w:rPr>
        <w:t xml:space="preserve">nternational and domestic research suggests university students </w:t>
      </w:r>
      <w:r>
        <w:rPr>
          <w:lang w:eastAsia="zh-CN"/>
        </w:rPr>
        <w:t>from this group are</w:t>
      </w:r>
      <w:r w:rsidRPr="33BA7FA2">
        <w:rPr>
          <w:lang w:eastAsia="zh-CN"/>
        </w:rPr>
        <w:t xml:space="preserve"> more likely to struggle in and drop out of higher education than their peers (see King et al., 2015; Luzeckyj et al., 2011; O'Shea, 2007; O'Shea et al., 2014; O’Shea, </w:t>
      </w:r>
      <w:r w:rsidRPr="00DD015F">
        <w:rPr>
          <w:lang w:eastAsia="zh-CN"/>
        </w:rPr>
        <w:t>2020; Patfield</w:t>
      </w:r>
      <w:r w:rsidR="00DD015F" w:rsidRPr="00A94465">
        <w:rPr>
          <w:lang w:eastAsia="zh-CN"/>
        </w:rPr>
        <w:t xml:space="preserve">, </w:t>
      </w:r>
      <w:r w:rsidR="00DD015F" w:rsidRPr="00DD015F">
        <w:rPr>
          <w:rFonts w:cs="Arial"/>
          <w:szCs w:val="22"/>
          <w:lang w:val="en-GB"/>
        </w:rPr>
        <w:t>Gore, &amp; Fray</w:t>
      </w:r>
      <w:r w:rsidRPr="00DD015F">
        <w:rPr>
          <w:lang w:eastAsia="zh-CN"/>
        </w:rPr>
        <w:t>, 2022; Spiegler &amp; Bednarek, 2013). Furt</w:t>
      </w:r>
      <w:r w:rsidRPr="33BA7FA2">
        <w:rPr>
          <w:lang w:eastAsia="zh-CN"/>
        </w:rPr>
        <w:t>hermore, both theoretical and empirical sociological literature suggests that parental education is a key factor contributing to differences in young people’s educational outcomes (</w:t>
      </w:r>
      <w:r w:rsidR="004F64B4">
        <w:rPr>
          <w:lang w:eastAsia="zh-CN"/>
        </w:rPr>
        <w:t>for example</w:t>
      </w:r>
      <w:r w:rsidRPr="33BA7FA2">
        <w:rPr>
          <w:lang w:eastAsia="zh-CN"/>
        </w:rPr>
        <w:t>, Blossfeld, 2019; Erikson, 2019; Jackson, 2013).</w:t>
      </w:r>
    </w:p>
    <w:p w14:paraId="55A70F5B" w14:textId="4A8CD1FE" w:rsidR="0073052C" w:rsidRDefault="007B2672" w:rsidP="0073052C">
      <w:pPr>
        <w:rPr>
          <w:lang w:eastAsia="zh-CN"/>
        </w:rPr>
      </w:pPr>
      <w:r>
        <w:rPr>
          <w:lang w:eastAsia="zh-CN"/>
        </w:rPr>
        <w:t>This</w:t>
      </w:r>
      <w:r w:rsidR="0073052C" w:rsidRPr="4318E8C3">
        <w:rPr>
          <w:lang w:eastAsia="zh-CN"/>
        </w:rPr>
        <w:t xml:space="preserve"> study use</w:t>
      </w:r>
      <w:r w:rsidR="00AB6047">
        <w:rPr>
          <w:lang w:eastAsia="zh-CN"/>
        </w:rPr>
        <w:t>d</w:t>
      </w:r>
      <w:r w:rsidR="0073052C" w:rsidRPr="4318E8C3">
        <w:rPr>
          <w:lang w:eastAsia="zh-CN"/>
        </w:rPr>
        <w:t xml:space="preserve"> unique whole-of-population data on two cohorts of young people from Person Level Integrated Data Asset (PLIDA) to </w:t>
      </w:r>
      <w:r w:rsidR="0073052C">
        <w:rPr>
          <w:lang w:eastAsia="zh-CN"/>
        </w:rPr>
        <w:t xml:space="preserve">address the gap in existing literature and </w:t>
      </w:r>
      <w:r w:rsidR="0073052C" w:rsidRPr="4318E8C3">
        <w:rPr>
          <w:lang w:eastAsia="zh-CN"/>
        </w:rPr>
        <w:t xml:space="preserve">provide robust evidence on the relationship between FiF status, equity group membership, and higher education. Specifically, </w:t>
      </w:r>
      <w:r w:rsidR="005C1769">
        <w:rPr>
          <w:lang w:eastAsia="zh-CN"/>
        </w:rPr>
        <w:t>information on social background from</w:t>
      </w:r>
      <w:r w:rsidR="0073052C" w:rsidRPr="4318E8C3">
        <w:rPr>
          <w:lang w:eastAsia="zh-CN"/>
        </w:rPr>
        <w:t xml:space="preserve"> the 2016 Census </w:t>
      </w:r>
      <w:r w:rsidR="005C1769">
        <w:rPr>
          <w:lang w:eastAsia="zh-CN"/>
        </w:rPr>
        <w:t>was</w:t>
      </w:r>
      <w:r w:rsidR="0073052C" w:rsidRPr="4318E8C3">
        <w:rPr>
          <w:lang w:eastAsia="zh-CN"/>
        </w:rPr>
        <w:t xml:space="preserve"> link</w:t>
      </w:r>
      <w:r w:rsidR="005C1769">
        <w:rPr>
          <w:lang w:eastAsia="zh-CN"/>
        </w:rPr>
        <w:t>ed</w:t>
      </w:r>
      <w:r w:rsidR="0073052C" w:rsidRPr="4318E8C3">
        <w:rPr>
          <w:lang w:eastAsia="zh-CN"/>
        </w:rPr>
        <w:t xml:space="preserve"> to Higher Education Information Management System (HEIMS) records to investigate differences in university enrolment patterns between FiF and non-FiF individuals. </w:t>
      </w:r>
      <w:r w:rsidR="00356AE2">
        <w:rPr>
          <w:lang w:eastAsia="zh-CN"/>
        </w:rPr>
        <w:t>This</w:t>
      </w:r>
      <w:r w:rsidR="0073052C" w:rsidRPr="4318E8C3">
        <w:rPr>
          <w:lang w:eastAsia="zh-CN"/>
        </w:rPr>
        <w:t xml:space="preserve"> </w:t>
      </w:r>
      <w:r w:rsidR="00DB020E">
        <w:rPr>
          <w:lang w:eastAsia="zh-CN"/>
        </w:rPr>
        <w:t xml:space="preserve">provided </w:t>
      </w:r>
      <w:r w:rsidR="0073052C" w:rsidRPr="4318E8C3">
        <w:rPr>
          <w:lang w:eastAsia="zh-CN"/>
        </w:rPr>
        <w:t>evidence</w:t>
      </w:r>
      <w:r w:rsidR="00920900">
        <w:rPr>
          <w:lang w:eastAsia="zh-CN"/>
        </w:rPr>
        <w:t xml:space="preserve"> </w:t>
      </w:r>
      <w:r w:rsidR="00DD0697">
        <w:rPr>
          <w:lang w:eastAsia="zh-CN"/>
        </w:rPr>
        <w:t>to better understand</w:t>
      </w:r>
      <w:r w:rsidR="0073052C" w:rsidRPr="4318E8C3">
        <w:rPr>
          <w:lang w:eastAsia="zh-CN"/>
        </w:rPr>
        <w:t xml:space="preserve"> the disadvantage of FiF youth in terms of access to higher education, independent of the disadvantage observed in the case of the recognised equity groups. </w:t>
      </w:r>
      <w:r w:rsidR="006535C6">
        <w:rPr>
          <w:lang w:eastAsia="zh-CN"/>
        </w:rPr>
        <w:t>It</w:t>
      </w:r>
      <w:r w:rsidR="0073052C" w:rsidRPr="4318E8C3">
        <w:rPr>
          <w:lang w:eastAsia="zh-CN"/>
        </w:rPr>
        <w:t xml:space="preserve"> also make</w:t>
      </w:r>
      <w:r w:rsidR="006535C6">
        <w:rPr>
          <w:lang w:eastAsia="zh-CN"/>
        </w:rPr>
        <w:t>s</w:t>
      </w:r>
      <w:r w:rsidR="0073052C" w:rsidRPr="4318E8C3">
        <w:rPr>
          <w:lang w:eastAsia="zh-CN"/>
        </w:rPr>
        <w:t xml:space="preserve"> a substantial contribution to the Australian literature on the matter, which has mostly relied on </w:t>
      </w:r>
      <w:r w:rsidR="00DD015F">
        <w:rPr>
          <w:lang w:eastAsia="zh-CN"/>
        </w:rPr>
        <w:t xml:space="preserve">relatively </w:t>
      </w:r>
      <w:r w:rsidR="0073052C" w:rsidRPr="4318E8C3">
        <w:rPr>
          <w:lang w:eastAsia="zh-CN"/>
        </w:rPr>
        <w:t xml:space="preserve">small-scale </w:t>
      </w:r>
      <w:r w:rsidR="006535C6">
        <w:rPr>
          <w:lang w:eastAsia="zh-CN"/>
        </w:rPr>
        <w:t>qual</w:t>
      </w:r>
      <w:r w:rsidR="00163960">
        <w:rPr>
          <w:lang w:eastAsia="zh-CN"/>
        </w:rPr>
        <w:t xml:space="preserve">itative </w:t>
      </w:r>
      <w:r w:rsidR="0073052C" w:rsidRPr="4318E8C3">
        <w:rPr>
          <w:lang w:eastAsia="zh-CN"/>
        </w:rPr>
        <w:t>studies, to document the disadvantage of FiF students.</w:t>
      </w:r>
    </w:p>
    <w:p w14:paraId="2A825012" w14:textId="4E1A6538" w:rsidR="0073052C" w:rsidRPr="002F3A26" w:rsidRDefault="0073052C" w:rsidP="00A94465">
      <w:r w:rsidRPr="33BA7FA2">
        <w:rPr>
          <w:lang w:eastAsia="zh-CN"/>
        </w:rPr>
        <w:t>The report is organi</w:t>
      </w:r>
      <w:r w:rsidR="00E735D5">
        <w:rPr>
          <w:lang w:eastAsia="zh-CN"/>
        </w:rPr>
        <w:t>s</w:t>
      </w:r>
      <w:r w:rsidRPr="33BA7FA2">
        <w:rPr>
          <w:lang w:eastAsia="zh-CN"/>
        </w:rPr>
        <w:t>ed into four main sections as follows:</w:t>
      </w:r>
      <w:r>
        <w:rPr>
          <w:lang w:eastAsia="zh-CN"/>
        </w:rPr>
        <w:t xml:space="preserve"> </w:t>
      </w:r>
      <w:r w:rsidRPr="33BA7FA2">
        <w:rPr>
          <w:lang w:eastAsia="zh-CN"/>
        </w:rPr>
        <w:t xml:space="preserve">Section 4 </w:t>
      </w:r>
      <w:r>
        <w:t xml:space="preserve">reviews key aspects of the literature on </w:t>
      </w:r>
      <w:r w:rsidR="00C46E23">
        <w:t>FiF</w:t>
      </w:r>
      <w:r>
        <w:t xml:space="preserve"> students as well as the broader sociological literature linking class and social background and educational outcomes; Section 5 discusses the methodology, including data, measures and analytical approach; Section 6 presents the findings drawing on the two whole-of-population data sources; Sections 7 and 8 contain </w:t>
      </w:r>
      <w:r w:rsidR="00662106">
        <w:t xml:space="preserve">the </w:t>
      </w:r>
      <w:r>
        <w:t xml:space="preserve">discussion and conclusion, respectively. </w:t>
      </w:r>
    </w:p>
    <w:p w14:paraId="6446982E" w14:textId="77777777" w:rsidR="0073052C" w:rsidRDefault="0073052C" w:rsidP="00942F29">
      <w:pPr>
        <w:pStyle w:val="Heading1"/>
      </w:pPr>
      <w:bookmarkStart w:id="7" w:name="_Toc202791785"/>
      <w:r w:rsidRPr="002F3A26">
        <w:lastRenderedPageBreak/>
        <w:t>Background</w:t>
      </w:r>
      <w:bookmarkEnd w:id="7"/>
    </w:p>
    <w:p w14:paraId="03490E28" w14:textId="77777777" w:rsidR="0073052C" w:rsidRPr="002F3A26" w:rsidRDefault="0073052C" w:rsidP="0099076D">
      <w:pPr>
        <w:pStyle w:val="Heading2"/>
        <w:rPr>
          <w:rFonts w:ascii="Segoe UI" w:hAnsi="Segoe UI"/>
          <w:sz w:val="18"/>
          <w:szCs w:val="18"/>
        </w:rPr>
      </w:pPr>
      <w:bookmarkStart w:id="8" w:name="_Toc202791786"/>
      <w:r>
        <w:t>Social background and educational outcomes</w:t>
      </w:r>
      <w:bookmarkEnd w:id="8"/>
    </w:p>
    <w:p w14:paraId="24B0C829" w14:textId="77777777" w:rsidR="0073052C" w:rsidRPr="00C42098" w:rsidRDefault="0073052C" w:rsidP="004F64B4">
      <w:pPr>
        <w:pStyle w:val="Heading3"/>
        <w:rPr>
          <w:rFonts w:ascii="Segoe UI" w:hAnsi="Segoe UI"/>
          <w:sz w:val="18"/>
          <w:szCs w:val="18"/>
        </w:rPr>
      </w:pPr>
      <w:bookmarkStart w:id="9" w:name="_Toc202791787"/>
      <w:r>
        <w:t>Theories of social class</w:t>
      </w:r>
      <w:bookmarkEnd w:id="9"/>
    </w:p>
    <w:p w14:paraId="2CFB8625" w14:textId="73D23E8C" w:rsidR="0073052C" w:rsidRPr="002F3A26" w:rsidRDefault="0073052C" w:rsidP="0073052C">
      <w:pPr>
        <w:rPr>
          <w:rFonts w:ascii="Segoe UI" w:hAnsi="Segoe UI"/>
          <w:sz w:val="18"/>
          <w:szCs w:val="18"/>
          <w:lang w:eastAsia="zh-CN"/>
        </w:rPr>
      </w:pPr>
      <w:r w:rsidRPr="002F3A26">
        <w:rPr>
          <w:lang w:eastAsia="zh-CN"/>
        </w:rPr>
        <w:t xml:space="preserve">The study of class differences and social mobility remain areas of </w:t>
      </w:r>
      <w:r>
        <w:rPr>
          <w:lang w:eastAsia="zh-CN"/>
        </w:rPr>
        <w:t>interest</w:t>
      </w:r>
      <w:r w:rsidRPr="002F3A26">
        <w:rPr>
          <w:lang w:eastAsia="zh-CN"/>
        </w:rPr>
        <w:t xml:space="preserve"> for researchers interested in widening participation</w:t>
      </w:r>
      <w:r>
        <w:rPr>
          <w:lang w:eastAsia="zh-CN"/>
        </w:rPr>
        <w:t>,</w:t>
      </w:r>
      <w:r w:rsidRPr="002F3A26">
        <w:rPr>
          <w:lang w:eastAsia="zh-CN"/>
        </w:rPr>
        <w:t xml:space="preserve"> and theories of social class are particularly relevant to </w:t>
      </w:r>
      <w:r>
        <w:rPr>
          <w:lang w:eastAsia="zh-CN"/>
        </w:rPr>
        <w:t>understanding</w:t>
      </w:r>
      <w:r w:rsidRPr="002F3A26">
        <w:rPr>
          <w:lang w:eastAsia="zh-CN"/>
        </w:rPr>
        <w:t xml:space="preserve"> the experience of </w:t>
      </w:r>
      <w:r>
        <w:rPr>
          <w:lang w:eastAsia="zh-CN"/>
        </w:rPr>
        <w:t>First-in-Family</w:t>
      </w:r>
      <w:r w:rsidRPr="002F3A26">
        <w:rPr>
          <w:lang w:eastAsia="zh-CN"/>
        </w:rPr>
        <w:t xml:space="preserve"> students</w:t>
      </w:r>
      <w:r>
        <w:rPr>
          <w:lang w:eastAsia="zh-CN"/>
        </w:rPr>
        <w:t xml:space="preserve"> as parental education is a key indicator of socio</w:t>
      </w:r>
      <w:r w:rsidR="004B4405">
        <w:rPr>
          <w:lang w:eastAsia="zh-CN"/>
        </w:rPr>
        <w:t>-</w:t>
      </w:r>
      <w:r>
        <w:rPr>
          <w:lang w:eastAsia="zh-CN"/>
        </w:rPr>
        <w:t>economic status</w:t>
      </w:r>
      <w:r w:rsidRPr="002F3A26">
        <w:rPr>
          <w:lang w:eastAsia="zh-CN"/>
        </w:rPr>
        <w:t>. Theories of social class and social mobility have evolved considerably since the structural approaches represented in the early seminal texts of Marx, Weber</w:t>
      </w:r>
      <w:r w:rsidR="004F64B4">
        <w:rPr>
          <w:lang w:eastAsia="zh-CN"/>
        </w:rPr>
        <w:t>,</w:t>
      </w:r>
      <w:r w:rsidRPr="002F3A26">
        <w:rPr>
          <w:lang w:eastAsia="zh-CN"/>
        </w:rPr>
        <w:t xml:space="preserve"> and Durkheim. Influenced by these scholars, the last half of the twentieth century was witness to a move towards quantitative and positivist methodologies to explore class. These approaches, which primarily concerned the development of class schemas, mainly defined class in terms of employment and financial resources (Goldthorpe, 1996). Within these studies, which were typically </w:t>
      </w:r>
      <w:r>
        <w:rPr>
          <w:lang w:eastAsia="zh-CN"/>
        </w:rPr>
        <w:t>large-scale</w:t>
      </w:r>
      <w:r w:rsidR="004F64B4">
        <w:rPr>
          <w:lang w:eastAsia="zh-CN"/>
        </w:rPr>
        <w:t>,</w:t>
      </w:r>
      <w:r w:rsidRPr="002F3A26">
        <w:rPr>
          <w:lang w:eastAsia="zh-CN"/>
        </w:rPr>
        <w:t xml:space="preserve"> education was often in the background</w:t>
      </w:r>
      <w:r w:rsidR="004F64B4">
        <w:rPr>
          <w:lang w:eastAsia="zh-CN"/>
        </w:rPr>
        <w:t xml:space="preserve">, and </w:t>
      </w:r>
      <w:r w:rsidRPr="002F3A26">
        <w:rPr>
          <w:lang w:eastAsia="zh-CN"/>
        </w:rPr>
        <w:t xml:space="preserve"> economics were often emphasi</w:t>
      </w:r>
      <w:r w:rsidR="004F64B4">
        <w:rPr>
          <w:lang w:eastAsia="zh-CN"/>
        </w:rPr>
        <w:t>s</w:t>
      </w:r>
      <w:r w:rsidRPr="002F3A26">
        <w:rPr>
          <w:lang w:eastAsia="zh-CN"/>
        </w:rPr>
        <w:t>ed and there was a greater interest in developing rational-choice models (Goldthorpe, 199</w:t>
      </w:r>
      <w:r w:rsidR="002D3D4C">
        <w:rPr>
          <w:lang w:eastAsia="zh-CN"/>
        </w:rPr>
        <w:t>6</w:t>
      </w:r>
      <w:r w:rsidRPr="002F3A26">
        <w:rPr>
          <w:lang w:eastAsia="zh-CN"/>
        </w:rPr>
        <w:t>) and studying intra-class differences (Bernstein, 1962).</w:t>
      </w:r>
    </w:p>
    <w:p w14:paraId="4855FB3A" w14:textId="2D728FAC" w:rsidR="0073052C" w:rsidRPr="002F3A26" w:rsidRDefault="0073052C" w:rsidP="0073052C">
      <w:pPr>
        <w:rPr>
          <w:rFonts w:ascii="Segoe UI" w:hAnsi="Segoe UI" w:cs="Segoe UI"/>
          <w:sz w:val="18"/>
          <w:szCs w:val="18"/>
          <w:lang w:eastAsia="zh-CN"/>
        </w:rPr>
      </w:pPr>
      <w:r w:rsidRPr="4318E8C3">
        <w:rPr>
          <w:lang w:eastAsia="zh-CN"/>
        </w:rPr>
        <w:t>Contemporary research on social class and mobility takes a much broader theoretical stance to incorporate the study of a wider range of practices. In taking such a stance, it begins to complicate how we understand social reproduction. Many of these approaches, which gained popularity over the late twentieth and early twenty-first centuries, were strongly influenced by Bourdieusian concepts, specifically the acquiring (and maintaining) of capitals, symbolic violence</w:t>
      </w:r>
      <w:r w:rsidR="004F64B4">
        <w:rPr>
          <w:lang w:eastAsia="zh-CN"/>
        </w:rPr>
        <w:t>,</w:t>
      </w:r>
      <w:r w:rsidRPr="4318E8C3">
        <w:rPr>
          <w:lang w:eastAsia="zh-CN"/>
        </w:rPr>
        <w:t xml:space="preserve"> and the internali</w:t>
      </w:r>
      <w:r w:rsidR="004F64B4">
        <w:rPr>
          <w:lang w:eastAsia="zh-CN"/>
        </w:rPr>
        <w:t>s</w:t>
      </w:r>
      <w:r w:rsidRPr="4318E8C3">
        <w:rPr>
          <w:lang w:eastAsia="zh-CN"/>
        </w:rPr>
        <w:t>ation of class</w:t>
      </w:r>
      <w:r>
        <w:rPr>
          <w:lang w:eastAsia="zh-CN"/>
        </w:rPr>
        <w:t xml:space="preserve"> (Reay, 2005; Loveday, 2016)</w:t>
      </w:r>
      <w:r w:rsidRPr="4318E8C3">
        <w:rPr>
          <w:lang w:eastAsia="zh-CN"/>
        </w:rPr>
        <w:t xml:space="preserve">. Bourdieu conceived of education as an institutional structure for social separation, an “ideological and cultural site of socialization that…was often more likely to reproduce, rather than challenge, social inequality in the state” (Dillabough, 2004, p 490). Rendered simply, Bourdieu argues that within educational contexts, the cultural capital of the middle and upper classes is rewarded, while the capitals of the lower classes are systematically devalued. Within the social sciences, the ongoing </w:t>
      </w:r>
      <w:r w:rsidR="004F64B4">
        <w:rPr>
          <w:lang w:eastAsia="zh-CN"/>
        </w:rPr>
        <w:t>“</w:t>
      </w:r>
      <w:r w:rsidRPr="4318E8C3">
        <w:rPr>
          <w:lang w:eastAsia="zh-CN"/>
        </w:rPr>
        <w:t>structure-agency</w:t>
      </w:r>
      <w:r w:rsidR="004F64B4">
        <w:rPr>
          <w:lang w:eastAsia="zh-CN"/>
        </w:rPr>
        <w:t>”</w:t>
      </w:r>
      <w:r w:rsidRPr="4318E8C3">
        <w:rPr>
          <w:lang w:eastAsia="zh-CN"/>
        </w:rPr>
        <w:t xml:space="preserve"> debate heavily influenced Bourdieu’s development of both his theory of practices and theoretical tools in his study of class-based power.</w:t>
      </w:r>
    </w:p>
    <w:p w14:paraId="2593CC58" w14:textId="4A921E7F" w:rsidR="0073052C" w:rsidRPr="002F3A26" w:rsidRDefault="0073052C" w:rsidP="0073052C">
      <w:pPr>
        <w:rPr>
          <w:rFonts w:ascii="Segoe UI" w:hAnsi="Segoe UI" w:cs="Segoe UI"/>
          <w:sz w:val="18"/>
          <w:szCs w:val="18"/>
          <w:lang w:eastAsia="zh-CN"/>
        </w:rPr>
      </w:pPr>
      <w:r w:rsidRPr="002F3A26">
        <w:rPr>
          <w:lang w:eastAsia="zh-CN"/>
        </w:rPr>
        <w:t>For many sociologists, Bourdieu’s theoretical contribution led to a deeper theori</w:t>
      </w:r>
      <w:r w:rsidR="001B2A2B">
        <w:rPr>
          <w:lang w:eastAsia="zh-CN"/>
        </w:rPr>
        <w:t>s</w:t>
      </w:r>
      <w:r w:rsidRPr="002F3A26">
        <w:rPr>
          <w:lang w:eastAsia="zh-CN"/>
        </w:rPr>
        <w:t>ing of class</w:t>
      </w:r>
      <w:r>
        <w:rPr>
          <w:lang w:eastAsia="zh-CN"/>
        </w:rPr>
        <w:t>,</w:t>
      </w:r>
      <w:r w:rsidRPr="002F3A26">
        <w:rPr>
          <w:lang w:eastAsia="zh-CN"/>
        </w:rPr>
        <w:t xml:space="preserve"> which emphasi</w:t>
      </w:r>
      <w:r w:rsidR="001B2A2B">
        <w:rPr>
          <w:lang w:eastAsia="zh-CN"/>
        </w:rPr>
        <w:t>s</w:t>
      </w:r>
      <w:r w:rsidRPr="002F3A26">
        <w:rPr>
          <w:lang w:eastAsia="zh-CN"/>
        </w:rPr>
        <w:t>ed the importance of emotions, stigma, history</w:t>
      </w:r>
      <w:r w:rsidR="001B2A2B">
        <w:rPr>
          <w:lang w:eastAsia="zh-CN"/>
        </w:rPr>
        <w:t>,</w:t>
      </w:r>
      <w:r w:rsidRPr="002F3A26">
        <w:rPr>
          <w:lang w:eastAsia="zh-CN"/>
        </w:rPr>
        <w:t xml:space="preserve"> and lived experience. Class is now theori</w:t>
      </w:r>
      <w:r w:rsidR="001B2A2B">
        <w:rPr>
          <w:lang w:eastAsia="zh-CN"/>
        </w:rPr>
        <w:t>s</w:t>
      </w:r>
      <w:r w:rsidRPr="002F3A26">
        <w:rPr>
          <w:lang w:eastAsia="zh-CN"/>
        </w:rPr>
        <w:t xml:space="preserve">ed as formed </w:t>
      </w:r>
      <w:r w:rsidRPr="002F3A26">
        <w:rPr>
          <w:i/>
          <w:iCs/>
          <w:lang w:eastAsia="zh-CN"/>
        </w:rPr>
        <w:t>in</w:t>
      </w:r>
      <w:r w:rsidRPr="002F3A26">
        <w:rPr>
          <w:lang w:eastAsia="zh-CN"/>
        </w:rPr>
        <w:t xml:space="preserve"> and </w:t>
      </w:r>
      <w:r w:rsidRPr="002F3A26">
        <w:rPr>
          <w:i/>
          <w:iCs/>
          <w:lang w:eastAsia="zh-CN"/>
        </w:rPr>
        <w:t>through</w:t>
      </w:r>
      <w:r w:rsidRPr="002F3A26">
        <w:rPr>
          <w:lang w:eastAsia="zh-CN"/>
        </w:rPr>
        <w:t xml:space="preserve"> identities, agentic practices as well as historic</w:t>
      </w:r>
      <w:r>
        <w:rPr>
          <w:lang w:eastAsia="zh-CN"/>
        </w:rPr>
        <w:t>al</w:t>
      </w:r>
      <w:r w:rsidRPr="002F3A26">
        <w:rPr>
          <w:lang w:eastAsia="zh-CN"/>
        </w:rPr>
        <w:t xml:space="preserve"> discourses rather than a simple reflection of present financial capital and occupations. In understanding the role social class plays in identity formation, a range of theorists have documented how family socialisation practices reproduce social class differences across generations (Lareau, 2003; Vincent et al., 2013). For example, in contrast to working-class parents, middle-class parents have been documented as describing their children as </w:t>
      </w:r>
      <w:r w:rsidR="001B2A2B">
        <w:rPr>
          <w:lang w:eastAsia="zh-CN"/>
        </w:rPr>
        <w:t>“</w:t>
      </w:r>
      <w:r w:rsidRPr="002F3A26">
        <w:rPr>
          <w:lang w:eastAsia="zh-CN"/>
        </w:rPr>
        <w:t>bright</w:t>
      </w:r>
      <w:r w:rsidR="001B2A2B">
        <w:rPr>
          <w:lang w:eastAsia="zh-CN"/>
        </w:rPr>
        <w:t>”</w:t>
      </w:r>
      <w:r w:rsidRPr="002F3A26">
        <w:rPr>
          <w:lang w:eastAsia="zh-CN"/>
        </w:rPr>
        <w:t xml:space="preserve">, fostering certain dispositions toward academic attainment (Reay et al. 2011) while putting </w:t>
      </w:r>
      <w:r w:rsidR="001B2A2B">
        <w:rPr>
          <w:lang w:eastAsia="zh-CN"/>
        </w:rPr>
        <w:t>“</w:t>
      </w:r>
      <w:r w:rsidRPr="002F3A26">
        <w:rPr>
          <w:lang w:eastAsia="zh-CN"/>
        </w:rPr>
        <w:t>a tremendous amount of effort into cultivating particular identities [and] stacking the deck in their child’s favor</w:t>
      </w:r>
      <w:r w:rsidR="001B2A2B">
        <w:rPr>
          <w:lang w:eastAsia="zh-CN"/>
        </w:rPr>
        <w:t>”</w:t>
      </w:r>
      <w:r w:rsidRPr="002F3A26">
        <w:rPr>
          <w:lang w:eastAsia="zh-CN"/>
        </w:rPr>
        <w:t xml:space="preserve"> (Weis &amp; Cipallone, 2013, p. 710). </w:t>
      </w:r>
    </w:p>
    <w:p w14:paraId="32131181" w14:textId="77777777" w:rsidR="0073052C" w:rsidRPr="002F3A26" w:rsidRDefault="0073052C" w:rsidP="004F64B4">
      <w:pPr>
        <w:pStyle w:val="Heading3"/>
        <w:rPr>
          <w:rFonts w:ascii="Segoe UI" w:hAnsi="Segoe UI"/>
          <w:sz w:val="18"/>
          <w:szCs w:val="18"/>
        </w:rPr>
      </w:pPr>
      <w:bookmarkStart w:id="10" w:name="_Toc202791788"/>
      <w:r>
        <w:lastRenderedPageBreak/>
        <w:t>Relevance of parental education</w:t>
      </w:r>
      <w:bookmarkEnd w:id="10"/>
    </w:p>
    <w:p w14:paraId="20934AEC" w14:textId="7E44D806" w:rsidR="0073052C" w:rsidRPr="004F1705" w:rsidRDefault="0073052C" w:rsidP="0073052C">
      <w:pPr>
        <w:rPr>
          <w:lang w:eastAsia="zh-CN"/>
        </w:rPr>
      </w:pPr>
      <w:r w:rsidRPr="002F3A26">
        <w:rPr>
          <w:lang w:eastAsia="zh-CN"/>
        </w:rPr>
        <w:t xml:space="preserve">There is a long history of research interest in the impact of young people’s social origin or </w:t>
      </w:r>
      <w:r w:rsidR="001B2A2B">
        <w:rPr>
          <w:lang w:eastAsia="zh-CN"/>
        </w:rPr>
        <w:t>SES</w:t>
      </w:r>
      <w:r w:rsidRPr="002F3A26">
        <w:rPr>
          <w:lang w:eastAsia="zh-CN"/>
        </w:rPr>
        <w:t xml:space="preserve"> of their family on their education outcomes in the sociology of education (see Boudon, 1974; Bourdieu, 1973; Erikson, 2019; Jackson, 2013). </w:t>
      </w:r>
      <w:r>
        <w:rPr>
          <w:lang w:eastAsia="zh-CN"/>
        </w:rPr>
        <w:t>Socio</w:t>
      </w:r>
      <w:r w:rsidR="004B4405">
        <w:rPr>
          <w:lang w:eastAsia="zh-CN"/>
        </w:rPr>
        <w:t>-</w:t>
      </w:r>
      <w:r>
        <w:rPr>
          <w:lang w:eastAsia="zh-CN"/>
        </w:rPr>
        <w:t>economic</w:t>
      </w:r>
      <w:r w:rsidRPr="002F3A26">
        <w:rPr>
          <w:lang w:eastAsia="zh-CN"/>
        </w:rPr>
        <w:t xml:space="preserve"> characteristics of families and the social and cultural resources available to them </w:t>
      </w:r>
      <w:r>
        <w:rPr>
          <w:lang w:eastAsia="zh-CN"/>
        </w:rPr>
        <w:t xml:space="preserve">have been shown to </w:t>
      </w:r>
      <w:r w:rsidRPr="002F3A26">
        <w:rPr>
          <w:lang w:eastAsia="zh-CN"/>
        </w:rPr>
        <w:t>profoundly influence individual dispositions (</w:t>
      </w:r>
      <w:r w:rsidR="001B2A2B">
        <w:rPr>
          <w:lang w:eastAsia="zh-CN"/>
        </w:rPr>
        <w:t>for example</w:t>
      </w:r>
      <w:r w:rsidRPr="002F3A26">
        <w:rPr>
          <w:lang w:eastAsia="zh-CN"/>
        </w:rPr>
        <w:t>, views, attitudes</w:t>
      </w:r>
      <w:r w:rsidR="001B2A2B">
        <w:rPr>
          <w:lang w:eastAsia="zh-CN"/>
        </w:rPr>
        <w:t>,</w:t>
      </w:r>
      <w:r w:rsidRPr="002F3A26">
        <w:rPr>
          <w:lang w:eastAsia="zh-CN"/>
        </w:rPr>
        <w:t xml:space="preserve"> and aspirations), capabilities (</w:t>
      </w:r>
      <w:r w:rsidR="001B2A2B">
        <w:rPr>
          <w:lang w:eastAsia="zh-CN"/>
        </w:rPr>
        <w:t>for example</w:t>
      </w:r>
      <w:r w:rsidRPr="002F3A26">
        <w:rPr>
          <w:lang w:eastAsia="zh-CN"/>
        </w:rPr>
        <w:t>, cognitive and non-cognitive skills etc.), and behaviours (</w:t>
      </w:r>
      <w:r w:rsidR="001B2A2B">
        <w:rPr>
          <w:lang w:eastAsia="zh-CN"/>
        </w:rPr>
        <w:t>for example,</w:t>
      </w:r>
      <w:r w:rsidRPr="002F3A26">
        <w:rPr>
          <w:lang w:eastAsia="zh-CN"/>
        </w:rPr>
        <w:t xml:space="preserve"> post-school pathway and course selections) (Boudon, 1974; Bourne et al., 2018; Czarnecki, 2018; Erikson, 2019; Jackson, 2013; Palmisano et al., 2022).</w:t>
      </w:r>
    </w:p>
    <w:p w14:paraId="4DADF708" w14:textId="6AB8DD9C" w:rsidR="0073052C" w:rsidRPr="002F3A26" w:rsidRDefault="0073052C" w:rsidP="0073052C">
      <w:pPr>
        <w:rPr>
          <w:rFonts w:ascii="Segoe UI" w:hAnsi="Segoe UI" w:cs="Segoe UI"/>
          <w:sz w:val="18"/>
          <w:szCs w:val="18"/>
          <w:lang w:eastAsia="zh-CN"/>
        </w:rPr>
      </w:pPr>
      <w:r w:rsidRPr="002F3A26">
        <w:rPr>
          <w:lang w:eastAsia="zh-CN"/>
        </w:rPr>
        <w:t xml:space="preserve">Despite the ongoing debate in the field, there is an emerging consensus on the multidimensional nature of social origin, which suggests that parental education, income, </w:t>
      </w:r>
      <w:r>
        <w:rPr>
          <w:lang w:eastAsia="zh-CN"/>
        </w:rPr>
        <w:t>as well as</w:t>
      </w:r>
      <w:r w:rsidRPr="002F3A26">
        <w:rPr>
          <w:lang w:eastAsia="zh-CN"/>
        </w:rPr>
        <w:t xml:space="preserve"> social status and class should be regarded as only one part of the equation. There are different indicators of socio</w:t>
      </w:r>
      <w:r w:rsidR="004B4405">
        <w:rPr>
          <w:lang w:eastAsia="zh-CN"/>
        </w:rPr>
        <w:t>-</w:t>
      </w:r>
      <w:r w:rsidRPr="002F3A26">
        <w:rPr>
          <w:lang w:eastAsia="zh-CN"/>
        </w:rPr>
        <w:t xml:space="preserve">economic status </w:t>
      </w:r>
      <w:r>
        <w:rPr>
          <w:lang w:eastAsia="zh-CN"/>
        </w:rPr>
        <w:t>that</w:t>
      </w:r>
      <w:r w:rsidRPr="002F3A26">
        <w:rPr>
          <w:lang w:eastAsia="zh-CN"/>
        </w:rPr>
        <w:t xml:space="preserve"> may affect </w:t>
      </w:r>
      <w:r w:rsidR="008E418F" w:rsidRPr="002F3A26">
        <w:rPr>
          <w:lang w:eastAsia="zh-CN"/>
        </w:rPr>
        <w:t>individuals’</w:t>
      </w:r>
      <w:r w:rsidRPr="002F3A26">
        <w:rPr>
          <w:lang w:eastAsia="zh-CN"/>
        </w:rPr>
        <w:t xml:space="preserve"> educational and socio</w:t>
      </w:r>
      <w:r w:rsidR="004B4405">
        <w:rPr>
          <w:lang w:eastAsia="zh-CN"/>
        </w:rPr>
        <w:t>-</w:t>
      </w:r>
      <w:r w:rsidRPr="002F3A26">
        <w:rPr>
          <w:lang w:eastAsia="zh-CN"/>
        </w:rPr>
        <w:t xml:space="preserve">economic </w:t>
      </w:r>
      <w:r>
        <w:rPr>
          <w:lang w:eastAsia="zh-CN"/>
        </w:rPr>
        <w:t>outcomes</w:t>
      </w:r>
      <w:r w:rsidRPr="002F3A26">
        <w:rPr>
          <w:lang w:eastAsia="zh-CN"/>
        </w:rPr>
        <w:t xml:space="preserve"> via different mechanisms (Blossfeld, 2019, 2020; Bukodi et al., 2018; Erikson, 2016).</w:t>
      </w:r>
    </w:p>
    <w:p w14:paraId="25EAC9B2" w14:textId="052ABC9D" w:rsidR="0073052C" w:rsidRDefault="0073052C" w:rsidP="0073052C">
      <w:pPr>
        <w:rPr>
          <w:lang w:eastAsia="zh-CN"/>
        </w:rPr>
      </w:pPr>
      <w:r w:rsidRPr="002F3A26">
        <w:rPr>
          <w:lang w:eastAsia="zh-CN"/>
        </w:rPr>
        <w:t>In considering social class</w:t>
      </w:r>
      <w:r>
        <w:rPr>
          <w:lang w:eastAsia="zh-CN"/>
        </w:rPr>
        <w:t xml:space="preserve"> and</w:t>
      </w:r>
      <w:r w:rsidRPr="002F3A26">
        <w:rPr>
          <w:lang w:eastAsia="zh-CN"/>
        </w:rPr>
        <w:t xml:space="preserve"> social mobility in reference to social change, Bukodi and Goldthorpe (2013) employed data from three cohorts born in the UK in 1946, 1958</w:t>
      </w:r>
      <w:r w:rsidR="001B2A2B">
        <w:rPr>
          <w:lang w:eastAsia="zh-CN"/>
        </w:rPr>
        <w:t>,</w:t>
      </w:r>
      <w:r w:rsidRPr="002F3A26">
        <w:rPr>
          <w:lang w:eastAsia="zh-CN"/>
        </w:rPr>
        <w:t xml:space="preserve"> and 1970 to explore the effects of </w:t>
      </w:r>
      <w:r w:rsidR="008E418F" w:rsidRPr="002F3A26">
        <w:rPr>
          <w:lang w:eastAsia="zh-CN"/>
        </w:rPr>
        <w:t>parents’</w:t>
      </w:r>
      <w:r w:rsidRPr="002F3A26">
        <w:rPr>
          <w:lang w:eastAsia="zh-CN"/>
        </w:rPr>
        <w:t xml:space="preserve"> class, education</w:t>
      </w:r>
      <w:r w:rsidR="001B2A2B">
        <w:rPr>
          <w:lang w:eastAsia="zh-CN"/>
        </w:rPr>
        <w:t>,</w:t>
      </w:r>
      <w:r w:rsidRPr="002F3A26">
        <w:rPr>
          <w:lang w:eastAsia="zh-CN"/>
        </w:rPr>
        <w:t xml:space="preserve"> and status on their offspring’s qualification attainment. They found that all three indicators have separate effects that are independent of each other. In a similar vein, Erikson (2016) in Sweden found that parental education, class, status, and income have independent effects on their children’s educational attainment. This is because parental education, occupation</w:t>
      </w:r>
      <w:r w:rsidR="001B2A2B">
        <w:rPr>
          <w:lang w:eastAsia="zh-CN"/>
        </w:rPr>
        <w:t>,</w:t>
      </w:r>
      <w:r w:rsidRPr="002F3A26">
        <w:rPr>
          <w:lang w:eastAsia="zh-CN"/>
        </w:rPr>
        <w:t xml:space="preserve"> or social status have captured different family resources/capital, which impact </w:t>
      </w:r>
      <w:r>
        <w:rPr>
          <w:lang w:eastAsia="zh-CN"/>
        </w:rPr>
        <w:t xml:space="preserve">an </w:t>
      </w:r>
      <w:r w:rsidRPr="002F3A26">
        <w:rPr>
          <w:lang w:eastAsia="zh-CN"/>
        </w:rPr>
        <w:t>individual’s education and labour market outcomes.</w:t>
      </w:r>
    </w:p>
    <w:p w14:paraId="3B4878B2" w14:textId="37A3BCBC" w:rsidR="0073052C" w:rsidRPr="00E664C4" w:rsidRDefault="0073052C" w:rsidP="0073052C">
      <w:pPr>
        <w:rPr>
          <w:rFonts w:ascii="Segoe UI" w:hAnsi="Segoe UI" w:cs="Segoe UI"/>
          <w:sz w:val="18"/>
          <w:szCs w:val="18"/>
          <w:lang w:eastAsia="zh-CN"/>
        </w:rPr>
      </w:pPr>
      <w:r>
        <w:rPr>
          <w:lang w:eastAsia="zh-CN"/>
        </w:rPr>
        <w:t>Furthermore</w:t>
      </w:r>
      <w:r w:rsidRPr="4318E8C3">
        <w:rPr>
          <w:lang w:eastAsia="zh-CN"/>
        </w:rPr>
        <w:t xml:space="preserve">, among the indicators of </w:t>
      </w:r>
      <w:r w:rsidRPr="002B5958">
        <w:rPr>
          <w:lang w:eastAsia="zh-CN"/>
        </w:rPr>
        <w:t>SES, parental</w:t>
      </w:r>
      <w:r w:rsidRPr="4318E8C3">
        <w:rPr>
          <w:lang w:eastAsia="zh-CN"/>
        </w:rPr>
        <w:t xml:space="preserve"> education can be considered the most important indicator, not only because it largely lays the foundation for the </w:t>
      </w:r>
      <w:r w:rsidR="008E418F" w:rsidRPr="4318E8C3">
        <w:rPr>
          <w:lang w:eastAsia="zh-CN"/>
        </w:rPr>
        <w:t>parents’</w:t>
      </w:r>
      <w:r w:rsidRPr="4318E8C3">
        <w:rPr>
          <w:lang w:eastAsia="zh-CN"/>
        </w:rPr>
        <w:t xml:space="preserve"> occupational prestige and is correlated with social class but also as it has been shown to have a greater association with offspring’s educational attainment than other indicators (</w:t>
      </w:r>
      <w:r w:rsidR="001B2A2B">
        <w:rPr>
          <w:lang w:eastAsia="zh-CN"/>
        </w:rPr>
        <w:t>for example</w:t>
      </w:r>
      <w:r w:rsidRPr="4318E8C3">
        <w:rPr>
          <w:lang w:eastAsia="zh-CN"/>
        </w:rPr>
        <w:t>, Blossfeld, 2019; Erikson, 2019; Erola et al., 2016). Students with highly educated parents can gain exposure to more stimulating cultural, intellectual</w:t>
      </w:r>
      <w:r w:rsidR="001B2A2B">
        <w:rPr>
          <w:lang w:eastAsia="zh-CN"/>
        </w:rPr>
        <w:t>,</w:t>
      </w:r>
      <w:r w:rsidRPr="4318E8C3">
        <w:rPr>
          <w:lang w:eastAsia="zh-CN"/>
        </w:rPr>
        <w:t xml:space="preserve"> and learning-focused environments at home, which can influence school performance as well as aspirations and decision-making (Bukodi &amp; Goldthorpe, 2013; Gunn, 2005). In particular, parental education has been shown to be a major factor that exerts considerable influence on offspring’s educational outcomes</w:t>
      </w:r>
      <w:r w:rsidRPr="004430FF">
        <w:rPr>
          <w:lang w:eastAsia="zh-CN"/>
        </w:rPr>
        <w:t xml:space="preserve">, including whether they enter higher education, the trajectories with higher education, studied subjects, etc. </w:t>
      </w:r>
      <w:r w:rsidRPr="4318E8C3">
        <w:rPr>
          <w:lang w:eastAsia="zh-CN"/>
        </w:rPr>
        <w:t>(Blossfeld, 2020; Buis, 2013; Chesters &amp; Watson, 2013; Erola et al., 2016; Zając &amp; Tomaszewski, 2023)</w:t>
      </w:r>
      <w:r>
        <w:rPr>
          <w:lang w:eastAsia="zh-CN"/>
        </w:rPr>
        <w:t xml:space="preserve">, which supports the claims around the relevance of FiF status for university attendance. </w:t>
      </w:r>
    </w:p>
    <w:p w14:paraId="664B25FE" w14:textId="35715E54" w:rsidR="0073052C" w:rsidRPr="002F3A26" w:rsidRDefault="0073052C" w:rsidP="004F64B4">
      <w:pPr>
        <w:pStyle w:val="Heading3"/>
        <w:rPr>
          <w:rFonts w:ascii="Segoe UI" w:hAnsi="Segoe UI" w:cs="Segoe UI"/>
          <w:sz w:val="18"/>
          <w:szCs w:val="18"/>
        </w:rPr>
      </w:pPr>
      <w:bookmarkStart w:id="11" w:name="_Toc202791789"/>
      <w:r w:rsidRPr="002F3A26">
        <w:t>The role of cultural capital</w:t>
      </w:r>
      <w:r w:rsidR="00213E65">
        <w:t xml:space="preserve"> </w:t>
      </w:r>
      <w:r>
        <w:t>and habitus</w:t>
      </w:r>
      <w:bookmarkEnd w:id="11"/>
      <w:r>
        <w:t xml:space="preserve"> </w:t>
      </w:r>
    </w:p>
    <w:p w14:paraId="6BFD7F9A" w14:textId="3AEB467E" w:rsidR="0073052C" w:rsidRPr="00CC7FCA" w:rsidRDefault="0073052C" w:rsidP="002F1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6"/>
        <w:rPr>
          <w:color w:val="000000"/>
          <w:szCs w:val="22"/>
          <w:lang w:val="en-GB"/>
        </w:rPr>
      </w:pPr>
      <w:r>
        <w:rPr>
          <w:lang w:eastAsia="zh-CN"/>
        </w:rPr>
        <w:t>T</w:t>
      </w:r>
      <w:r w:rsidRPr="00AC60F6">
        <w:rPr>
          <w:lang w:eastAsia="zh-CN"/>
        </w:rPr>
        <w:t xml:space="preserve">here is a rich sociological literature theorising the links between various forms of parental </w:t>
      </w:r>
      <w:r w:rsidR="001B2A2B">
        <w:rPr>
          <w:lang w:eastAsia="zh-CN"/>
        </w:rPr>
        <w:t>SES</w:t>
      </w:r>
      <w:r w:rsidRPr="00AC60F6">
        <w:rPr>
          <w:lang w:eastAsia="zh-CN"/>
        </w:rPr>
        <w:t xml:space="preserve"> and educational outcomes</w:t>
      </w:r>
      <w:r>
        <w:rPr>
          <w:lang w:eastAsia="zh-CN"/>
        </w:rPr>
        <w:t xml:space="preserve">. </w:t>
      </w:r>
      <w:r>
        <w:rPr>
          <w:color w:val="000000"/>
          <w:szCs w:val="22"/>
          <w:lang w:val="en-GB"/>
        </w:rPr>
        <w:t>T</w:t>
      </w:r>
      <w:r w:rsidRPr="00854E13">
        <w:rPr>
          <w:color w:val="000000"/>
          <w:szCs w:val="22"/>
          <w:lang w:val="en-GB"/>
        </w:rPr>
        <w:t xml:space="preserve">he rational action theory (Breen &amp; Goldthorpe, 1997; Breen et al., 2014; Goldthorpe, 2014) and effectively maintained inequality (Lucas, 2001) </w:t>
      </w:r>
      <w:r>
        <w:rPr>
          <w:color w:val="000000"/>
          <w:szCs w:val="22"/>
          <w:lang w:val="en-GB"/>
        </w:rPr>
        <w:t>are two examples.</w:t>
      </w:r>
      <w:r w:rsidRPr="00854E13">
        <w:rPr>
          <w:color w:val="000000"/>
          <w:szCs w:val="22"/>
          <w:lang w:val="en-GB"/>
        </w:rPr>
        <w:t xml:space="preserve"> Both theories are based on rational choice arguments </w:t>
      </w:r>
      <w:r>
        <w:rPr>
          <w:color w:val="000000"/>
          <w:szCs w:val="22"/>
          <w:lang w:val="en-GB"/>
        </w:rPr>
        <w:t>and</w:t>
      </w:r>
      <w:r w:rsidRPr="00854E13">
        <w:rPr>
          <w:color w:val="000000"/>
          <w:szCs w:val="22"/>
          <w:lang w:val="en-GB"/>
        </w:rPr>
        <w:t xml:space="preserve"> assume that socio-economic self-interests generate the motivation for parents to mobilise the resources they </w:t>
      </w:r>
      <w:r w:rsidRPr="00854E13">
        <w:rPr>
          <w:color w:val="000000"/>
          <w:szCs w:val="22"/>
          <w:lang w:val="en-GB"/>
        </w:rPr>
        <w:lastRenderedPageBreak/>
        <w:t>can command.</w:t>
      </w:r>
      <w:r>
        <w:rPr>
          <w:color w:val="000000"/>
          <w:szCs w:val="22"/>
          <w:lang w:val="en-GB"/>
        </w:rPr>
        <w:t xml:space="preserve"> </w:t>
      </w:r>
      <w:r w:rsidRPr="00854E13">
        <w:rPr>
          <w:color w:val="000000"/>
          <w:szCs w:val="22"/>
          <w:lang w:val="en-GB"/>
        </w:rPr>
        <w:t>The rational action theory with its models of status maintenance posits that families</w:t>
      </w:r>
      <w:r>
        <w:rPr>
          <w:color w:val="000000"/>
          <w:szCs w:val="22"/>
          <w:lang w:val="en-GB"/>
        </w:rPr>
        <w:t xml:space="preserve"> aim, </w:t>
      </w:r>
      <w:r w:rsidRPr="00854E13">
        <w:rPr>
          <w:color w:val="000000"/>
          <w:szCs w:val="22"/>
          <w:lang w:val="en-GB"/>
        </w:rPr>
        <w:t>at a minimum</w:t>
      </w:r>
      <w:r>
        <w:rPr>
          <w:color w:val="000000"/>
          <w:szCs w:val="22"/>
          <w:lang w:val="en-GB"/>
        </w:rPr>
        <w:t>,</w:t>
      </w:r>
      <w:r w:rsidRPr="00854E13">
        <w:rPr>
          <w:color w:val="000000"/>
          <w:szCs w:val="22"/>
          <w:lang w:val="en-GB"/>
        </w:rPr>
        <w:t xml:space="preserve"> </w:t>
      </w:r>
      <w:r>
        <w:rPr>
          <w:color w:val="000000"/>
          <w:szCs w:val="22"/>
          <w:lang w:val="en-GB"/>
        </w:rPr>
        <w:t xml:space="preserve">to </w:t>
      </w:r>
      <w:r w:rsidRPr="00854E13">
        <w:rPr>
          <w:color w:val="000000"/>
          <w:szCs w:val="22"/>
          <w:lang w:val="en-GB"/>
        </w:rPr>
        <w:t>maintain their status for their children</w:t>
      </w:r>
      <w:r>
        <w:rPr>
          <w:color w:val="000000"/>
          <w:szCs w:val="22"/>
          <w:lang w:val="en-GB"/>
        </w:rPr>
        <w:t xml:space="preserve"> </w:t>
      </w:r>
      <w:r w:rsidRPr="00854E13">
        <w:rPr>
          <w:color w:val="000000"/>
          <w:szCs w:val="22"/>
          <w:lang w:val="en-GB"/>
        </w:rPr>
        <w:t xml:space="preserve">when setting and pursuing </w:t>
      </w:r>
      <w:r>
        <w:rPr>
          <w:color w:val="000000"/>
          <w:szCs w:val="22"/>
          <w:lang w:val="en-GB"/>
        </w:rPr>
        <w:t xml:space="preserve">educational </w:t>
      </w:r>
      <w:r w:rsidRPr="00854E13">
        <w:rPr>
          <w:color w:val="000000"/>
          <w:szCs w:val="22"/>
          <w:lang w:val="en-GB"/>
        </w:rPr>
        <w:t>occupational goals for their children</w:t>
      </w:r>
      <w:r>
        <w:rPr>
          <w:color w:val="000000"/>
          <w:szCs w:val="22"/>
          <w:lang w:val="en-GB"/>
        </w:rPr>
        <w:t xml:space="preserve">. </w:t>
      </w:r>
      <w:r w:rsidRPr="00854E13">
        <w:rPr>
          <w:color w:val="000000"/>
          <w:szCs w:val="22"/>
          <w:lang w:val="en-GB"/>
        </w:rPr>
        <w:t xml:space="preserve">Therefore, </w:t>
      </w:r>
      <w:r>
        <w:rPr>
          <w:color w:val="000000"/>
          <w:szCs w:val="22"/>
          <w:lang w:val="en-GB"/>
        </w:rPr>
        <w:t xml:space="preserve">according to the theory, </w:t>
      </w:r>
      <w:r w:rsidRPr="00854E13">
        <w:rPr>
          <w:color w:val="000000"/>
          <w:szCs w:val="22"/>
          <w:lang w:val="en-GB"/>
        </w:rPr>
        <w:t xml:space="preserve">families are assumed to be motivated to aim for different occupational statuses, and high SES families, in particular, are motivated to deploy their resource advantage to ensure high SES outcomes for their children (Breen &amp; Goldthorpe, 1997). </w:t>
      </w:r>
      <w:r>
        <w:rPr>
          <w:color w:val="000000"/>
          <w:szCs w:val="22"/>
          <w:lang w:val="en-GB"/>
        </w:rPr>
        <w:t>In turn, e</w:t>
      </w:r>
      <w:r w:rsidRPr="00854E13">
        <w:rPr>
          <w:color w:val="000000"/>
          <w:szCs w:val="22"/>
          <w:lang w:val="en-GB"/>
        </w:rPr>
        <w:t>ffectively maintained inequality posits that the advantaged will always act to ensure advantages for themselves and their children (Lucas</w:t>
      </w:r>
      <w:r w:rsidR="008253BF">
        <w:rPr>
          <w:color w:val="000000"/>
          <w:szCs w:val="22"/>
          <w:lang w:val="en-GB"/>
        </w:rPr>
        <w:t>,</w:t>
      </w:r>
      <w:r w:rsidRPr="00854E13">
        <w:rPr>
          <w:color w:val="000000"/>
          <w:szCs w:val="22"/>
          <w:lang w:val="en-GB"/>
        </w:rPr>
        <w:t xml:space="preserve"> 20</w:t>
      </w:r>
      <w:r w:rsidR="008253BF">
        <w:rPr>
          <w:color w:val="000000"/>
          <w:szCs w:val="22"/>
          <w:lang w:val="en-GB"/>
        </w:rPr>
        <w:t>0</w:t>
      </w:r>
      <w:r w:rsidRPr="00854E13">
        <w:rPr>
          <w:color w:val="000000"/>
          <w:szCs w:val="22"/>
          <w:lang w:val="en-GB"/>
        </w:rPr>
        <w:t>1) and will mobilise their socio-economic status to achieve this advantage. Specifically, the theory predicts that, as university education becomes more common, high</w:t>
      </w:r>
      <w:r w:rsidR="001B2A2B">
        <w:rPr>
          <w:color w:val="000000"/>
          <w:szCs w:val="22"/>
          <w:lang w:val="en-GB"/>
        </w:rPr>
        <w:t xml:space="preserve"> </w:t>
      </w:r>
      <w:r w:rsidRPr="00854E13">
        <w:rPr>
          <w:color w:val="000000"/>
          <w:szCs w:val="22"/>
          <w:lang w:val="en-GB"/>
        </w:rPr>
        <w:t xml:space="preserve">SES parents will seek to differentiate their offspring from other university graduates through pursuing high-status options, including more enrolment in more prestigious </w:t>
      </w:r>
      <w:r>
        <w:rPr>
          <w:color w:val="000000"/>
          <w:szCs w:val="22"/>
          <w:lang w:val="en-GB"/>
        </w:rPr>
        <w:t>fields of study</w:t>
      </w:r>
      <w:r w:rsidRPr="00854E13">
        <w:rPr>
          <w:color w:val="000000"/>
          <w:szCs w:val="22"/>
          <w:lang w:val="en-GB"/>
        </w:rPr>
        <w:t xml:space="preserve"> (</w:t>
      </w:r>
      <w:r w:rsidR="001B2A2B">
        <w:rPr>
          <w:color w:val="000000"/>
          <w:szCs w:val="22"/>
          <w:lang w:val="en-GB"/>
        </w:rPr>
        <w:t>for example</w:t>
      </w:r>
      <w:r w:rsidRPr="00854E13">
        <w:rPr>
          <w:color w:val="000000"/>
          <w:szCs w:val="22"/>
          <w:lang w:val="en-GB"/>
        </w:rPr>
        <w:t>, medicine, law, engineering) and</w:t>
      </w:r>
      <w:r>
        <w:rPr>
          <w:color w:val="000000"/>
          <w:szCs w:val="22"/>
          <w:lang w:val="en-GB"/>
        </w:rPr>
        <w:t xml:space="preserve"> more selective</w:t>
      </w:r>
      <w:r w:rsidRPr="00854E13">
        <w:rPr>
          <w:color w:val="000000"/>
          <w:szCs w:val="22"/>
          <w:lang w:val="en-GB"/>
        </w:rPr>
        <w:t xml:space="preserve"> institutions (</w:t>
      </w:r>
      <w:r w:rsidR="001B2A2B">
        <w:rPr>
          <w:color w:val="000000"/>
          <w:szCs w:val="22"/>
          <w:lang w:val="en-GB"/>
        </w:rPr>
        <w:t>for example</w:t>
      </w:r>
      <w:r w:rsidRPr="00854E13">
        <w:rPr>
          <w:color w:val="000000"/>
          <w:szCs w:val="22"/>
          <w:lang w:val="en-GB"/>
        </w:rPr>
        <w:t xml:space="preserve">, Australian </w:t>
      </w:r>
      <w:r w:rsidR="001B2A2B">
        <w:rPr>
          <w:color w:val="000000"/>
          <w:szCs w:val="22"/>
          <w:lang w:val="en-GB"/>
        </w:rPr>
        <w:t>Group of Eight</w:t>
      </w:r>
      <w:r w:rsidR="001B2A2B" w:rsidRPr="00854E13">
        <w:rPr>
          <w:color w:val="000000"/>
          <w:szCs w:val="22"/>
          <w:lang w:val="en-GB"/>
        </w:rPr>
        <w:t xml:space="preserve"> </w:t>
      </w:r>
      <w:r w:rsidRPr="00854E13">
        <w:rPr>
          <w:color w:val="000000"/>
          <w:szCs w:val="22"/>
          <w:lang w:val="en-GB"/>
        </w:rPr>
        <w:t>institutions).</w:t>
      </w:r>
    </w:p>
    <w:p w14:paraId="77151A39" w14:textId="73B20765" w:rsidR="0073052C" w:rsidRPr="002F3A26" w:rsidRDefault="0073052C" w:rsidP="0073052C">
      <w:pPr>
        <w:rPr>
          <w:rFonts w:ascii="Segoe UI" w:hAnsi="Segoe UI" w:cs="Segoe UI"/>
          <w:sz w:val="18"/>
          <w:szCs w:val="18"/>
          <w:lang w:eastAsia="zh-CN"/>
        </w:rPr>
      </w:pPr>
      <w:r>
        <w:rPr>
          <w:lang w:eastAsia="zh-CN"/>
        </w:rPr>
        <w:t xml:space="preserve">However, these theories do not consider parental education separately from other aspects of SES. In turn, </w:t>
      </w:r>
      <w:r w:rsidRPr="00AC60F6">
        <w:rPr>
          <w:lang w:eastAsia="zh-CN"/>
        </w:rPr>
        <w:t xml:space="preserve">the work of Bourdieu offers particularly useful insights on the mechanisms through which parental education, and consequently FiF status, impacts educational pathways. </w:t>
      </w:r>
      <w:r w:rsidRPr="002F3A26">
        <w:rPr>
          <w:lang w:eastAsia="zh-CN"/>
        </w:rPr>
        <w:t>Bourdieu's concept of cultural capital has been extensively explored as a pivotal idea in understanding the reproduction of social inequalities through education (Barsegyan &amp; Maas, 2024; Davies &amp; Rizk, 2018; Dumais, 2002; Gunn, 2005; Jæger &amp; Holm, 2007; Noble &amp; Davies, 2009; O’Shea, 2016; Tramonte &amp; Willms, 2010). Bourdieu (1984) defined cultural capital as the non-financial social assets that promote social mobility. These assets include education, intellect, style of speech, dress, and even physical appearance. Bourdieu identified three forms of cultural capital: embodied, objectified, and institutionali</w:t>
      </w:r>
      <w:r w:rsidR="001B2A2B">
        <w:rPr>
          <w:lang w:eastAsia="zh-CN"/>
        </w:rPr>
        <w:t>s</w:t>
      </w:r>
      <w:r w:rsidRPr="002F3A26">
        <w:rPr>
          <w:lang w:eastAsia="zh-CN"/>
        </w:rPr>
        <w:t>ed. Embodied cultural capital refers to the knowledge, skills, and dispositions that individuals acquire over time, often unconsciously, through their upbringing and sociali</w:t>
      </w:r>
      <w:r w:rsidR="001B2A2B">
        <w:rPr>
          <w:lang w:eastAsia="zh-CN"/>
        </w:rPr>
        <w:t>s</w:t>
      </w:r>
      <w:r w:rsidRPr="002F3A26">
        <w:rPr>
          <w:lang w:eastAsia="zh-CN"/>
        </w:rPr>
        <w:t>ation. Objectified cultural capital encompasses physical objects and media, such as books, artworks, and instruments, which can transmit cultural knowledge and skills. Institutionali</w:t>
      </w:r>
      <w:r w:rsidR="001B2A2B">
        <w:rPr>
          <w:lang w:eastAsia="zh-CN"/>
        </w:rPr>
        <w:t>s</w:t>
      </w:r>
      <w:r w:rsidRPr="002F3A26">
        <w:rPr>
          <w:lang w:eastAsia="zh-CN"/>
        </w:rPr>
        <w:t>ed cultural capital is formal recognition, most notably through educational qualifications and credentials, which validate and legitimi</w:t>
      </w:r>
      <w:r w:rsidR="001B2A2B">
        <w:rPr>
          <w:lang w:eastAsia="zh-CN"/>
        </w:rPr>
        <w:t>s</w:t>
      </w:r>
      <w:r w:rsidRPr="002F3A26">
        <w:rPr>
          <w:lang w:eastAsia="zh-CN"/>
        </w:rPr>
        <w:t>e an individual's cultural competence. All of these contribute to how class status is maintained.</w:t>
      </w:r>
    </w:p>
    <w:p w14:paraId="7F9BF078" w14:textId="77777777" w:rsidR="0073052C" w:rsidRPr="002F3A26" w:rsidRDefault="0073052C" w:rsidP="0073052C">
      <w:pPr>
        <w:rPr>
          <w:rFonts w:ascii="Segoe UI" w:hAnsi="Segoe UI" w:cs="Segoe UI"/>
          <w:sz w:val="18"/>
          <w:szCs w:val="18"/>
          <w:lang w:eastAsia="zh-CN"/>
        </w:rPr>
      </w:pPr>
      <w:r w:rsidRPr="4318E8C3">
        <w:rPr>
          <w:lang w:eastAsia="zh-CN"/>
        </w:rPr>
        <w:t>Bourdieu (1984) posited that cultural capital is rarified and unequally distributed among social classes and that this disparity plays a significant role in maintaining social stratification. The dominant classes invest heavily in passing on substantial amounts of cultural capital to their offspring, thereby giving them a distinct advantage in educational settings and, ultimately, in their professional lives. In contrast, those from less privileged backgrounds often lack the same level of cultural capital, making it more challenging for them to succeed within the educational system and achieve upward social mobility. This concept is crucial for understanding how education can both perpetuate and challenge social inequalities.</w:t>
      </w:r>
    </w:p>
    <w:p w14:paraId="1C651DDD" w14:textId="6CCFD601" w:rsidR="0073052C" w:rsidRPr="00AC60F6" w:rsidRDefault="0073052C" w:rsidP="0073052C">
      <w:pPr>
        <w:rPr>
          <w:rFonts w:ascii="Segoe UI" w:hAnsi="Segoe UI" w:cs="Segoe UI"/>
          <w:sz w:val="18"/>
          <w:szCs w:val="18"/>
          <w:lang w:eastAsia="zh-CN"/>
        </w:rPr>
      </w:pPr>
      <w:r w:rsidRPr="002F3A26">
        <w:rPr>
          <w:lang w:eastAsia="zh-CN"/>
        </w:rPr>
        <w:t>Another key concept in this area is Bourdieu’s notion of habitus, which refers to the dispositions, beliefs, and behaviours an individual acquires through subjective perceptions of structural constraints in their environment (Appadurai, 2004; Bourdieu, 1973; Walpole, 2003). Walpole (2003) further defines habitus as a person's network of perceptions regarding opportunities, which develops as individuals internali</w:t>
      </w:r>
      <w:r w:rsidR="001B2A2B">
        <w:rPr>
          <w:lang w:eastAsia="zh-CN"/>
        </w:rPr>
        <w:t>s</w:t>
      </w:r>
      <w:r w:rsidRPr="002F3A26">
        <w:rPr>
          <w:lang w:eastAsia="zh-CN"/>
        </w:rPr>
        <w:t xml:space="preserve">e aspects of the social structure and their class position, forming beliefs about what is possible in their lives (Dumais, 2002). These beliefs include aspirations and expectations aligned with their habitus </w:t>
      </w:r>
      <w:r w:rsidRPr="002F3A26">
        <w:rPr>
          <w:lang w:eastAsia="zh-CN"/>
        </w:rPr>
        <w:lastRenderedPageBreak/>
        <w:t xml:space="preserve">(Dumais, 2002). Research shows that </w:t>
      </w:r>
      <w:r w:rsidR="008E418F" w:rsidRPr="002F3A26">
        <w:rPr>
          <w:lang w:eastAsia="zh-CN"/>
        </w:rPr>
        <w:t>students’</w:t>
      </w:r>
      <w:r w:rsidRPr="002F3A26">
        <w:rPr>
          <w:lang w:eastAsia="zh-CN"/>
        </w:rPr>
        <w:t xml:space="preserve"> educational decisions are made within the context of their habitus (Walpole, 2003). For example, in the area of FiF research, Reay et al. (2005) note that choices among working-class participants are influenced by their perceptions of "fit" with the institution. Similarly, Evans (2009) highlights the phenomenon of "self-limitation" (p. 348) in the context of working-class </w:t>
      </w:r>
      <w:r w:rsidR="008E418F" w:rsidRPr="002F3A26">
        <w:rPr>
          <w:lang w:eastAsia="zh-CN"/>
        </w:rPr>
        <w:t>girls’</w:t>
      </w:r>
      <w:r w:rsidRPr="002F3A26">
        <w:rPr>
          <w:lang w:eastAsia="zh-CN"/>
        </w:rPr>
        <w:t xml:space="preserve"> decisions regarding higher education. For FiF students, this tendency toward self-restriction often leads them to "study less prestigious subjects at less prestigious universities" (Spiegler &amp; Bednarek, 2013, p. 324).</w:t>
      </w:r>
      <w:r w:rsidR="00DD015F">
        <w:rPr>
          <w:lang w:eastAsia="zh-CN"/>
        </w:rPr>
        <w:t xml:space="preserve"> In contrast, in their study of school students in N</w:t>
      </w:r>
      <w:r w:rsidR="001B2A2B">
        <w:rPr>
          <w:lang w:eastAsia="zh-CN"/>
        </w:rPr>
        <w:t xml:space="preserve">ew </w:t>
      </w:r>
      <w:r w:rsidR="00DD015F">
        <w:rPr>
          <w:lang w:eastAsia="zh-CN"/>
        </w:rPr>
        <w:t>S</w:t>
      </w:r>
      <w:r w:rsidR="001B2A2B">
        <w:rPr>
          <w:lang w:eastAsia="zh-CN"/>
        </w:rPr>
        <w:t xml:space="preserve">outh </w:t>
      </w:r>
      <w:r w:rsidR="00DD015F">
        <w:rPr>
          <w:lang w:eastAsia="zh-CN"/>
        </w:rPr>
        <w:t>W</w:t>
      </w:r>
      <w:r w:rsidR="001B2A2B">
        <w:rPr>
          <w:lang w:eastAsia="zh-CN"/>
        </w:rPr>
        <w:t>ales</w:t>
      </w:r>
      <w:r w:rsidR="003A1743">
        <w:rPr>
          <w:lang w:eastAsia="zh-CN"/>
        </w:rPr>
        <w:t xml:space="preserve"> (NSW)</w:t>
      </w:r>
      <w:r w:rsidR="00DD015F">
        <w:rPr>
          <w:lang w:eastAsia="zh-CN"/>
        </w:rPr>
        <w:t xml:space="preserve">, Patfield et al. (2021) used the lens of familial habitus to describe the ways in which family context can nurture aspirations for higher education among prospective FiF students. They discussed </w:t>
      </w:r>
      <w:r w:rsidR="00DD015F" w:rsidRPr="00A94465">
        <w:rPr>
          <w:lang w:eastAsia="zh-CN"/>
        </w:rPr>
        <w:t xml:space="preserve">projected familial habitus in which </w:t>
      </w:r>
      <w:r w:rsidR="00DD015F">
        <w:rPr>
          <w:lang w:eastAsia="zh-CN"/>
        </w:rPr>
        <w:t>higher education is associated with the opportunity to build a di</w:t>
      </w:r>
      <w:r w:rsidR="00DD015F" w:rsidRPr="00A94465">
        <w:rPr>
          <w:rFonts w:ascii="Cambria Math" w:hAnsi="Cambria Math" w:cs="Cambria Math"/>
          <w:lang w:eastAsia="zh-CN"/>
        </w:rPr>
        <w:t>ﬀ</w:t>
      </w:r>
      <w:r w:rsidR="00DD015F">
        <w:rPr>
          <w:lang w:eastAsia="zh-CN"/>
        </w:rPr>
        <w:t>erent, better life, meritocratic habitus, in which higher education is presented as a reward for hard work at school, and s</w:t>
      </w:r>
      <w:r w:rsidR="00DD015F" w:rsidRPr="00A94465">
        <w:rPr>
          <w:lang w:eastAsia="zh-CN"/>
        </w:rPr>
        <w:t>upportive habitus, which is about supporting children in their aspirations and decision</w:t>
      </w:r>
      <w:r w:rsidR="001B2A2B">
        <w:rPr>
          <w:lang w:eastAsia="zh-CN"/>
        </w:rPr>
        <w:t>-</w:t>
      </w:r>
      <w:r w:rsidR="00DD015F" w:rsidRPr="00A94465">
        <w:rPr>
          <w:lang w:eastAsia="zh-CN"/>
        </w:rPr>
        <w:t>making as well as overcoming barriers</w:t>
      </w:r>
      <w:r w:rsidR="00DD015F">
        <w:rPr>
          <w:sz w:val="25"/>
          <w:szCs w:val="25"/>
          <w:shd w:val="clear" w:color="auto" w:fill="FFFFFF"/>
        </w:rPr>
        <w:t xml:space="preserve">. </w:t>
      </w:r>
    </w:p>
    <w:p w14:paraId="6E375AE9" w14:textId="525B66B0" w:rsidR="0073052C" w:rsidRPr="00AC60F6" w:rsidRDefault="0073052C" w:rsidP="0099076D">
      <w:pPr>
        <w:pStyle w:val="Heading2"/>
        <w:rPr>
          <w:rFonts w:ascii="Segoe UI" w:hAnsi="Segoe UI"/>
          <w:sz w:val="18"/>
          <w:szCs w:val="18"/>
        </w:rPr>
      </w:pPr>
      <w:bookmarkStart w:id="12" w:name="_Ref191100300"/>
      <w:bookmarkStart w:id="13" w:name="_Toc202791790"/>
      <w:r>
        <w:t xml:space="preserve">First-in-Family </w:t>
      </w:r>
      <w:r w:rsidR="001B2A2B">
        <w:t>s</w:t>
      </w:r>
      <w:r>
        <w:t>tudents in Australia</w:t>
      </w:r>
      <w:bookmarkEnd w:id="12"/>
      <w:bookmarkEnd w:id="13"/>
    </w:p>
    <w:p w14:paraId="5CA77C40" w14:textId="5C0CDD6C" w:rsidR="0073052C" w:rsidRPr="00BB4D4A" w:rsidRDefault="0073052C" w:rsidP="0073052C">
      <w:pPr>
        <w:rPr>
          <w:lang w:eastAsia="zh-CN"/>
        </w:rPr>
      </w:pPr>
      <w:r>
        <w:rPr>
          <w:lang w:eastAsia="zh-CN"/>
        </w:rPr>
        <w:t>T</w:t>
      </w:r>
      <w:r w:rsidRPr="002F3A26">
        <w:rPr>
          <w:lang w:eastAsia="zh-CN"/>
        </w:rPr>
        <w:t xml:space="preserve">he massification of </w:t>
      </w:r>
      <w:r>
        <w:rPr>
          <w:lang w:eastAsia="zh-CN"/>
        </w:rPr>
        <w:t xml:space="preserve">the </w:t>
      </w:r>
      <w:r w:rsidRPr="002F3A26">
        <w:rPr>
          <w:lang w:eastAsia="zh-CN"/>
        </w:rPr>
        <w:t>higher education sector</w:t>
      </w:r>
      <w:r>
        <w:rPr>
          <w:lang w:eastAsia="zh-CN"/>
        </w:rPr>
        <w:t xml:space="preserve"> resulted in</w:t>
      </w:r>
      <w:r w:rsidRPr="002F3A26">
        <w:rPr>
          <w:lang w:eastAsia="zh-CN"/>
        </w:rPr>
        <w:t xml:space="preserve"> a growing number of </w:t>
      </w:r>
      <w:r w:rsidR="001B2A2B">
        <w:rPr>
          <w:lang w:eastAsia="zh-CN"/>
        </w:rPr>
        <w:t>“</w:t>
      </w:r>
      <w:r w:rsidRPr="002F3A26">
        <w:rPr>
          <w:lang w:eastAsia="zh-CN"/>
        </w:rPr>
        <w:t>non-traditional</w:t>
      </w:r>
      <w:r w:rsidR="001B2A2B">
        <w:rPr>
          <w:lang w:eastAsia="zh-CN"/>
        </w:rPr>
        <w:t>”</w:t>
      </w:r>
      <w:r w:rsidRPr="002F3A26">
        <w:rPr>
          <w:lang w:eastAsia="zh-CN"/>
        </w:rPr>
        <w:t xml:space="preserve"> students entering universities (Bowl, 2001). The term </w:t>
      </w:r>
      <w:r w:rsidR="001B2A2B">
        <w:rPr>
          <w:lang w:eastAsia="zh-CN"/>
        </w:rPr>
        <w:t>“</w:t>
      </w:r>
      <w:r w:rsidRPr="002F3A26">
        <w:rPr>
          <w:lang w:eastAsia="zh-CN"/>
        </w:rPr>
        <w:t>non-traditional students</w:t>
      </w:r>
      <w:r w:rsidR="001B2A2B">
        <w:rPr>
          <w:lang w:eastAsia="zh-CN"/>
        </w:rPr>
        <w:t>”</w:t>
      </w:r>
      <w:r w:rsidRPr="002F3A26">
        <w:rPr>
          <w:lang w:eastAsia="zh-CN"/>
        </w:rPr>
        <w:t xml:space="preserve"> serves as an umbrella category that includes a wide range of individuals </w:t>
      </w:r>
      <w:r>
        <w:rPr>
          <w:lang w:eastAsia="zh-CN"/>
        </w:rPr>
        <w:t xml:space="preserve">coming from underrepresented groups </w:t>
      </w:r>
      <w:r w:rsidRPr="002F3A26">
        <w:rPr>
          <w:lang w:eastAsia="zh-CN"/>
        </w:rPr>
        <w:t xml:space="preserve">who do not fit the traditional student </w:t>
      </w:r>
      <w:r>
        <w:rPr>
          <w:lang w:eastAsia="zh-CN"/>
        </w:rPr>
        <w:t>profile</w:t>
      </w:r>
      <w:r w:rsidRPr="002F3A26">
        <w:rPr>
          <w:lang w:eastAsia="zh-CN"/>
        </w:rPr>
        <w:t>. Students from non-traditional backgrounds often “face unique, class-specific challenges, evident in higher levels of uncertainty” regarding their higher education choices</w:t>
      </w:r>
      <w:r>
        <w:rPr>
          <w:lang w:eastAsia="zh-CN"/>
        </w:rPr>
        <w:t>,</w:t>
      </w:r>
      <w:r w:rsidRPr="002F3A26">
        <w:rPr>
          <w:lang w:eastAsia="zh-CN"/>
        </w:rPr>
        <w:t xml:space="preserve"> which can have implications for retention (Lehmann, 2009, p. 139).</w:t>
      </w:r>
      <w:r>
        <w:rPr>
          <w:rFonts w:ascii="Segoe UI" w:hAnsi="Segoe UI" w:cs="Segoe UI"/>
          <w:sz w:val="18"/>
          <w:szCs w:val="18"/>
          <w:lang w:eastAsia="zh-CN"/>
        </w:rPr>
        <w:t xml:space="preserve"> </w:t>
      </w:r>
      <w:r>
        <w:t xml:space="preserve">Their underrepresentation in higher education and </w:t>
      </w:r>
      <w:r w:rsidRPr="00F92288">
        <w:t>increased likelihood of facing challenges in university lif</w:t>
      </w:r>
      <w:r>
        <w:t>e</w:t>
      </w:r>
      <w:r w:rsidRPr="00F92288">
        <w:t xml:space="preserve"> compared to their </w:t>
      </w:r>
      <w:r w:rsidR="001B2A2B">
        <w:t>“</w:t>
      </w:r>
      <w:r w:rsidRPr="00F92288">
        <w:t>traditional</w:t>
      </w:r>
      <w:r w:rsidR="001B2A2B">
        <w:t>”</w:t>
      </w:r>
      <w:r w:rsidRPr="00F92288">
        <w:t xml:space="preserve"> peers</w:t>
      </w:r>
      <w:r w:rsidRPr="4318E8C3">
        <w:rPr>
          <w:lang w:eastAsia="zh-CN"/>
        </w:rPr>
        <w:t xml:space="preserve"> </w:t>
      </w:r>
      <w:r w:rsidRPr="00F92288">
        <w:t>attracted research and policy interest</w:t>
      </w:r>
      <w:r>
        <w:rPr>
          <w:lang w:eastAsia="zh-CN"/>
        </w:rPr>
        <w:t xml:space="preserve"> </w:t>
      </w:r>
      <w:r w:rsidRPr="4318E8C3">
        <w:rPr>
          <w:lang w:eastAsia="zh-CN"/>
        </w:rPr>
        <w:t>(</w:t>
      </w:r>
      <w:r w:rsidRPr="003A27C0">
        <w:rPr>
          <w:rFonts w:cs="Arial"/>
          <w:szCs w:val="22"/>
          <w:lang w:val="en-GB"/>
        </w:rPr>
        <w:t>Gale</w:t>
      </w:r>
      <w:r>
        <w:rPr>
          <w:rFonts w:cs="Arial"/>
          <w:szCs w:val="22"/>
          <w:lang w:val="en-GB"/>
        </w:rPr>
        <w:t xml:space="preserve"> </w:t>
      </w:r>
      <w:r w:rsidRPr="003A27C0">
        <w:rPr>
          <w:rFonts w:cs="Arial"/>
          <w:szCs w:val="22"/>
          <w:lang w:val="en-GB"/>
        </w:rPr>
        <w:t>&amp; Tranter</w:t>
      </w:r>
      <w:r>
        <w:rPr>
          <w:rFonts w:cs="Arial"/>
          <w:szCs w:val="22"/>
          <w:lang w:val="en-GB"/>
        </w:rPr>
        <w:t xml:space="preserve">, </w:t>
      </w:r>
      <w:r w:rsidRPr="003A27C0">
        <w:rPr>
          <w:rFonts w:cs="Arial"/>
          <w:szCs w:val="22"/>
          <w:lang w:val="en-GB"/>
        </w:rPr>
        <w:t>2011</w:t>
      </w:r>
      <w:r>
        <w:rPr>
          <w:rFonts w:cs="Arial"/>
          <w:szCs w:val="22"/>
          <w:lang w:val="en-GB"/>
        </w:rPr>
        <w:t xml:space="preserve">; </w:t>
      </w:r>
      <w:r w:rsidRPr="4318E8C3">
        <w:rPr>
          <w:lang w:eastAsia="zh-CN"/>
        </w:rPr>
        <w:t xml:space="preserve">Reay et al., 2009).  </w:t>
      </w:r>
      <w:r w:rsidRPr="00002777">
        <w:rPr>
          <w:lang w:eastAsia="zh-CN"/>
        </w:rPr>
        <w:t xml:space="preserve">Among these </w:t>
      </w:r>
      <w:r w:rsidR="001B2A2B">
        <w:rPr>
          <w:lang w:eastAsia="zh-CN"/>
        </w:rPr>
        <w:t>“</w:t>
      </w:r>
      <w:r w:rsidRPr="00002777">
        <w:rPr>
          <w:lang w:eastAsia="zh-CN"/>
        </w:rPr>
        <w:t>non-traditional</w:t>
      </w:r>
      <w:r w:rsidR="001B2A2B">
        <w:rPr>
          <w:lang w:eastAsia="zh-CN"/>
        </w:rPr>
        <w:t>”</w:t>
      </w:r>
      <w:r w:rsidRPr="00002777">
        <w:rPr>
          <w:lang w:eastAsia="zh-CN"/>
        </w:rPr>
        <w:t xml:space="preserve"> students, FiF students have been a major focus of research in higher education equity (for reviews, see King et al., 2015; Spiegler &amp; Bednarek, 2013)</w:t>
      </w:r>
      <w:r>
        <w:rPr>
          <w:lang w:eastAsia="zh-CN"/>
        </w:rPr>
        <w:t>.</w:t>
      </w:r>
    </w:p>
    <w:p w14:paraId="20569AC3" w14:textId="701707D3" w:rsidR="0073052C" w:rsidRDefault="0073052C" w:rsidP="0073052C">
      <w:pPr>
        <w:rPr>
          <w:lang w:eastAsia="zh-CN"/>
        </w:rPr>
      </w:pPr>
      <w:r w:rsidRPr="00FF6945">
        <w:t>While international research is robust, empirical evidence from Australia is still somewhat limited and based largely on small-scale studies.</w:t>
      </w:r>
      <w:r w:rsidR="00DD015F">
        <w:t xml:space="preserve"> A longitudinal study</w:t>
      </w:r>
      <w:r w:rsidRPr="00805C78">
        <w:t xml:space="preserve"> </w:t>
      </w:r>
      <w:r w:rsidR="00DD015F">
        <w:t>of educational aspirations of prospective FiF student</w:t>
      </w:r>
      <w:r w:rsidR="00DD015F" w:rsidRPr="00DD015F">
        <w:t xml:space="preserve">s NSW by </w:t>
      </w:r>
      <w:r w:rsidR="00DD015F" w:rsidRPr="00A94465">
        <w:rPr>
          <w:rStyle w:val="Emphasis"/>
          <w:rFonts w:eastAsiaTheme="majorEastAsia"/>
          <w:i w:val="0"/>
          <w:iCs w:val="0"/>
          <w:color w:val="000000"/>
        </w:rPr>
        <w:t>Patfield, Gore, and Weaver (2022) is a notable exception</w:t>
      </w:r>
      <w:r w:rsidR="00DD015F" w:rsidRPr="00DD015F">
        <w:t>.</w:t>
      </w:r>
      <w:r w:rsidR="00DD015F">
        <w:t xml:space="preserve"> </w:t>
      </w:r>
      <w:r w:rsidRPr="00805C78">
        <w:t xml:space="preserve">In the Australian literature, the term First-in-Family </w:t>
      </w:r>
      <w:r w:rsidR="003A1743">
        <w:t xml:space="preserve">is </w:t>
      </w:r>
      <w:r w:rsidRPr="00805C78">
        <w:t>often aligned with students from low-income households, who may face financial challenges that impact their educational experiences; students from minority ethnic or racial backgrounds, who may encounter systemic biases and cultural</w:t>
      </w:r>
      <w:r w:rsidRPr="002F3A26">
        <w:rPr>
          <w:lang w:eastAsia="zh-CN"/>
        </w:rPr>
        <w:t xml:space="preserve"> differences within the academic environment; </w:t>
      </w:r>
      <w:r>
        <w:rPr>
          <w:lang w:eastAsia="zh-CN"/>
        </w:rPr>
        <w:t xml:space="preserve">and </w:t>
      </w:r>
      <w:r w:rsidRPr="002F3A26">
        <w:rPr>
          <w:lang w:eastAsia="zh-CN"/>
        </w:rPr>
        <w:t>mature students, defined as those aged 21 or over at the time of university entry, who often juggle additional responsibilities such as work or family commitments (O'Shea, 2007; O'Shea et al., 2014; O’Shea, 2020; Wong, 2018).</w:t>
      </w:r>
      <w:r>
        <w:rPr>
          <w:lang w:eastAsia="zh-CN"/>
        </w:rPr>
        <w:t xml:space="preserve"> </w:t>
      </w:r>
      <w:r w:rsidRPr="00AC60F6">
        <w:rPr>
          <w:lang w:eastAsia="zh-CN"/>
        </w:rPr>
        <w:t>However, given the</w:t>
      </w:r>
      <w:r>
        <w:rPr>
          <w:lang w:eastAsia="zh-CN"/>
        </w:rPr>
        <w:t xml:space="preserve"> relatively lower</w:t>
      </w:r>
      <w:r w:rsidRPr="00AC60F6">
        <w:rPr>
          <w:lang w:eastAsia="zh-CN"/>
        </w:rPr>
        <w:t xml:space="preserve"> educational attainment of older generations, </w:t>
      </w:r>
      <w:r>
        <w:rPr>
          <w:lang w:eastAsia="zh-CN"/>
        </w:rPr>
        <w:t>a majority of</w:t>
      </w:r>
      <w:r w:rsidRPr="00AC60F6">
        <w:rPr>
          <w:lang w:eastAsia="zh-CN"/>
        </w:rPr>
        <w:t xml:space="preserve"> young people </w:t>
      </w:r>
      <w:r>
        <w:rPr>
          <w:lang w:eastAsia="zh-CN"/>
        </w:rPr>
        <w:t>in Australia</w:t>
      </w:r>
      <w:r w:rsidR="003A1743">
        <w:rPr>
          <w:lang w:eastAsia="zh-CN"/>
        </w:rPr>
        <w:t xml:space="preserve"> nowadays</w:t>
      </w:r>
      <w:r>
        <w:rPr>
          <w:lang w:eastAsia="zh-CN"/>
        </w:rPr>
        <w:t xml:space="preserve"> </w:t>
      </w:r>
      <w:r w:rsidRPr="00AC60F6">
        <w:rPr>
          <w:lang w:eastAsia="zh-CN"/>
        </w:rPr>
        <w:t>do not have university-educated parents, meaning that a large proportion of FiF students come from middle or even high-income households.</w:t>
      </w:r>
    </w:p>
    <w:p w14:paraId="357BF9D1" w14:textId="659C2F3D" w:rsidR="0073052C" w:rsidRPr="002F3A26" w:rsidRDefault="0073052C" w:rsidP="0073052C">
      <w:pPr>
        <w:rPr>
          <w:lang w:eastAsia="zh-CN"/>
        </w:rPr>
      </w:pPr>
      <w:r w:rsidRPr="00805C78">
        <w:rPr>
          <w:lang w:eastAsia="zh-CN"/>
        </w:rPr>
        <w:t xml:space="preserve">What should be fundamental to how we understand the diversity in FiF experience is the social justice implications in what they are accessing. As Bennett and Southgate (2014) note, widening participation in Australia remains a fragmented picture, where there are different conversations at play under the term widening participation. They highlight “differential levels of access and participation by the type of institution (first tier/elite versus </w:t>
      </w:r>
      <w:r w:rsidRPr="00805C78">
        <w:rPr>
          <w:lang w:eastAsia="zh-CN"/>
        </w:rPr>
        <w:lastRenderedPageBreak/>
        <w:t>other) and degree (prestigious degrees such as medicine versus lower status/social mobility degrees such as nursing or teaching)” (p. 23; see also Stahl &amp; McDonald, 2023). This aligns with Chesters’</w:t>
      </w:r>
      <w:r w:rsidR="003210AD">
        <w:rPr>
          <w:lang w:eastAsia="zh-CN"/>
        </w:rPr>
        <w:t>s</w:t>
      </w:r>
      <w:r w:rsidRPr="00805C78">
        <w:rPr>
          <w:lang w:eastAsia="zh-CN"/>
        </w:rPr>
        <w:t xml:space="preserve"> (2015) findings suggesting that Australian young people are more likely to graduate from an elite university if at least one parent has a university degree; similarly, high-status degrees such as medicine and law are associated with parental university qualifications. These findings highlight how, despite the efforts to widen participation, Australian universities remain socially stratified (Bunn et al., 2022).</w:t>
      </w:r>
    </w:p>
    <w:p w14:paraId="702B8BA2" w14:textId="3B29EAC1" w:rsidR="0073052C" w:rsidRPr="002F3A26" w:rsidRDefault="0073052C" w:rsidP="0073052C">
      <w:pPr>
        <w:rPr>
          <w:rFonts w:ascii="Segoe UI" w:hAnsi="Segoe UI" w:cs="Segoe UI"/>
          <w:sz w:val="18"/>
          <w:szCs w:val="18"/>
          <w:lang w:eastAsia="zh-CN"/>
        </w:rPr>
      </w:pPr>
      <w:r w:rsidRPr="00D20BAA">
        <w:rPr>
          <w:lang w:eastAsia="zh-CN"/>
        </w:rPr>
        <w:t xml:space="preserve">In Stahl and McDonald’s (2022; 2023) </w:t>
      </w:r>
      <w:r w:rsidRPr="00D20BAA">
        <w:rPr>
          <w:i/>
          <w:iCs/>
          <w:lang w:eastAsia="zh-CN"/>
        </w:rPr>
        <w:t>First-in-Family Project</w:t>
      </w:r>
      <w:r w:rsidRPr="00D20BAA">
        <w:rPr>
          <w:lang w:eastAsia="zh-CN"/>
        </w:rPr>
        <w:t>, a qualitative study, they saw how FiF students maintained a strong identification with the “caring professions” (see also O’Shea &amp; Stone, 2014; Thomas &amp; Hovdhaugen, 2023). The attraction to caring work by FiF participants of both genders could be due to the familiarity with these professions and the idea that these are “employable” professions, whereas they saw very few participants aspiring to careers more aligned with competitive fields such as business or law.</w:t>
      </w:r>
      <w:r w:rsidRPr="4318E8C3">
        <w:rPr>
          <w:lang w:eastAsia="zh-CN"/>
        </w:rPr>
        <w:t xml:space="preserve"> </w:t>
      </w:r>
    </w:p>
    <w:p w14:paraId="5198B558" w14:textId="6C1C4775" w:rsidR="0073052C" w:rsidRPr="002F3A26" w:rsidRDefault="0073052C" w:rsidP="0073052C">
      <w:pPr>
        <w:rPr>
          <w:rFonts w:ascii="Segoe UI" w:hAnsi="Segoe UI" w:cs="Segoe UI"/>
          <w:sz w:val="18"/>
          <w:szCs w:val="18"/>
          <w:lang w:eastAsia="zh-CN"/>
        </w:rPr>
      </w:pPr>
      <w:r w:rsidRPr="4318E8C3">
        <w:rPr>
          <w:lang w:eastAsia="zh-CN"/>
        </w:rPr>
        <w:t xml:space="preserve">Existing studies suggest that FiF students, while diverse, share common motivations and behaviours and face significant barriers similar to other non-traditional students from socially and economically disadvantaged backgrounds (McDonald, 2024; Stahl et al., 2021). In surveying both quantitative and qualitative analyses of FiF </w:t>
      </w:r>
      <w:r w:rsidR="008E418F" w:rsidRPr="4318E8C3">
        <w:rPr>
          <w:lang w:eastAsia="zh-CN"/>
        </w:rPr>
        <w:t>students’</w:t>
      </w:r>
      <w:r w:rsidRPr="4318E8C3">
        <w:rPr>
          <w:lang w:eastAsia="zh-CN"/>
        </w:rPr>
        <w:t xml:space="preserve"> experiences at university, researchers continue to find that the underlying mechanisms or the barriers that FiF students encounter are their lack of cultural capital in negotiating the rules and norms of university as well as a lack of social capital through limited social assets (Collier &amp; Morgan, 2008; King et al., 2015; Luzeckyj et al., 2011; Luzeckyj et al., 2017; Noble &amp; Davies, 2009; Patfield et al., 2022; Simmons, 2011)</w:t>
      </w:r>
      <w:r>
        <w:rPr>
          <w:lang w:eastAsia="zh-CN"/>
        </w:rPr>
        <w:t>,</w:t>
      </w:r>
      <w:r w:rsidRPr="4318E8C3">
        <w:rPr>
          <w:lang w:eastAsia="zh-CN"/>
        </w:rPr>
        <w:t xml:space="preserve"> or a </w:t>
      </w:r>
      <w:r w:rsidR="00CE6F65">
        <w:rPr>
          <w:lang w:eastAsia="zh-CN"/>
        </w:rPr>
        <w:t>“</w:t>
      </w:r>
      <w:r w:rsidRPr="4318E8C3">
        <w:rPr>
          <w:lang w:eastAsia="zh-CN"/>
        </w:rPr>
        <w:t>mismatch</w:t>
      </w:r>
      <w:r w:rsidR="00CE6F65">
        <w:rPr>
          <w:lang w:eastAsia="zh-CN"/>
        </w:rPr>
        <w:t>”</w:t>
      </w:r>
      <w:r w:rsidRPr="4318E8C3">
        <w:rPr>
          <w:lang w:eastAsia="zh-CN"/>
        </w:rPr>
        <w:t xml:space="preserve"> between their habitus and the new field of university (King et al., 2015; Stephens et al., 2012).</w:t>
      </w:r>
    </w:p>
    <w:p w14:paraId="6A71D598" w14:textId="6A18988D" w:rsidR="0073052C" w:rsidRPr="002F3A26" w:rsidRDefault="0073052C" w:rsidP="004F64B4">
      <w:pPr>
        <w:pStyle w:val="Heading3"/>
        <w:rPr>
          <w:rFonts w:ascii="Segoe UI" w:hAnsi="Segoe UI"/>
          <w:sz w:val="18"/>
          <w:szCs w:val="18"/>
        </w:rPr>
      </w:pPr>
      <w:bookmarkStart w:id="14" w:name="_Toc202791791"/>
      <w:r w:rsidRPr="002F3A26">
        <w:t xml:space="preserve">Common </w:t>
      </w:r>
      <w:r>
        <w:t>b</w:t>
      </w:r>
      <w:r w:rsidRPr="002F3A26">
        <w:t xml:space="preserve">arriers </w:t>
      </w:r>
      <w:r>
        <w:t>experienced by First-in-Family</w:t>
      </w:r>
      <w:r w:rsidRPr="002F3A26">
        <w:t xml:space="preserve"> </w:t>
      </w:r>
      <w:r>
        <w:t>s</w:t>
      </w:r>
      <w:r w:rsidRPr="002F3A26">
        <w:t>tudents</w:t>
      </w:r>
      <w:bookmarkEnd w:id="14"/>
      <w:r w:rsidRPr="002F3A26">
        <w:t> </w:t>
      </w:r>
    </w:p>
    <w:p w14:paraId="2C1C2640" w14:textId="44F16A7B" w:rsidR="0073052C" w:rsidRDefault="0073052C" w:rsidP="0073052C">
      <w:pPr>
        <w:rPr>
          <w:lang w:eastAsia="zh-CN"/>
        </w:rPr>
      </w:pPr>
      <w:r w:rsidRPr="4318E8C3">
        <w:rPr>
          <w:lang w:eastAsia="zh-CN"/>
        </w:rPr>
        <w:t xml:space="preserve">There are many common barriers referenced in international research on </w:t>
      </w:r>
      <w:r w:rsidR="00DD015F">
        <w:rPr>
          <w:lang w:eastAsia="zh-CN"/>
        </w:rPr>
        <w:t>FiF students</w:t>
      </w:r>
      <w:r w:rsidRPr="4318E8C3">
        <w:rPr>
          <w:lang w:eastAsia="zh-CN"/>
        </w:rPr>
        <w:t>. Many of these barriers align with the key barriers of non-traditional students attending university, many of which come from backgrounds where there may be little to no experience with universities.</w:t>
      </w:r>
    </w:p>
    <w:p w14:paraId="53BE55DF" w14:textId="7F72B7CD" w:rsidR="00DD015F" w:rsidRPr="002F3A26" w:rsidRDefault="00DD015F" w:rsidP="0073052C">
      <w:pPr>
        <w:rPr>
          <w:rFonts w:ascii="Segoe UI" w:hAnsi="Segoe UI" w:cs="Segoe UI"/>
          <w:sz w:val="18"/>
          <w:szCs w:val="18"/>
          <w:lang w:eastAsia="zh-CN"/>
        </w:rPr>
      </w:pPr>
      <w:r>
        <w:rPr>
          <w:color w:val="0E101A"/>
        </w:rPr>
        <w:t>FiF students differ significantly from non-FiF students in terms of educational aspirations. Drawing on a large-scale survey of government school students in NSW,</w:t>
      </w:r>
      <w:r>
        <w:rPr>
          <w:rStyle w:val="apple-converted-space"/>
          <w:rFonts w:eastAsiaTheme="majorEastAsia"/>
          <w:color w:val="0E101A"/>
        </w:rPr>
        <w:t> </w:t>
      </w:r>
      <w:r w:rsidRPr="00A94465">
        <w:rPr>
          <w:rStyle w:val="Emphasis"/>
          <w:rFonts w:eastAsiaTheme="majorEastAsia"/>
          <w:i w:val="0"/>
          <w:iCs w:val="0"/>
          <w:color w:val="0E101A"/>
        </w:rPr>
        <w:t>Patfield, Gore, and Weaver (2022) identified a substantial gap in the proportion of students</w:t>
      </w:r>
      <w:r w:rsidRPr="00DD015F">
        <w:rPr>
          <w:rStyle w:val="apple-converted-space"/>
          <w:rFonts w:eastAsiaTheme="majorEastAsia"/>
          <w:i/>
          <w:color w:val="0E101A"/>
        </w:rPr>
        <w:t> </w:t>
      </w:r>
      <w:r w:rsidRPr="00A94465">
        <w:rPr>
          <w:i/>
          <w:color w:val="0E101A"/>
        </w:rPr>
        <w:t>a</w:t>
      </w:r>
      <w:r>
        <w:rPr>
          <w:color w:val="0E101A"/>
        </w:rPr>
        <w:t>spiring to</w:t>
      </w:r>
      <w:r w:rsidR="005F54A2">
        <w:rPr>
          <w:color w:val="0E101A"/>
        </w:rPr>
        <w:t xml:space="preserve"> attend</w:t>
      </w:r>
      <w:r>
        <w:rPr>
          <w:color w:val="0E101A"/>
        </w:rPr>
        <w:t xml:space="preserve"> university between prospective FiF and non-FiF students. The difference was apparent across all stages of schooling covered by the research, that is, Grades 3 to 12.</w:t>
      </w:r>
      <w:r>
        <w:rPr>
          <w:rStyle w:val="apple-converted-space"/>
          <w:rFonts w:eastAsiaTheme="majorEastAsia"/>
          <w:color w:val="0E101A"/>
        </w:rPr>
        <w:t> </w:t>
      </w:r>
    </w:p>
    <w:p w14:paraId="4EF42CA8" w14:textId="38789F3A" w:rsidR="0073052C" w:rsidRDefault="0073052C" w:rsidP="0073052C">
      <w:pPr>
        <w:rPr>
          <w:lang w:eastAsia="zh-CN"/>
        </w:rPr>
      </w:pPr>
      <w:r w:rsidRPr="002F3A26">
        <w:rPr>
          <w:lang w:eastAsia="zh-CN"/>
        </w:rPr>
        <w:t>Family resources</w:t>
      </w:r>
      <w:r>
        <w:rPr>
          <w:lang w:eastAsia="zh-CN"/>
        </w:rPr>
        <w:t xml:space="preserve"> are </w:t>
      </w:r>
      <w:r w:rsidR="00DD015F">
        <w:rPr>
          <w:lang w:eastAsia="zh-CN"/>
        </w:rPr>
        <w:t xml:space="preserve">another </w:t>
      </w:r>
      <w:r>
        <w:rPr>
          <w:lang w:eastAsia="zh-CN"/>
        </w:rPr>
        <w:t xml:space="preserve">key factor. </w:t>
      </w:r>
      <w:r w:rsidRPr="002F3A26">
        <w:rPr>
          <w:lang w:eastAsia="zh-CN"/>
        </w:rPr>
        <w:t xml:space="preserve">For many FiF students, families “are often unable to provide the same level of financial, informational, mentoring, and/or identity support as middle-class families provide to their sons and daughters” (Rubin, Evans, &amp; McGuffog, 2019, p. 2). Where their peers </w:t>
      </w:r>
      <w:r>
        <w:rPr>
          <w:lang w:eastAsia="zh-CN"/>
        </w:rPr>
        <w:t xml:space="preserve">with university-educated parents </w:t>
      </w:r>
      <w:r w:rsidRPr="002F3A26">
        <w:rPr>
          <w:lang w:eastAsia="zh-CN"/>
        </w:rPr>
        <w:t xml:space="preserve">often benefit from their </w:t>
      </w:r>
      <w:r w:rsidR="008E418F" w:rsidRPr="002F3A26">
        <w:rPr>
          <w:lang w:eastAsia="zh-CN"/>
        </w:rPr>
        <w:t>parents’</w:t>
      </w:r>
      <w:r w:rsidRPr="002F3A26">
        <w:rPr>
          <w:lang w:eastAsia="zh-CN"/>
        </w:rPr>
        <w:t xml:space="preserve"> insights and experiences with tertiary education, FiF students remain uncertain of how to navigate the space</w:t>
      </w:r>
      <w:r>
        <w:rPr>
          <w:lang w:eastAsia="zh-CN"/>
        </w:rPr>
        <w:t>,</w:t>
      </w:r>
      <w:r w:rsidRPr="002F3A26">
        <w:rPr>
          <w:lang w:eastAsia="zh-CN"/>
        </w:rPr>
        <w:t xml:space="preserve"> which has significant implications for their sense of belonging (Ostrove &amp; Long, 2007; Read, Archer, &amp; Leathwood, 2003; Southgate et al., 2014).</w:t>
      </w:r>
      <w:r>
        <w:rPr>
          <w:lang w:eastAsia="zh-CN"/>
        </w:rPr>
        <w:t xml:space="preserve"> P</w:t>
      </w:r>
      <w:r w:rsidRPr="4318E8C3">
        <w:rPr>
          <w:lang w:eastAsia="zh-CN"/>
        </w:rPr>
        <w:t>arental educational and cultural capital</w:t>
      </w:r>
      <w:r>
        <w:rPr>
          <w:lang w:eastAsia="zh-CN"/>
        </w:rPr>
        <w:t xml:space="preserve"> has been shown to play a role </w:t>
      </w:r>
      <w:r w:rsidRPr="4318E8C3">
        <w:rPr>
          <w:lang w:eastAsia="zh-CN"/>
        </w:rPr>
        <w:t xml:space="preserve">in the </w:t>
      </w:r>
      <w:r>
        <w:rPr>
          <w:lang w:eastAsia="zh-CN"/>
        </w:rPr>
        <w:t xml:space="preserve">choice of educational paths, for example, </w:t>
      </w:r>
      <w:r w:rsidRPr="4318E8C3">
        <w:rPr>
          <w:lang w:eastAsia="zh-CN"/>
        </w:rPr>
        <w:t>choosing a selective university</w:t>
      </w:r>
      <w:r>
        <w:rPr>
          <w:lang w:eastAsia="zh-CN"/>
        </w:rPr>
        <w:t xml:space="preserve"> </w:t>
      </w:r>
      <w:r w:rsidRPr="4318E8C3">
        <w:rPr>
          <w:lang w:eastAsia="zh-CN"/>
        </w:rPr>
        <w:t>and the decision to pursue graduate studies</w:t>
      </w:r>
      <w:r>
        <w:rPr>
          <w:lang w:eastAsia="zh-CN"/>
        </w:rPr>
        <w:t xml:space="preserve"> </w:t>
      </w:r>
      <w:r w:rsidRPr="4318E8C3">
        <w:rPr>
          <w:lang w:eastAsia="zh-CN"/>
        </w:rPr>
        <w:t>(Barsegyan &amp; Maas, 2024)</w:t>
      </w:r>
      <w:r>
        <w:rPr>
          <w:lang w:eastAsia="zh-CN"/>
        </w:rPr>
        <w:t>.</w:t>
      </w:r>
    </w:p>
    <w:p w14:paraId="086206D8" w14:textId="77777777" w:rsidR="0073052C" w:rsidRDefault="0073052C" w:rsidP="0073052C">
      <w:pPr>
        <w:rPr>
          <w:rFonts w:ascii="Segoe UI" w:hAnsi="Segoe UI" w:cs="Segoe UI"/>
          <w:sz w:val="18"/>
          <w:szCs w:val="18"/>
          <w:lang w:eastAsia="zh-CN"/>
        </w:rPr>
      </w:pPr>
      <w:r>
        <w:rPr>
          <w:lang w:eastAsia="zh-CN"/>
        </w:rPr>
        <w:lastRenderedPageBreak/>
        <w:t>Financial resources and attitudes to financial risk are another factor. E</w:t>
      </w:r>
      <w:r w:rsidRPr="4318E8C3">
        <w:rPr>
          <w:lang w:eastAsia="zh-CN"/>
        </w:rPr>
        <w:t>nrolling in university often involves a significant financial investment, typically justified by the prospect of future economic benefits. For FiF students from low-income backgrounds, this financial undertaking is compounded by additional challenges related to their personal circumstances and limited access to resources. Research indicates that economically disadvantaged students frequently exhibit a generational reluctance to assume the student debt required to finance higher education (Rauscher &amp; Elliott III, 2014). This hesitancy not only constrains their ability to pursue university studies but may shape their educational pathways and the quality of their learning experiences (Montacute, 2018).</w:t>
      </w:r>
    </w:p>
    <w:p w14:paraId="33AD4FD5" w14:textId="282F657C" w:rsidR="0073052C" w:rsidRPr="00AC60F6" w:rsidRDefault="0073052C" w:rsidP="0073052C">
      <w:pPr>
        <w:rPr>
          <w:lang w:eastAsia="zh-CN"/>
        </w:rPr>
      </w:pPr>
      <w:r w:rsidRPr="00AC60F6">
        <w:rPr>
          <w:lang w:eastAsia="zh-CN"/>
        </w:rPr>
        <w:t>Diffe</w:t>
      </w:r>
      <w:r>
        <w:rPr>
          <w:lang w:eastAsia="zh-CN"/>
        </w:rPr>
        <w:t xml:space="preserve">rences in access to schools are another factor. </w:t>
      </w:r>
      <w:r>
        <w:rPr>
          <w:color w:val="000000"/>
          <w:szCs w:val="22"/>
          <w:lang w:val="en-GB"/>
        </w:rPr>
        <w:t>As Chesters and Watson (2014) note</w:t>
      </w:r>
      <w:r w:rsidR="00CE6F65">
        <w:rPr>
          <w:color w:val="000000"/>
          <w:szCs w:val="22"/>
          <w:lang w:val="en-GB"/>
        </w:rPr>
        <w:t>,</w:t>
      </w:r>
      <w:r>
        <w:rPr>
          <w:color w:val="000000"/>
          <w:szCs w:val="22"/>
          <w:lang w:val="en-GB"/>
        </w:rPr>
        <w:t xml:space="preserve"> </w:t>
      </w:r>
      <w:r>
        <w:rPr>
          <w:szCs w:val="22"/>
          <w:lang w:val="en-GB" w:eastAsia="en-US"/>
        </w:rPr>
        <w:t>t</w:t>
      </w:r>
      <w:r w:rsidRPr="008174AB">
        <w:rPr>
          <w:szCs w:val="22"/>
          <w:lang w:val="en-GB" w:eastAsia="en-US"/>
        </w:rPr>
        <w:t>he predominant means of accessing higher education for</w:t>
      </w:r>
      <w:r>
        <w:rPr>
          <w:color w:val="000000"/>
          <w:szCs w:val="22"/>
          <w:lang w:val="en-GB"/>
        </w:rPr>
        <w:t xml:space="preserve"> </w:t>
      </w:r>
      <w:r w:rsidRPr="008174AB">
        <w:rPr>
          <w:szCs w:val="22"/>
          <w:lang w:val="en-GB" w:eastAsia="en-US"/>
        </w:rPr>
        <w:t>young people is through the completion of secondary school through to Year 12</w:t>
      </w:r>
      <w:r>
        <w:rPr>
          <w:szCs w:val="22"/>
          <w:lang w:val="en-GB" w:eastAsia="en-US"/>
        </w:rPr>
        <w:t xml:space="preserve"> where their </w:t>
      </w:r>
      <w:r w:rsidRPr="008174AB">
        <w:rPr>
          <w:szCs w:val="22"/>
          <w:lang w:val="en-GB" w:eastAsia="en-US"/>
        </w:rPr>
        <w:t xml:space="preserve">results </w:t>
      </w:r>
      <w:r>
        <w:rPr>
          <w:szCs w:val="22"/>
          <w:lang w:val="en-GB" w:eastAsia="en-US"/>
        </w:rPr>
        <w:t>“</w:t>
      </w:r>
      <w:r w:rsidRPr="008174AB">
        <w:rPr>
          <w:szCs w:val="22"/>
          <w:lang w:val="en-GB" w:eastAsia="en-US"/>
        </w:rPr>
        <w:t>are converted to an Australian Tertiary Admission Rank</w:t>
      </w:r>
      <w:r>
        <w:rPr>
          <w:color w:val="000000"/>
          <w:szCs w:val="22"/>
          <w:lang w:val="en-GB"/>
        </w:rPr>
        <w:t xml:space="preserve"> </w:t>
      </w:r>
      <w:r w:rsidRPr="008174AB">
        <w:rPr>
          <w:szCs w:val="22"/>
          <w:lang w:val="en-GB" w:eastAsia="en-US"/>
        </w:rPr>
        <w:t>(ATAR) which enables students to be ranked against their peers Australia-wide</w:t>
      </w:r>
      <w:r>
        <w:rPr>
          <w:szCs w:val="22"/>
          <w:lang w:val="en-GB" w:eastAsia="en-US"/>
        </w:rPr>
        <w:t>” (p. 1635)</w:t>
      </w:r>
      <w:r w:rsidRPr="008174AB">
        <w:rPr>
          <w:szCs w:val="22"/>
          <w:lang w:val="en-GB" w:eastAsia="en-US"/>
        </w:rPr>
        <w:t>.</w:t>
      </w:r>
      <w:r w:rsidRPr="00230629">
        <w:rPr>
          <w:color w:val="000000"/>
          <w:szCs w:val="22"/>
          <w:lang w:val="en-GB"/>
        </w:rPr>
        <w:t xml:space="preserve"> </w:t>
      </w:r>
      <w:r w:rsidRPr="00D67AEE">
        <w:rPr>
          <w:color w:val="000000"/>
          <w:szCs w:val="22"/>
          <w:lang w:val="en-GB"/>
        </w:rPr>
        <w:t>Historically</w:t>
      </w:r>
      <w:r>
        <w:rPr>
          <w:color w:val="000000"/>
          <w:szCs w:val="22"/>
          <w:lang w:val="en-GB"/>
        </w:rPr>
        <w:t>,</w:t>
      </w:r>
      <w:r w:rsidRPr="00D67AEE">
        <w:rPr>
          <w:color w:val="000000"/>
          <w:szCs w:val="22"/>
          <w:lang w:val="en-GB"/>
        </w:rPr>
        <w:t xml:space="preserve"> and in the present day, </w:t>
      </w:r>
      <w:r>
        <w:rPr>
          <w:color w:val="000000"/>
          <w:szCs w:val="22"/>
          <w:lang w:val="en-GB"/>
        </w:rPr>
        <w:t xml:space="preserve">low </w:t>
      </w:r>
      <w:r w:rsidR="00CE6F65">
        <w:rPr>
          <w:color w:val="000000"/>
          <w:szCs w:val="22"/>
          <w:lang w:val="en-GB"/>
        </w:rPr>
        <w:t>SES</w:t>
      </w:r>
      <w:r>
        <w:rPr>
          <w:color w:val="000000"/>
          <w:szCs w:val="22"/>
          <w:lang w:val="en-GB"/>
        </w:rPr>
        <w:t xml:space="preserve"> </w:t>
      </w:r>
      <w:r w:rsidRPr="00D67AEE">
        <w:rPr>
          <w:color w:val="000000"/>
          <w:szCs w:val="22"/>
          <w:lang w:val="en-GB"/>
        </w:rPr>
        <w:t>students are disproportionately likely to receive low ATARs</w:t>
      </w:r>
      <w:r w:rsidR="00CE6F65">
        <w:rPr>
          <w:color w:val="000000"/>
          <w:szCs w:val="22"/>
          <w:lang w:val="en-GB"/>
        </w:rPr>
        <w:t>,</w:t>
      </w:r>
      <w:r w:rsidRPr="00D67AEE">
        <w:rPr>
          <w:color w:val="000000"/>
          <w:szCs w:val="22"/>
          <w:lang w:val="en-GB"/>
        </w:rPr>
        <w:t xml:space="preserve"> which is directly linked to the schools they attend (</w:t>
      </w:r>
      <w:r>
        <w:rPr>
          <w:color w:val="000000"/>
          <w:szCs w:val="22"/>
          <w:lang w:val="en-GB"/>
        </w:rPr>
        <w:t xml:space="preserve">Chester, 2019; </w:t>
      </w:r>
      <w:r w:rsidRPr="00D67AEE">
        <w:rPr>
          <w:color w:val="000000"/>
          <w:szCs w:val="22"/>
          <w:lang w:val="en-GB"/>
        </w:rPr>
        <w:t>Tranter</w:t>
      </w:r>
      <w:r>
        <w:rPr>
          <w:color w:val="000000"/>
          <w:szCs w:val="22"/>
          <w:lang w:val="en-GB"/>
        </w:rPr>
        <w:t>,</w:t>
      </w:r>
      <w:r w:rsidRPr="00D67AEE">
        <w:rPr>
          <w:color w:val="000000"/>
          <w:szCs w:val="22"/>
          <w:lang w:val="en-GB"/>
        </w:rPr>
        <w:t xml:space="preserve"> 2011)</w:t>
      </w:r>
      <w:r>
        <w:rPr>
          <w:color w:val="000000"/>
          <w:szCs w:val="22"/>
          <w:lang w:val="en-GB"/>
        </w:rPr>
        <w:t xml:space="preserve"> and their socio-economic status (Cardak &amp; Ryan, 2009)</w:t>
      </w:r>
      <w:r w:rsidRPr="00D67AEE">
        <w:rPr>
          <w:color w:val="000000"/>
          <w:szCs w:val="22"/>
          <w:lang w:val="en-GB"/>
        </w:rPr>
        <w:t xml:space="preserve">. </w:t>
      </w:r>
      <w:r>
        <w:rPr>
          <w:color w:val="000000"/>
          <w:szCs w:val="22"/>
          <w:lang w:val="en-GB"/>
        </w:rPr>
        <w:t>Adding a layer of complexity to how we understand access and choice of fields of study, s</w:t>
      </w:r>
      <w:r w:rsidRPr="00D67AEE">
        <w:rPr>
          <w:color w:val="000000"/>
          <w:szCs w:val="22"/>
          <w:lang w:val="en-GB"/>
        </w:rPr>
        <w:t xml:space="preserve">tudents from </w:t>
      </w:r>
      <w:r>
        <w:rPr>
          <w:color w:val="000000"/>
          <w:szCs w:val="22"/>
          <w:lang w:val="en-GB"/>
        </w:rPr>
        <w:t>less privileged backgrounds</w:t>
      </w:r>
      <w:r w:rsidRPr="00D67AEE">
        <w:rPr>
          <w:color w:val="000000"/>
          <w:szCs w:val="22"/>
          <w:lang w:val="en-GB"/>
        </w:rPr>
        <w:t xml:space="preserve"> tend to be concentrated in government schools, which tend to have fewer resources as well as narrower curriculum offerings (Teese</w:t>
      </w:r>
      <w:r>
        <w:rPr>
          <w:color w:val="000000"/>
          <w:szCs w:val="22"/>
          <w:lang w:val="en-GB"/>
        </w:rPr>
        <w:t>,</w:t>
      </w:r>
      <w:r w:rsidRPr="00D67AEE">
        <w:rPr>
          <w:color w:val="000000"/>
          <w:szCs w:val="22"/>
          <w:lang w:val="en-GB"/>
        </w:rPr>
        <w:t xml:space="preserve"> 2006).</w:t>
      </w:r>
      <w:r>
        <w:rPr>
          <w:color w:val="000000"/>
          <w:szCs w:val="22"/>
          <w:lang w:val="en-GB"/>
        </w:rPr>
        <w:t xml:space="preserve"> Furthermore, </w:t>
      </w:r>
      <w:r w:rsidR="008E418F">
        <w:rPr>
          <w:color w:val="000000"/>
          <w:szCs w:val="22"/>
          <w:lang w:val="en-GB"/>
        </w:rPr>
        <w:t>schools’</w:t>
      </w:r>
      <w:r>
        <w:rPr>
          <w:color w:val="000000"/>
          <w:szCs w:val="22"/>
          <w:lang w:val="en-GB"/>
        </w:rPr>
        <w:t xml:space="preserve"> resources affect the quality of career counselling offered to students (Chester, 2019; McDonald et al., 2024).</w:t>
      </w:r>
    </w:p>
    <w:p w14:paraId="1ADC5D2C" w14:textId="6738FD9D" w:rsidR="0073052C" w:rsidRPr="002F3A26" w:rsidRDefault="00B60EE1" w:rsidP="0073052C">
      <w:pPr>
        <w:rPr>
          <w:rFonts w:ascii="Segoe UI" w:hAnsi="Segoe UI" w:cs="Segoe UI"/>
          <w:sz w:val="18"/>
          <w:szCs w:val="18"/>
          <w:lang w:eastAsia="zh-CN"/>
        </w:rPr>
      </w:pPr>
      <w:r>
        <w:rPr>
          <w:lang w:eastAsia="zh-CN"/>
        </w:rPr>
        <w:t>Additionally</w:t>
      </w:r>
      <w:r w:rsidR="0073052C">
        <w:rPr>
          <w:lang w:eastAsia="zh-CN"/>
        </w:rPr>
        <w:t>, s</w:t>
      </w:r>
      <w:r w:rsidR="0073052C" w:rsidRPr="002F3A26">
        <w:rPr>
          <w:lang w:eastAsia="zh-CN"/>
        </w:rPr>
        <w:t xml:space="preserve">ubstantial research suggests </w:t>
      </w:r>
      <w:r w:rsidR="0073052C">
        <w:rPr>
          <w:lang w:eastAsia="zh-CN"/>
        </w:rPr>
        <w:t>that</w:t>
      </w:r>
      <w:r w:rsidR="00DD015F">
        <w:rPr>
          <w:lang w:eastAsia="zh-CN"/>
        </w:rPr>
        <w:t xml:space="preserve"> the higher education</w:t>
      </w:r>
      <w:r w:rsidR="00CE6F65">
        <w:rPr>
          <w:lang w:eastAsia="zh-CN"/>
        </w:rPr>
        <w:t xml:space="preserve"> sector</w:t>
      </w:r>
      <w:r w:rsidR="00DD015F">
        <w:rPr>
          <w:lang w:eastAsia="zh-CN"/>
        </w:rPr>
        <w:t xml:space="preserve"> has not yet adapted to accommodate the needs of FiF students. As a result,</w:t>
      </w:r>
      <w:r w:rsidR="0073052C">
        <w:rPr>
          <w:lang w:eastAsia="zh-CN"/>
        </w:rPr>
        <w:t xml:space="preserve"> </w:t>
      </w:r>
      <w:r w:rsidR="00CE6F65">
        <w:rPr>
          <w:lang w:eastAsia="zh-CN"/>
        </w:rPr>
        <w:t>FiF students</w:t>
      </w:r>
      <w:r w:rsidR="00CE6F65" w:rsidRPr="002F3A26">
        <w:rPr>
          <w:lang w:eastAsia="zh-CN"/>
        </w:rPr>
        <w:t xml:space="preserve"> </w:t>
      </w:r>
      <w:r w:rsidR="0073052C" w:rsidRPr="002F3A26">
        <w:rPr>
          <w:lang w:eastAsia="zh-CN"/>
        </w:rPr>
        <w:t>often struggle with a sense of belonging and inhabit</w:t>
      </w:r>
      <w:r w:rsidR="0073052C">
        <w:rPr>
          <w:lang w:eastAsia="zh-CN"/>
        </w:rPr>
        <w:t>ing</w:t>
      </w:r>
      <w:r w:rsidR="0073052C" w:rsidRPr="002F3A26">
        <w:rPr>
          <w:lang w:eastAsia="zh-CN"/>
        </w:rPr>
        <w:t xml:space="preserve"> the student role</w:t>
      </w:r>
      <w:r w:rsidR="0073052C" w:rsidRPr="002F3A26">
        <w:rPr>
          <w:color w:val="000000"/>
          <w:lang w:eastAsia="zh-CN"/>
        </w:rPr>
        <w:t xml:space="preserve"> (Collier &amp; Morgan, 2008) with many framing their understanding of their experience as </w:t>
      </w:r>
      <w:r w:rsidR="00D6027C">
        <w:rPr>
          <w:color w:val="000000"/>
          <w:lang w:eastAsia="zh-CN"/>
        </w:rPr>
        <w:t>“</w:t>
      </w:r>
      <w:r w:rsidR="0073052C" w:rsidRPr="002F3A26">
        <w:rPr>
          <w:color w:val="000000"/>
          <w:lang w:eastAsia="zh-CN"/>
        </w:rPr>
        <w:t xml:space="preserve">entering an unknown arena that triggered a range of emotional responses” (King et al. 2015). </w:t>
      </w:r>
      <w:r w:rsidR="000B53A1">
        <w:rPr>
          <w:color w:val="000000"/>
          <w:lang w:eastAsia="zh-CN"/>
        </w:rPr>
        <w:t>O’</w:t>
      </w:r>
      <w:r w:rsidR="0073052C" w:rsidRPr="002F3A26">
        <w:rPr>
          <w:lang w:eastAsia="zh-CN"/>
        </w:rPr>
        <w:t>Shea, May, Stone</w:t>
      </w:r>
      <w:r w:rsidR="00CE6F65">
        <w:rPr>
          <w:lang w:eastAsia="zh-CN"/>
        </w:rPr>
        <w:t>,</w:t>
      </w:r>
      <w:r w:rsidR="0073052C" w:rsidRPr="002F3A26">
        <w:rPr>
          <w:lang w:eastAsia="zh-CN"/>
        </w:rPr>
        <w:t xml:space="preserve"> and Delahunty (20</w:t>
      </w:r>
      <w:r w:rsidR="000D0337">
        <w:rPr>
          <w:lang w:eastAsia="zh-CN"/>
        </w:rPr>
        <w:t>24</w:t>
      </w:r>
      <w:r w:rsidR="0073052C" w:rsidRPr="002F3A26">
        <w:rPr>
          <w:lang w:eastAsia="zh-CN"/>
        </w:rPr>
        <w:t xml:space="preserve">) write that </w:t>
      </w:r>
      <w:r w:rsidR="0073052C" w:rsidRPr="295176BB">
        <w:rPr>
          <w:lang w:eastAsia="zh-CN"/>
        </w:rPr>
        <w:t xml:space="preserve">for </w:t>
      </w:r>
      <w:r w:rsidR="0073052C" w:rsidRPr="002F3A26">
        <w:rPr>
          <w:color w:val="141413"/>
          <w:lang w:eastAsia="zh-CN"/>
        </w:rPr>
        <w:t>“learners from diverse backgrounds who are entering university, the risk of incompatible identity positions can be increased” (</w:t>
      </w:r>
      <w:r w:rsidR="0073052C" w:rsidRPr="002F3A26">
        <w:rPr>
          <w:lang w:eastAsia="zh-CN"/>
        </w:rPr>
        <w:t>p. 1</w:t>
      </w:r>
      <w:r w:rsidR="000D0337">
        <w:rPr>
          <w:lang w:eastAsia="zh-CN"/>
        </w:rPr>
        <w:t>3</w:t>
      </w:r>
      <w:r w:rsidR="0073052C" w:rsidRPr="002F3A26">
        <w:rPr>
          <w:lang w:eastAsia="zh-CN"/>
        </w:rPr>
        <w:t>), which has implications for how they navigate their academic journeys. The phenomenon of identity dislocation, where FiF students feel out of place or disconnected within the university environment, is a significant barrier. This sense of alienation can be so intense that it leads to higher dropout rates, sometimes occurring as early as the first two months of enrolment (see Lehmann, 200</w:t>
      </w:r>
      <w:r w:rsidR="000C6C9E">
        <w:rPr>
          <w:lang w:eastAsia="zh-CN"/>
        </w:rPr>
        <w:t>9</w:t>
      </w:r>
      <w:r w:rsidR="0073052C" w:rsidRPr="002F3A26">
        <w:rPr>
          <w:lang w:eastAsia="zh-CN"/>
        </w:rPr>
        <w:t>). The persistent feeling of not belonging highlights the social and cultural adjustments FiF students must make, which can be overwhelming and contribute to their decision to leave university prematurely.</w:t>
      </w:r>
    </w:p>
    <w:p w14:paraId="12EF1CB5" w14:textId="77777777" w:rsidR="0073052C" w:rsidRPr="002F3A26" w:rsidRDefault="0073052C" w:rsidP="004F64B4">
      <w:pPr>
        <w:pStyle w:val="Heading3"/>
        <w:rPr>
          <w:rFonts w:ascii="Segoe UI" w:hAnsi="Segoe UI"/>
          <w:sz w:val="18"/>
          <w:szCs w:val="18"/>
        </w:rPr>
      </w:pPr>
      <w:bookmarkStart w:id="15" w:name="_Toc202791792"/>
      <w:r>
        <w:t>Motivations of</w:t>
      </w:r>
      <w:r w:rsidRPr="002F3A26">
        <w:t xml:space="preserve"> </w:t>
      </w:r>
      <w:r>
        <w:t>First-in-Family</w:t>
      </w:r>
      <w:r w:rsidRPr="002F3A26">
        <w:t xml:space="preserve"> students</w:t>
      </w:r>
      <w:bookmarkEnd w:id="15"/>
    </w:p>
    <w:p w14:paraId="7A2CF64F" w14:textId="0DD99077" w:rsidR="0073052C" w:rsidRPr="002F3A26" w:rsidRDefault="0073052C" w:rsidP="0073052C">
      <w:pPr>
        <w:rPr>
          <w:rFonts w:ascii="Segoe UI" w:hAnsi="Segoe UI" w:cs="Segoe UI"/>
          <w:sz w:val="18"/>
          <w:szCs w:val="18"/>
          <w:lang w:eastAsia="zh-CN"/>
        </w:rPr>
      </w:pPr>
      <w:r w:rsidRPr="00AC60F6">
        <w:rPr>
          <w:lang w:eastAsia="zh-CN"/>
        </w:rPr>
        <w:t xml:space="preserve">While FIF students face a series of distinct challenges in their higher education journeys, previous literature suggests some common </w:t>
      </w:r>
      <w:r>
        <w:rPr>
          <w:lang w:eastAsia="zh-CN"/>
        </w:rPr>
        <w:t>attitudes among them</w:t>
      </w:r>
      <w:r w:rsidRPr="00AC60F6">
        <w:rPr>
          <w:lang w:eastAsia="zh-CN"/>
        </w:rPr>
        <w:t xml:space="preserve">. </w:t>
      </w:r>
      <w:r w:rsidRPr="002F3A26">
        <w:rPr>
          <w:lang w:eastAsia="zh-CN"/>
        </w:rPr>
        <w:t>FiF students are often characteri</w:t>
      </w:r>
      <w:r w:rsidR="00D6027C">
        <w:rPr>
          <w:lang w:eastAsia="zh-CN"/>
        </w:rPr>
        <w:t>s</w:t>
      </w:r>
      <w:r w:rsidRPr="002F3A26">
        <w:rPr>
          <w:lang w:eastAsia="zh-CN"/>
        </w:rPr>
        <w:t>ed by their strong motivation and resilience (Gore, Holmes, Smith, Lyell, et al., 2015; Stahl &amp; McDonald, 2023). In terms of motivation and resilience, a common thread among FiF students is their pursuit of an improved quality of life, viewing higher education as integral to achieving their aspirations (King et al., 2015).</w:t>
      </w:r>
    </w:p>
    <w:p w14:paraId="29F23B7F" w14:textId="6E87E105" w:rsidR="0073052C" w:rsidRPr="002F3A26" w:rsidRDefault="0073052C" w:rsidP="0073052C">
      <w:pPr>
        <w:rPr>
          <w:rFonts w:ascii="Segoe UI" w:hAnsi="Segoe UI" w:cs="Segoe UI"/>
          <w:sz w:val="18"/>
          <w:szCs w:val="18"/>
          <w:lang w:eastAsia="zh-CN"/>
        </w:rPr>
      </w:pPr>
      <w:r w:rsidRPr="002F3A26">
        <w:rPr>
          <w:lang w:eastAsia="zh-CN"/>
        </w:rPr>
        <w:t xml:space="preserve">For example, </w:t>
      </w:r>
      <w:r>
        <w:rPr>
          <w:lang w:eastAsia="zh-CN"/>
        </w:rPr>
        <w:t>a substantial body of</w:t>
      </w:r>
      <w:r w:rsidRPr="002F3A26">
        <w:rPr>
          <w:lang w:eastAsia="zh-CN"/>
        </w:rPr>
        <w:t xml:space="preserve"> literature around FIF students (</w:t>
      </w:r>
      <w:r w:rsidR="00D6027C">
        <w:rPr>
          <w:lang w:eastAsia="zh-CN"/>
        </w:rPr>
        <w:t>for example</w:t>
      </w:r>
      <w:r w:rsidRPr="002F3A26">
        <w:rPr>
          <w:lang w:eastAsia="zh-CN"/>
        </w:rPr>
        <w:t xml:space="preserve">, King et al., 2015; Luzeckyj et al., 2011; Spiegler &amp; Bednarek, 2013) investigated how they managed to </w:t>
      </w:r>
      <w:r w:rsidRPr="002F3A26">
        <w:rPr>
          <w:lang w:eastAsia="zh-CN"/>
        </w:rPr>
        <w:lastRenderedPageBreak/>
        <w:t xml:space="preserve">overcome barriers to </w:t>
      </w:r>
      <w:r>
        <w:rPr>
          <w:lang w:eastAsia="zh-CN"/>
        </w:rPr>
        <w:t>getting</w:t>
      </w:r>
      <w:r w:rsidRPr="002F3A26">
        <w:rPr>
          <w:lang w:eastAsia="zh-CN"/>
        </w:rPr>
        <w:t xml:space="preserve"> into universities (O’Shea, 2020), how they made decisions on the choices of university and program (Luzeckyj et al., 2011), their experiences at university (King et al., 2015), their post-graduation outcomes and employment mobility (O’Shea, 2019; O’Shea et al., 2021). King et al. (2015) note that this drive for a better future is a powerful motivator that helps FiF students overcome additional academic and social hurdles, underscoring their determination to succeed.</w:t>
      </w:r>
    </w:p>
    <w:p w14:paraId="4CE14849" w14:textId="6DD07B11" w:rsidR="0073052C" w:rsidRPr="002F3A26" w:rsidRDefault="0073052C" w:rsidP="0073052C">
      <w:pPr>
        <w:rPr>
          <w:rFonts w:ascii="Segoe UI" w:hAnsi="Segoe UI" w:cs="Segoe UI"/>
          <w:sz w:val="18"/>
          <w:szCs w:val="18"/>
          <w:lang w:eastAsia="zh-CN"/>
        </w:rPr>
      </w:pPr>
      <w:r>
        <w:rPr>
          <w:lang w:eastAsia="zh-CN"/>
        </w:rPr>
        <w:t xml:space="preserve">Many studies have </w:t>
      </w:r>
      <w:r w:rsidRPr="002F3A26">
        <w:rPr>
          <w:lang w:eastAsia="zh-CN"/>
        </w:rPr>
        <w:t>shown FiF students to be primarily motivated by pragmatic, job-related reasons for attending university. Their main goals include improving their job prospects and acquiring specific job training, reflecting a practical approach to higher education that prioriti</w:t>
      </w:r>
      <w:r w:rsidR="00D6027C">
        <w:rPr>
          <w:lang w:eastAsia="zh-CN"/>
        </w:rPr>
        <w:t>s</w:t>
      </w:r>
      <w:r w:rsidRPr="002F3A26">
        <w:rPr>
          <w:lang w:eastAsia="zh-CN"/>
        </w:rPr>
        <w:t>es immediate employment outcomes (Gore, Holmes, Smith, Lyell et al., 2015; Gore, Holmes, Smith, Southgate et al., 2015; Krause et al., 2005). For example, it could be argued</w:t>
      </w:r>
      <w:r w:rsidR="00D6027C">
        <w:rPr>
          <w:lang w:eastAsia="zh-CN"/>
        </w:rPr>
        <w:t xml:space="preserve"> that</w:t>
      </w:r>
      <w:r w:rsidRPr="002F3A26">
        <w:rPr>
          <w:lang w:eastAsia="zh-CN"/>
        </w:rPr>
        <w:t xml:space="preserve"> their sense of pragmatism informs their chosen discipline of study. </w:t>
      </w:r>
      <w:r>
        <w:rPr>
          <w:lang w:eastAsia="zh-CN"/>
        </w:rPr>
        <w:t>Research shows t</w:t>
      </w:r>
      <w:r w:rsidRPr="002F3A26">
        <w:rPr>
          <w:lang w:eastAsia="zh-CN"/>
        </w:rPr>
        <w:t>hey are more frequently enrolled in courses such as education and nursing</w:t>
      </w:r>
      <w:r>
        <w:rPr>
          <w:lang w:eastAsia="zh-CN"/>
        </w:rPr>
        <w:t>,</w:t>
      </w:r>
      <w:r w:rsidRPr="002F3A26">
        <w:rPr>
          <w:lang w:eastAsia="zh-CN"/>
        </w:rPr>
        <w:t xml:space="preserve"> which they have some familiarity with and see as having a high likelihood of employability (Stahl &amp; McDonald, 2023). This differs substantially from non-FiF students who often pursue degrees in fields like engineering, law, medicine, and health sciences, which are typically associated with higher cut-off scores and are considered more prestigious with greater earning potential after graduation (Simmons, 2011). </w:t>
      </w:r>
      <w:r>
        <w:rPr>
          <w:lang w:eastAsia="zh-CN"/>
        </w:rPr>
        <w:t xml:space="preserve">Moreover, these choices </w:t>
      </w:r>
      <w:r w:rsidRPr="002F3A26">
        <w:rPr>
          <w:lang w:eastAsia="zh-CN"/>
        </w:rPr>
        <w:t>remain highly gendered (McDonald &amp; Stahl, 2024; Stahl &amp; McDonald, 2023).</w:t>
      </w:r>
    </w:p>
    <w:p w14:paraId="799EE77E" w14:textId="535C4C24" w:rsidR="0073052C" w:rsidRPr="002F3A26" w:rsidRDefault="0073052C" w:rsidP="0073052C">
      <w:pPr>
        <w:rPr>
          <w:rFonts w:ascii="Segoe UI" w:hAnsi="Segoe UI" w:cs="Segoe UI"/>
          <w:sz w:val="18"/>
          <w:szCs w:val="18"/>
          <w:lang w:eastAsia="zh-CN"/>
        </w:rPr>
      </w:pPr>
      <w:r w:rsidRPr="002F3A26">
        <w:rPr>
          <w:color w:val="141413"/>
          <w:lang w:eastAsia="zh-CN"/>
        </w:rPr>
        <w:t xml:space="preserve">Research in Australia from </w:t>
      </w:r>
      <w:r w:rsidRPr="002F3A26">
        <w:rPr>
          <w:lang w:eastAsia="zh-CN"/>
        </w:rPr>
        <w:t>King et al. (2015)</w:t>
      </w:r>
      <w:r w:rsidRPr="002F3A26">
        <w:rPr>
          <w:color w:val="141413"/>
          <w:lang w:eastAsia="zh-CN"/>
        </w:rPr>
        <w:t xml:space="preserve"> and others found </w:t>
      </w:r>
      <w:r>
        <w:rPr>
          <w:color w:val="141413"/>
          <w:lang w:eastAsia="zh-CN"/>
        </w:rPr>
        <w:t xml:space="preserve">that </w:t>
      </w:r>
      <w:r w:rsidR="00DD015F">
        <w:rPr>
          <w:color w:val="141413"/>
          <w:lang w:eastAsia="zh-CN"/>
        </w:rPr>
        <w:t>FiF</w:t>
      </w:r>
      <w:r w:rsidRPr="002F3A26">
        <w:rPr>
          <w:color w:val="141413"/>
          <w:lang w:eastAsia="zh-CN"/>
        </w:rPr>
        <w:t xml:space="preserve"> </w:t>
      </w:r>
      <w:r>
        <w:rPr>
          <w:color w:val="141413"/>
          <w:lang w:eastAsia="zh-CN"/>
        </w:rPr>
        <w:t xml:space="preserve">students </w:t>
      </w:r>
      <w:r w:rsidRPr="002F3A26">
        <w:rPr>
          <w:color w:val="141413"/>
          <w:lang w:eastAsia="zh-CN"/>
        </w:rPr>
        <w:t xml:space="preserve">are </w:t>
      </w:r>
      <w:r w:rsidRPr="002F3A26">
        <w:rPr>
          <w:lang w:eastAsia="zh-CN"/>
        </w:rPr>
        <w:t xml:space="preserve">more likely to enrol in university for directly job-related motives, which are </w:t>
      </w:r>
      <w:r>
        <w:rPr>
          <w:lang w:eastAsia="zh-CN"/>
        </w:rPr>
        <w:t>“</w:t>
      </w:r>
      <w:r w:rsidRPr="002F3A26">
        <w:rPr>
          <w:lang w:eastAsia="zh-CN"/>
        </w:rPr>
        <w:t>improving my job prospects</w:t>
      </w:r>
      <w:r>
        <w:rPr>
          <w:lang w:eastAsia="zh-CN"/>
        </w:rPr>
        <w:t>”</w:t>
      </w:r>
      <w:r w:rsidRPr="002F3A26">
        <w:rPr>
          <w:lang w:eastAsia="zh-CN"/>
        </w:rPr>
        <w:t xml:space="preserve"> and </w:t>
      </w:r>
      <w:r>
        <w:rPr>
          <w:lang w:eastAsia="zh-CN"/>
        </w:rPr>
        <w:t>“</w:t>
      </w:r>
      <w:r w:rsidRPr="002F3A26">
        <w:rPr>
          <w:lang w:eastAsia="zh-CN"/>
        </w:rPr>
        <w:t>getting training for a specific job</w:t>
      </w:r>
      <w:r>
        <w:rPr>
          <w:lang w:eastAsia="zh-CN"/>
        </w:rPr>
        <w:t>”</w:t>
      </w:r>
      <w:r w:rsidRPr="002F3A26">
        <w:rPr>
          <w:lang w:eastAsia="zh-CN"/>
        </w:rPr>
        <w:t xml:space="preserve"> (Krause et al., 2005, p. 12; Stahl &amp; McDonald, 2022). This pattern </w:t>
      </w:r>
      <w:r>
        <w:rPr>
          <w:lang w:eastAsia="zh-CN"/>
        </w:rPr>
        <w:t>wa</w:t>
      </w:r>
      <w:r w:rsidRPr="002F3A26">
        <w:rPr>
          <w:lang w:eastAsia="zh-CN"/>
        </w:rPr>
        <w:t>s further validated by following studies (Luzeckyj et al., 2011; Luzeckyj et al., 2017).</w:t>
      </w:r>
    </w:p>
    <w:p w14:paraId="6023B7D8" w14:textId="276A8597" w:rsidR="0073052C" w:rsidRPr="002F3A26" w:rsidRDefault="0073052C" w:rsidP="0073052C">
      <w:pPr>
        <w:rPr>
          <w:rFonts w:ascii="Segoe UI" w:hAnsi="Segoe UI" w:cs="Segoe UI"/>
          <w:sz w:val="18"/>
          <w:szCs w:val="18"/>
          <w:lang w:eastAsia="zh-CN"/>
        </w:rPr>
      </w:pPr>
      <w:r>
        <w:rPr>
          <w:lang w:eastAsia="zh-CN"/>
        </w:rPr>
        <w:t>Furthermore, m</w:t>
      </w:r>
      <w:r w:rsidRPr="002F3A26">
        <w:rPr>
          <w:lang w:eastAsia="zh-CN"/>
        </w:rPr>
        <w:t xml:space="preserve">uch of the scholarship on </w:t>
      </w:r>
      <w:r>
        <w:rPr>
          <w:lang w:eastAsia="zh-CN"/>
        </w:rPr>
        <w:t>FiF</w:t>
      </w:r>
      <w:r w:rsidRPr="002F3A26">
        <w:rPr>
          <w:lang w:eastAsia="zh-CN"/>
        </w:rPr>
        <w:t xml:space="preserve"> students highlights how they are very committed to </w:t>
      </w:r>
      <w:r>
        <w:rPr>
          <w:lang w:eastAsia="zh-CN"/>
        </w:rPr>
        <w:t>becoming</w:t>
      </w:r>
      <w:r w:rsidRPr="002F3A26">
        <w:rPr>
          <w:lang w:eastAsia="zh-CN"/>
        </w:rPr>
        <w:t xml:space="preserve"> socially mobile. While they </w:t>
      </w:r>
      <w:r>
        <w:rPr>
          <w:lang w:eastAsia="zh-CN"/>
        </w:rPr>
        <w:t>recognise</w:t>
      </w:r>
      <w:r w:rsidRPr="002F3A26">
        <w:rPr>
          <w:lang w:eastAsia="zh-CN"/>
        </w:rPr>
        <w:t xml:space="preserve"> their path may be unconventional and risky, this can often inspire them to be persistent (</w:t>
      </w:r>
      <w:r w:rsidRPr="002F3A26">
        <w:rPr>
          <w:color w:val="222222"/>
          <w:lang w:eastAsia="zh-CN"/>
        </w:rPr>
        <w:t>Delahunty &amp; O’Shea, 2024)</w:t>
      </w:r>
      <w:r w:rsidRPr="002F3A26">
        <w:rPr>
          <w:lang w:eastAsia="zh-CN"/>
        </w:rPr>
        <w:t xml:space="preserve">. Additionally, research continues to document how FiF students exhibit a strict work ethic and essential time-management skills, </w:t>
      </w:r>
      <w:r>
        <w:rPr>
          <w:lang w:eastAsia="zh-CN"/>
        </w:rPr>
        <w:t xml:space="preserve">which are </w:t>
      </w:r>
      <w:r w:rsidRPr="002F3A26">
        <w:rPr>
          <w:lang w:eastAsia="zh-CN"/>
        </w:rPr>
        <w:t>crucial for balancing university commitments with family obligations. Research by Aries and Seider (2005) and Byrd and MacDonald (2005) emphasise</w:t>
      </w:r>
      <w:r w:rsidR="00D6027C">
        <w:rPr>
          <w:lang w:eastAsia="zh-CN"/>
        </w:rPr>
        <w:t>s</w:t>
      </w:r>
      <w:r w:rsidRPr="002F3A26">
        <w:rPr>
          <w:lang w:eastAsia="zh-CN"/>
        </w:rPr>
        <w:t xml:space="preserve"> how these students effectively manage their time and develop disciplined study habits, demonstrating their commitment and adaptability. Research by </w:t>
      </w:r>
      <w:r w:rsidRPr="002F3A26">
        <w:rPr>
          <w:color w:val="222222"/>
          <w:lang w:eastAsia="zh-CN"/>
        </w:rPr>
        <w:t>McCafferty, Tomlinson</w:t>
      </w:r>
      <w:r w:rsidR="00D6027C">
        <w:rPr>
          <w:color w:val="222222"/>
          <w:lang w:eastAsia="zh-CN"/>
        </w:rPr>
        <w:t>,</w:t>
      </w:r>
      <w:r w:rsidRPr="002F3A26">
        <w:rPr>
          <w:color w:val="222222"/>
          <w:lang w:eastAsia="zh-CN"/>
        </w:rPr>
        <w:t xml:space="preserve"> </w:t>
      </w:r>
      <w:r w:rsidR="00D6027C">
        <w:rPr>
          <w:color w:val="222222"/>
          <w:lang w:eastAsia="zh-CN"/>
        </w:rPr>
        <w:t>and</w:t>
      </w:r>
      <w:r w:rsidRPr="002F3A26">
        <w:rPr>
          <w:color w:val="222222"/>
          <w:lang w:eastAsia="zh-CN"/>
        </w:rPr>
        <w:t xml:space="preserve"> Kirby (2024) documented </w:t>
      </w:r>
      <w:r>
        <w:rPr>
          <w:color w:val="222222"/>
          <w:lang w:eastAsia="zh-CN"/>
        </w:rPr>
        <w:t>that</w:t>
      </w:r>
      <w:r w:rsidRPr="002F3A26">
        <w:rPr>
          <w:color w:val="222222"/>
          <w:lang w:eastAsia="zh-CN"/>
        </w:rPr>
        <w:t xml:space="preserve"> FiF students recogni</w:t>
      </w:r>
      <w:r w:rsidR="00D6027C">
        <w:rPr>
          <w:color w:val="222222"/>
          <w:lang w:eastAsia="zh-CN"/>
        </w:rPr>
        <w:t>s</w:t>
      </w:r>
      <w:r w:rsidRPr="002F3A26">
        <w:rPr>
          <w:color w:val="222222"/>
          <w:lang w:eastAsia="zh-CN"/>
        </w:rPr>
        <w:t xml:space="preserve">ed the value of leveraging their capitals through activities like work experience and extracurriculars. However, their readiness to acquire capitals varied and appeared to depend heavily on formative experiences. Importantly, they found that students were unable to fully develop their employability capital during their studies, something others might take for granted. </w:t>
      </w:r>
      <w:r w:rsidRPr="002F3A26">
        <w:rPr>
          <w:lang w:eastAsia="zh-CN"/>
        </w:rPr>
        <w:t>King et al. (2015) assert that many FiF students display a high level of autonomy, arriving at university with significant motivational strengths drawn from challenging life experiences, which help them thrive academically.</w:t>
      </w:r>
    </w:p>
    <w:p w14:paraId="03E829BD" w14:textId="4CA43786" w:rsidR="009D6D47" w:rsidRPr="002F3A26" w:rsidRDefault="0073052C" w:rsidP="0073052C">
      <w:pPr>
        <w:spacing w:line="259" w:lineRule="auto"/>
      </w:pPr>
      <w:r w:rsidRPr="4318E8C3">
        <w:rPr>
          <w:lang w:eastAsia="en-AU"/>
        </w:rPr>
        <w:t xml:space="preserve">In summary, there is rich theoretical and empirical literature linking social background to educational outcomes. Parental education has been identified as a key factor affecting educational trajectories. Studies focused on FiF students have provided ample evidence of their disadvantage in higher education. </w:t>
      </w:r>
      <w:r w:rsidRPr="26474FC5">
        <w:rPr>
          <w:lang w:eastAsia="en-AU"/>
        </w:rPr>
        <w:t xml:space="preserve">FiF students </w:t>
      </w:r>
      <w:r w:rsidRPr="4318E8C3">
        <w:rPr>
          <w:lang w:eastAsia="zh-CN"/>
        </w:rPr>
        <w:t>are characteri</w:t>
      </w:r>
      <w:r w:rsidR="00D6027C">
        <w:rPr>
          <w:lang w:eastAsia="zh-CN"/>
        </w:rPr>
        <w:t>s</w:t>
      </w:r>
      <w:r w:rsidRPr="4318E8C3">
        <w:rPr>
          <w:lang w:eastAsia="zh-CN"/>
        </w:rPr>
        <w:t xml:space="preserve">ed by their </w:t>
      </w:r>
      <w:r w:rsidR="00DD015F">
        <w:rPr>
          <w:lang w:eastAsia="zh-CN"/>
        </w:rPr>
        <w:t>different educational aspirations (</w:t>
      </w:r>
      <w:r w:rsidR="00DD015F" w:rsidRPr="00183B2F">
        <w:rPr>
          <w:rStyle w:val="Emphasis"/>
          <w:rFonts w:eastAsiaTheme="majorEastAsia"/>
          <w:i w:val="0"/>
          <w:iCs w:val="0"/>
          <w:color w:val="0E101A"/>
        </w:rPr>
        <w:t xml:space="preserve">Patfield, Gore, </w:t>
      </w:r>
      <w:r w:rsidR="00DD015F">
        <w:rPr>
          <w:rStyle w:val="Emphasis"/>
          <w:rFonts w:eastAsiaTheme="majorEastAsia"/>
          <w:i w:val="0"/>
          <w:iCs w:val="0"/>
          <w:color w:val="0E101A"/>
        </w:rPr>
        <w:t>&amp;</w:t>
      </w:r>
      <w:r w:rsidR="00DD015F" w:rsidRPr="00183B2F">
        <w:rPr>
          <w:rStyle w:val="Emphasis"/>
          <w:rFonts w:eastAsiaTheme="majorEastAsia"/>
          <w:i w:val="0"/>
          <w:iCs w:val="0"/>
          <w:color w:val="0E101A"/>
        </w:rPr>
        <w:t xml:space="preserve"> Weaver</w:t>
      </w:r>
      <w:r w:rsidR="00DD015F">
        <w:rPr>
          <w:rStyle w:val="Emphasis"/>
          <w:rFonts w:eastAsiaTheme="majorEastAsia"/>
          <w:i w:val="0"/>
          <w:iCs w:val="0"/>
          <w:color w:val="0E101A"/>
        </w:rPr>
        <w:t xml:space="preserve">, </w:t>
      </w:r>
      <w:r w:rsidR="00DD015F" w:rsidRPr="00183B2F">
        <w:rPr>
          <w:rStyle w:val="Emphasis"/>
          <w:rFonts w:eastAsiaTheme="majorEastAsia"/>
          <w:i w:val="0"/>
          <w:iCs w:val="0"/>
          <w:color w:val="0E101A"/>
        </w:rPr>
        <w:t>2022</w:t>
      </w:r>
      <w:r w:rsidR="00DD015F">
        <w:rPr>
          <w:lang w:eastAsia="zh-CN"/>
        </w:rPr>
        <w:t xml:space="preserve">), </w:t>
      </w:r>
      <w:r w:rsidRPr="4318E8C3">
        <w:rPr>
          <w:lang w:eastAsia="zh-CN"/>
        </w:rPr>
        <w:t xml:space="preserve">practical motivations for higher education, identity management, and the significant barriers they face in adapting to </w:t>
      </w:r>
      <w:r w:rsidRPr="4318E8C3">
        <w:rPr>
          <w:lang w:eastAsia="zh-CN"/>
        </w:rPr>
        <w:lastRenderedPageBreak/>
        <w:t xml:space="preserve">university life (Gore, Holmes, Smith, Lyell, et al., 2015; Gore, Holmes, Smith, Southgate, et al., 2015). </w:t>
      </w:r>
      <w:r w:rsidRPr="4318E8C3">
        <w:rPr>
          <w:lang w:eastAsia="en-AU"/>
        </w:rPr>
        <w:t xml:space="preserve">The </w:t>
      </w:r>
      <w:r w:rsidR="00DD015F">
        <w:rPr>
          <w:lang w:eastAsia="en-AU"/>
        </w:rPr>
        <w:t>lower level of</w:t>
      </w:r>
      <w:r w:rsidRPr="4318E8C3">
        <w:rPr>
          <w:lang w:eastAsia="en-AU"/>
        </w:rPr>
        <w:t xml:space="preserve"> cultural capital</w:t>
      </w:r>
      <w:r w:rsidR="00DD015F">
        <w:rPr>
          <w:lang w:eastAsia="en-AU"/>
        </w:rPr>
        <w:t xml:space="preserve"> as well as reduced availability of </w:t>
      </w:r>
      <w:r w:rsidRPr="4318E8C3">
        <w:rPr>
          <w:lang w:eastAsia="en-AU"/>
        </w:rPr>
        <w:t>mentoring</w:t>
      </w:r>
      <w:r w:rsidR="00DD015F">
        <w:rPr>
          <w:lang w:eastAsia="en-AU"/>
        </w:rPr>
        <w:t xml:space="preserve"> </w:t>
      </w:r>
      <w:r w:rsidRPr="4318E8C3">
        <w:rPr>
          <w:lang w:eastAsia="en-AU"/>
        </w:rPr>
        <w:t xml:space="preserve">and guidance </w:t>
      </w:r>
      <w:r w:rsidR="00DD015F">
        <w:rPr>
          <w:lang w:eastAsia="en-AU"/>
        </w:rPr>
        <w:t xml:space="preserve">compared to non-FiF students </w:t>
      </w:r>
      <w:r w:rsidRPr="4318E8C3">
        <w:rPr>
          <w:lang w:eastAsia="en-AU"/>
        </w:rPr>
        <w:t xml:space="preserve">are important factors hindering FiF </w:t>
      </w:r>
      <w:r w:rsidR="00384C3B" w:rsidRPr="4318E8C3">
        <w:rPr>
          <w:lang w:eastAsia="en-AU"/>
        </w:rPr>
        <w:t>students’</w:t>
      </w:r>
      <w:r w:rsidRPr="4318E8C3">
        <w:rPr>
          <w:lang w:eastAsia="en-AU"/>
        </w:rPr>
        <w:t xml:space="preserve"> success. Both in Australia and internationally, there is evidence that FiF students choose educational pathways differently from their more advantaged peers. However, in Australia, the evidence on FiF students comes mostly from small-scale, mostly qualitative studies. This study aims to close that research gap by drawing on whole-of-population data to provide robust evidence on the disadvantage in university access of individuals whose parents did not complete higher education. The next section presents the methodology.</w:t>
      </w:r>
      <w:r w:rsidR="00037321">
        <w:br w:type="page"/>
      </w:r>
    </w:p>
    <w:p w14:paraId="7C95D9F9" w14:textId="77777777" w:rsidR="009D6D47" w:rsidRPr="002F3A26" w:rsidRDefault="009D6D47" w:rsidP="00942F29">
      <w:pPr>
        <w:pStyle w:val="Heading1"/>
      </w:pPr>
      <w:bookmarkStart w:id="16" w:name="_Toc202791793"/>
      <w:r w:rsidRPr="002F3A26">
        <w:lastRenderedPageBreak/>
        <w:t>Methods</w:t>
      </w:r>
      <w:bookmarkEnd w:id="16"/>
    </w:p>
    <w:p w14:paraId="2FF98FCB" w14:textId="77777777" w:rsidR="00C8071D" w:rsidRPr="002F3A26" w:rsidRDefault="00C8071D" w:rsidP="0099076D">
      <w:pPr>
        <w:pStyle w:val="Heading2"/>
      </w:pPr>
      <w:bookmarkStart w:id="17" w:name="_Toc202791794"/>
      <w:r w:rsidRPr="002F3A26">
        <w:t>Data and sample selection</w:t>
      </w:r>
      <w:bookmarkEnd w:id="17"/>
    </w:p>
    <w:p w14:paraId="7F9915F8" w14:textId="548FA2ED" w:rsidR="000710D1" w:rsidRPr="002F3A26" w:rsidRDefault="000710D1" w:rsidP="00C8071D">
      <w:pPr>
        <w:rPr>
          <w:color w:val="000000"/>
        </w:rPr>
      </w:pPr>
      <w:r w:rsidRPr="002F3A26">
        <w:rPr>
          <w:color w:val="000000"/>
        </w:rPr>
        <w:t>This study leveraged a PLIDA data extract comprising, among others, the 2016 Census data linked to immigration records provided by the</w:t>
      </w:r>
      <w:r w:rsidR="00D6027C">
        <w:rPr>
          <w:color w:val="000000"/>
        </w:rPr>
        <w:t xml:space="preserve"> Australian Government</w:t>
      </w:r>
      <w:r w:rsidRPr="002F3A26">
        <w:rPr>
          <w:color w:val="000000"/>
        </w:rPr>
        <w:t xml:space="preserve"> Department of Home Affairs and HEIMS </w:t>
      </w:r>
      <w:r w:rsidR="00342FEC" w:rsidRPr="002F3A26">
        <w:rPr>
          <w:color w:val="000000"/>
        </w:rPr>
        <w:t xml:space="preserve">records </w:t>
      </w:r>
      <w:r w:rsidRPr="002F3A26">
        <w:rPr>
          <w:color w:val="000000"/>
        </w:rPr>
        <w:t>provided by the</w:t>
      </w:r>
      <w:r w:rsidR="00D6027C">
        <w:rPr>
          <w:color w:val="000000"/>
        </w:rPr>
        <w:t xml:space="preserve"> Australian Government</w:t>
      </w:r>
      <w:r w:rsidRPr="002F3A26">
        <w:rPr>
          <w:color w:val="000000"/>
        </w:rPr>
        <w:t xml:space="preserve"> Department of Education. Census data included information about family structures, which allowed us to link children to their parents. We used Census data on individuals aged 16 or 17 years at the time of the Census, </w:t>
      </w:r>
      <w:r w:rsidR="003D3D3A">
        <w:rPr>
          <w:color w:val="000000"/>
        </w:rPr>
        <w:t>that is</w:t>
      </w:r>
      <w:r w:rsidRPr="002F3A26">
        <w:rPr>
          <w:color w:val="000000"/>
        </w:rPr>
        <w:t>, born in 1999 or 2000, who lived with at least one parent</w:t>
      </w:r>
      <w:r w:rsidR="00D6027C">
        <w:rPr>
          <w:color w:val="000000"/>
        </w:rPr>
        <w:t>,</w:t>
      </w:r>
      <w:r w:rsidRPr="002F3A26">
        <w:rPr>
          <w:color w:val="000000"/>
        </w:rPr>
        <w:t xml:space="preserve"> to capture their social background, including parental education. By bringing in immigration records, the sample </w:t>
      </w:r>
      <w:r w:rsidR="00BE3786">
        <w:rPr>
          <w:color w:val="000000"/>
        </w:rPr>
        <w:t xml:space="preserve">was narrowed </w:t>
      </w:r>
      <w:r w:rsidRPr="002F3A26">
        <w:rPr>
          <w:color w:val="000000"/>
        </w:rPr>
        <w:t xml:space="preserve">to individuals eligible for government-supported places at Australian universities, that is, Australian citizens and permanent residents. Higher education records </w:t>
      </w:r>
      <w:r w:rsidR="00B03E06">
        <w:rPr>
          <w:color w:val="000000"/>
        </w:rPr>
        <w:t xml:space="preserve">were used to </w:t>
      </w:r>
      <w:r w:rsidRPr="002F3A26">
        <w:rPr>
          <w:color w:val="000000"/>
        </w:rPr>
        <w:t>track their university enrolment status until 2019. The final analytic dataset comprised 443,609 individuals.</w:t>
      </w:r>
    </w:p>
    <w:p w14:paraId="7F47938D" w14:textId="69F580DC" w:rsidR="00C8071D" w:rsidRPr="002F3A26" w:rsidRDefault="007F5CA7" w:rsidP="0099076D">
      <w:pPr>
        <w:pStyle w:val="Heading2"/>
      </w:pPr>
      <w:r w:rsidRPr="002F3A26">
        <w:t xml:space="preserve"> </w:t>
      </w:r>
      <w:bookmarkStart w:id="18" w:name="_Toc202791795"/>
      <w:r w:rsidR="00C8071D" w:rsidRPr="002F3A26">
        <w:t>Measures</w:t>
      </w:r>
      <w:bookmarkEnd w:id="18"/>
    </w:p>
    <w:p w14:paraId="43B17B56" w14:textId="77777777" w:rsidR="002546E0" w:rsidRPr="002F3A26" w:rsidRDefault="002546E0" w:rsidP="004F64B4">
      <w:pPr>
        <w:pStyle w:val="Heading3"/>
      </w:pPr>
      <w:bookmarkStart w:id="19" w:name="_Outcome_variables"/>
      <w:bookmarkStart w:id="20" w:name="_Toc202791796"/>
      <w:bookmarkEnd w:id="19"/>
      <w:r>
        <w:t>Outcome</w:t>
      </w:r>
      <w:r w:rsidRPr="002F3A26">
        <w:t xml:space="preserve"> variables</w:t>
      </w:r>
      <w:bookmarkEnd w:id="20"/>
    </w:p>
    <w:p w14:paraId="0AD5603F" w14:textId="54647B99" w:rsidR="002546E0" w:rsidRPr="002F3A26" w:rsidRDefault="002546E0" w:rsidP="002546E0">
      <w:r w:rsidRPr="002F3A26">
        <w:t xml:space="preserve">Enrolment in higher education and field of study </w:t>
      </w:r>
      <w:r>
        <w:t>were</w:t>
      </w:r>
      <w:r w:rsidRPr="002F3A26">
        <w:t xml:space="preserve"> the primary outcome variables in this study. Enrolment i</w:t>
      </w:r>
      <w:r>
        <w:t>n</w:t>
      </w:r>
      <w:r w:rsidRPr="002F3A26">
        <w:t xml:space="preserve"> higher education </w:t>
      </w:r>
      <w:r>
        <w:t>wa</w:t>
      </w:r>
      <w:r w:rsidRPr="002F3A26">
        <w:t>s defined as commencing any bachelor’s level course by the age of 19. That means that enrolments are tracked until 2018 for the cohort born in 1999 and until 2019 for the cohort born in 2000.</w:t>
      </w:r>
      <w:r w:rsidR="00BB1177">
        <w:t xml:space="preserve"> By </w:t>
      </w:r>
      <w:r w:rsidR="00AE1967">
        <w:t>the age of 19,</w:t>
      </w:r>
      <w:r w:rsidRPr="002F3A26">
        <w:t xml:space="preserve"> 44% of the sample </w:t>
      </w:r>
      <w:r w:rsidR="005404CE">
        <w:t xml:space="preserve">were </w:t>
      </w:r>
      <w:r w:rsidRPr="002F3A26">
        <w:t>enrolled in higher education.</w:t>
      </w:r>
    </w:p>
    <w:p w14:paraId="36DA07BC" w14:textId="3E07F7A8" w:rsidR="002546E0" w:rsidRPr="002F3A26" w:rsidRDefault="002546E0" w:rsidP="002546E0">
      <w:r w:rsidRPr="002F3A26">
        <w:t xml:space="preserve">Fields of study </w:t>
      </w:r>
      <w:r>
        <w:t>were</w:t>
      </w:r>
      <w:r w:rsidRPr="002F3A26">
        <w:t xml:space="preserve"> grouped using the </w:t>
      </w:r>
      <w:r w:rsidR="00472B47">
        <w:t>highest level</w:t>
      </w:r>
      <w:r w:rsidRPr="002F3A26">
        <w:t xml:space="preserve"> </w:t>
      </w:r>
      <w:r w:rsidR="00472B47">
        <w:t xml:space="preserve">in </w:t>
      </w:r>
      <w:r w:rsidRPr="002F3A26">
        <w:t>the Australian Standard Classification of Education, that is</w:t>
      </w:r>
      <w:r w:rsidR="00472B47">
        <w:t>,</w:t>
      </w:r>
      <w:r w:rsidRPr="002F3A26">
        <w:t xml:space="preserve"> broad fields of study (2-digit code). There </w:t>
      </w:r>
      <w:r>
        <w:t>were</w:t>
      </w:r>
      <w:r w:rsidRPr="002F3A26">
        <w:t xml:space="preserve"> ten broad fields in higher education: natural and physical sciences, information technology, engineering and related technologies, architecture and building, agriculture, environmental and related studies, health, education, management and commerce, society and culture, and creative arts. However, the standard classification </w:t>
      </w:r>
      <w:r>
        <w:t>was</w:t>
      </w:r>
      <w:r w:rsidRPr="002F3A26">
        <w:t xml:space="preserve"> modified to distinguish two narrow fields</w:t>
      </w:r>
      <w:r w:rsidR="00937FDA">
        <w:t>—</w:t>
      </w:r>
      <w:r w:rsidRPr="002F3A26">
        <w:t>law and medical studies</w:t>
      </w:r>
      <w:r w:rsidR="00937FDA">
        <w:t>—</w:t>
      </w:r>
      <w:r w:rsidRPr="002F3A26">
        <w:t xml:space="preserve">which stand out from their broad fields, society and culture and health, respectively. These are prestigious fields </w:t>
      </w:r>
      <w:r w:rsidR="00DB06A3">
        <w:t>with</w:t>
      </w:r>
      <w:r w:rsidR="00023522" w:rsidRPr="00023522">
        <w:t xml:space="preserve"> strong ties to high-earning </w:t>
      </w:r>
      <w:r w:rsidR="00023522" w:rsidRPr="00200F94">
        <w:t>career paths</w:t>
      </w:r>
      <w:r w:rsidRPr="00200F94">
        <w:t xml:space="preserve">. </w:t>
      </w:r>
      <w:r w:rsidR="003607F3">
        <w:fldChar w:fldCharType="begin"/>
      </w:r>
      <w:r w:rsidR="003607F3">
        <w:instrText xml:space="preserve"> REF _Ref192860489 \h </w:instrText>
      </w:r>
      <w:r w:rsidR="003607F3">
        <w:fldChar w:fldCharType="separate"/>
      </w:r>
      <w:r w:rsidR="00627572">
        <w:t xml:space="preserve">Table </w:t>
      </w:r>
      <w:r w:rsidR="00627572">
        <w:rPr>
          <w:noProof/>
        </w:rPr>
        <w:t>B</w:t>
      </w:r>
      <w:r w:rsidR="00627572">
        <w:noBreakHyphen/>
      </w:r>
      <w:r w:rsidR="00627572">
        <w:rPr>
          <w:noProof/>
        </w:rPr>
        <w:t>1:</w:t>
      </w:r>
      <w:r w:rsidR="00627572">
        <w:t xml:space="preserve"> Descriptive statistics of all variables included in the analyses</w:t>
      </w:r>
      <w:r w:rsidR="003607F3">
        <w:fldChar w:fldCharType="end"/>
      </w:r>
      <w:r w:rsidR="002B2876">
        <w:t xml:space="preserve"> </w:t>
      </w:r>
      <w:r w:rsidR="002B2876">
        <w:fldChar w:fldCharType="begin"/>
      </w:r>
      <w:r w:rsidR="002B2876">
        <w:instrText xml:space="preserve"> REF _Ref191461657 \r \h </w:instrText>
      </w:r>
      <w:r w:rsidR="002B2876">
        <w:fldChar w:fldCharType="separate"/>
      </w:r>
      <w:r w:rsidR="00627572">
        <w:t>10.Appendix B</w:t>
      </w:r>
      <w:r w:rsidR="002B2876">
        <w:fldChar w:fldCharType="end"/>
      </w:r>
      <w:r w:rsidR="00200F94" w:rsidRPr="00871A8E">
        <w:t xml:space="preserve"> </w:t>
      </w:r>
      <w:r w:rsidRPr="00200F94">
        <w:t>presents</w:t>
      </w:r>
      <w:r w:rsidRPr="002F3A26">
        <w:t xml:space="preserve"> the distribution of fields of study.</w:t>
      </w:r>
    </w:p>
    <w:p w14:paraId="78C866A0" w14:textId="3C0D1047" w:rsidR="002546E0" w:rsidRDefault="002546E0" w:rsidP="002546E0">
      <w:r w:rsidRPr="002F3A26">
        <w:t>Selective institutions might be particularly inaccessible to individuals from</w:t>
      </w:r>
      <w:r w:rsidR="00AE1884">
        <w:t xml:space="preserve"> underrepresented</w:t>
      </w:r>
      <w:r w:rsidRPr="002F3A26">
        <w:t xml:space="preserve"> backgrounds. To allow investigation of the effects of the </w:t>
      </w:r>
      <w:r w:rsidR="00472B47">
        <w:t>FiF</w:t>
      </w:r>
      <w:r w:rsidRPr="002F3A26">
        <w:t xml:space="preserve"> status on access to the most selective universities, the analysis included </w:t>
      </w:r>
      <w:r>
        <w:t xml:space="preserve">a </w:t>
      </w:r>
      <w:r w:rsidRPr="002F3A26">
        <w:t>variable captur</w:t>
      </w:r>
      <w:r>
        <w:t>ing</w:t>
      </w:r>
      <w:r w:rsidRPr="002F3A26">
        <w:t xml:space="preserve"> enrolment in the selective institutions</w:t>
      </w:r>
      <w:r>
        <w:t>.</w:t>
      </w:r>
      <w:r w:rsidRPr="002F3A26">
        <w:t xml:space="preserve"> </w:t>
      </w:r>
      <w:r>
        <w:t>T</w:t>
      </w:r>
      <w:r w:rsidRPr="002F3A26">
        <w:t xml:space="preserve">he most selective institutions were </w:t>
      </w:r>
      <w:r>
        <w:t>chosen</w:t>
      </w:r>
      <w:r w:rsidRPr="002F3A26">
        <w:t xml:space="preserve"> using the average tertiary entrance score of commencing students. </w:t>
      </w:r>
      <w:r w:rsidR="00472B47">
        <w:t>The top</w:t>
      </w:r>
      <w:r w:rsidRPr="002F3A26">
        <w:t xml:space="preserve"> </w:t>
      </w:r>
      <w:r w:rsidR="00472B47">
        <w:t>one-third</w:t>
      </w:r>
      <w:r w:rsidRPr="002F3A26">
        <w:t xml:space="preserve"> of institutions were classified as selective. Among those who enrolled in higher education</w:t>
      </w:r>
      <w:r w:rsidR="00472B47">
        <w:t>,</w:t>
      </w:r>
      <w:r w:rsidRPr="002F3A26">
        <w:t xml:space="preserve"> 46% enrolled in a selective institution.</w:t>
      </w:r>
    </w:p>
    <w:p w14:paraId="51087E50" w14:textId="1EC4DCC8" w:rsidR="000710D1" w:rsidRPr="002F3A26" w:rsidRDefault="00E61E05" w:rsidP="004F64B4">
      <w:pPr>
        <w:pStyle w:val="Heading3"/>
      </w:pPr>
      <w:bookmarkStart w:id="21" w:name="_Toc202791797"/>
      <w:r>
        <w:lastRenderedPageBreak/>
        <w:t>First-in-Family</w:t>
      </w:r>
      <w:r w:rsidR="000710D1" w:rsidRPr="002F3A26">
        <w:t xml:space="preserve"> status</w:t>
      </w:r>
      <w:bookmarkEnd w:id="21"/>
    </w:p>
    <w:p w14:paraId="01C60646" w14:textId="0C943433" w:rsidR="000710D1" w:rsidRPr="002F3A26" w:rsidRDefault="00000C48" w:rsidP="000710D1">
      <w:pPr>
        <w:rPr>
          <w:lang w:eastAsia="en-AU"/>
        </w:rPr>
      </w:pPr>
      <w:r>
        <w:t>The</w:t>
      </w:r>
      <w:r w:rsidR="000710D1" w:rsidRPr="002F3A26">
        <w:t xml:space="preserve"> primary variable of interest was </w:t>
      </w:r>
      <w:r w:rsidR="00472B47">
        <w:t>FiF</w:t>
      </w:r>
      <w:r w:rsidR="000710D1" w:rsidRPr="002F3A26">
        <w:t xml:space="preserve"> status.</w:t>
      </w:r>
      <w:r w:rsidR="002546E0">
        <w:t xml:space="preserve"> </w:t>
      </w:r>
      <w:r w:rsidR="000710D1" w:rsidRPr="002F3A26">
        <w:t>Th</w:t>
      </w:r>
      <w:r w:rsidR="00C368B1">
        <w:t>is</w:t>
      </w:r>
      <w:r w:rsidR="000710D1" w:rsidRPr="002F3A26">
        <w:t xml:space="preserve"> indicator </w:t>
      </w:r>
      <w:r w:rsidR="00431994">
        <w:t>wa</w:t>
      </w:r>
      <w:r w:rsidR="00AC69C8" w:rsidRPr="002F3A26">
        <w:t>s</w:t>
      </w:r>
      <w:r w:rsidR="000710D1" w:rsidRPr="002F3A26">
        <w:t xml:space="preserve"> based on information </w:t>
      </w:r>
      <w:r w:rsidR="00937FDA">
        <w:t>about</w:t>
      </w:r>
      <w:r w:rsidR="00937FDA" w:rsidRPr="002F3A26">
        <w:t xml:space="preserve"> </w:t>
      </w:r>
      <w:r w:rsidR="000710D1" w:rsidRPr="002F3A26">
        <w:t>parental education</w:t>
      </w:r>
      <w:r w:rsidR="00F529CD">
        <w:t xml:space="preserve"> from the Census</w:t>
      </w:r>
      <w:r w:rsidR="000710D1" w:rsidRPr="002F3A26">
        <w:t>. It identifie</w:t>
      </w:r>
      <w:r w:rsidR="00AC69C8" w:rsidRPr="002F3A26">
        <w:t>d</w:t>
      </w:r>
      <w:r w:rsidR="000710D1" w:rsidRPr="002F3A26">
        <w:t xml:space="preserve"> individuals whose parents </w:t>
      </w:r>
      <w:r w:rsidR="00AC69C8" w:rsidRPr="002F3A26">
        <w:t>did</w:t>
      </w:r>
      <w:r w:rsidR="000710D1" w:rsidRPr="002F3A26">
        <w:t xml:space="preserve"> not have </w:t>
      </w:r>
      <w:r w:rsidR="00AC69C8" w:rsidRPr="002F3A26">
        <w:t xml:space="preserve">a </w:t>
      </w:r>
      <w:r w:rsidR="000710D1" w:rsidRPr="002F3A26">
        <w:t xml:space="preserve">higher education degree. </w:t>
      </w:r>
      <w:r w:rsidR="00AC69C8" w:rsidRPr="002F3A26">
        <w:t xml:space="preserve">Within </w:t>
      </w:r>
      <w:r w:rsidR="00A0708F">
        <w:t>the</w:t>
      </w:r>
      <w:r w:rsidR="00A0708F" w:rsidRPr="002F3A26">
        <w:t xml:space="preserve"> </w:t>
      </w:r>
      <w:r w:rsidR="00AC69C8" w:rsidRPr="002F3A26">
        <w:t>sample</w:t>
      </w:r>
      <w:r w:rsidR="00472B47">
        <w:t>,</w:t>
      </w:r>
      <w:r w:rsidR="00AC69C8" w:rsidRPr="002F3A26">
        <w:t xml:space="preserve"> 6</w:t>
      </w:r>
      <w:r w:rsidR="001866F3" w:rsidRPr="002F3A26">
        <w:t>7</w:t>
      </w:r>
      <w:r w:rsidR="00AC69C8" w:rsidRPr="002F3A26">
        <w:t xml:space="preserve">% </w:t>
      </w:r>
      <w:r w:rsidR="00472B47">
        <w:t xml:space="preserve">of </w:t>
      </w:r>
      <w:r w:rsidR="00AC69C8" w:rsidRPr="002F3A26">
        <w:t xml:space="preserve">individuals belonged to </w:t>
      </w:r>
      <w:r w:rsidR="00AC69C8" w:rsidRPr="002F3A26">
        <w:rPr>
          <w:lang w:eastAsia="en-AU"/>
        </w:rPr>
        <w:t xml:space="preserve">the </w:t>
      </w:r>
      <w:r w:rsidR="00431994">
        <w:rPr>
          <w:lang w:eastAsia="en-AU"/>
        </w:rPr>
        <w:t>FiF</w:t>
      </w:r>
      <w:r w:rsidR="00AC69C8" w:rsidRPr="002F3A26">
        <w:rPr>
          <w:lang w:eastAsia="en-AU"/>
        </w:rPr>
        <w:t xml:space="preserve"> category</w:t>
      </w:r>
      <w:r w:rsidR="00AC60F6">
        <w:rPr>
          <w:lang w:eastAsia="en-AU"/>
        </w:rPr>
        <w:t xml:space="preserve">, </w:t>
      </w:r>
      <w:r w:rsidR="009C6811">
        <w:rPr>
          <w:lang w:eastAsia="en-AU"/>
        </w:rPr>
        <w:t>which</w:t>
      </w:r>
      <w:r w:rsidR="00AC60F6">
        <w:rPr>
          <w:lang w:eastAsia="en-AU"/>
        </w:rPr>
        <w:t xml:space="preserve"> is a much larger group than any of the equity groups described in the next section.</w:t>
      </w:r>
    </w:p>
    <w:p w14:paraId="5B29D8F8" w14:textId="2EF92618" w:rsidR="00AC69C8" w:rsidRPr="002F3A26" w:rsidRDefault="00AC69C8" w:rsidP="004F64B4">
      <w:pPr>
        <w:pStyle w:val="Heading3"/>
      </w:pPr>
      <w:bookmarkStart w:id="22" w:name="_Toc202791798"/>
      <w:r w:rsidRPr="002F3A26">
        <w:t>Equity group membersh</w:t>
      </w:r>
      <w:r w:rsidR="001C380E" w:rsidRPr="002F3A26">
        <w:t>ip</w:t>
      </w:r>
      <w:bookmarkEnd w:id="22"/>
    </w:p>
    <w:p w14:paraId="5971B452" w14:textId="2CA3443F" w:rsidR="001C380E" w:rsidRPr="002F3A26" w:rsidRDefault="001C380E" w:rsidP="001C380E">
      <w:pPr>
        <w:rPr>
          <w:rFonts w:ascii="Calibri" w:hAnsi="Calibri"/>
        </w:rPr>
      </w:pPr>
      <w:r w:rsidRPr="002F3A26">
        <w:t xml:space="preserve">Census data </w:t>
      </w:r>
      <w:r w:rsidR="002546E0">
        <w:t xml:space="preserve">were also used </w:t>
      </w:r>
      <w:r w:rsidRPr="002F3A26">
        <w:t>to approximate five of the officially designated equity groups in the Australian higher education system</w:t>
      </w:r>
      <w:r w:rsidRPr="002F3A26">
        <w:rPr>
          <w:bCs/>
        </w:rPr>
        <w:t xml:space="preserve">. </w:t>
      </w:r>
      <w:r w:rsidR="002546E0">
        <w:rPr>
          <w:bCs/>
        </w:rPr>
        <w:t>The constructed variables followed</w:t>
      </w:r>
      <w:r w:rsidRPr="002F3A26">
        <w:rPr>
          <w:bCs/>
        </w:rPr>
        <w:t xml:space="preserve"> </w:t>
      </w:r>
      <w:r w:rsidRPr="002F3A26">
        <w:t>the official definitions used by the Australian Government as closely as possible (Tomaszewski et al., 2020; Zając et al., 2021)</w:t>
      </w:r>
      <w:r w:rsidR="00937FDA">
        <w:t>:</w:t>
      </w:r>
      <w:r w:rsidRPr="002F3A26">
        <w:t xml:space="preserve"> </w:t>
      </w:r>
    </w:p>
    <w:p w14:paraId="7A1FA479" w14:textId="2AA120DB" w:rsidR="001C380E" w:rsidRPr="002F3A26" w:rsidRDefault="001C380E" w:rsidP="00E664C4">
      <w:pPr>
        <w:pStyle w:val="ListParagraph"/>
        <w:numPr>
          <w:ilvl w:val="0"/>
          <w:numId w:val="3"/>
        </w:numPr>
      </w:pPr>
      <w:r w:rsidRPr="002F3A26">
        <w:rPr>
          <w:i/>
        </w:rPr>
        <w:t xml:space="preserve">Non-English Speaking Background (NESB) </w:t>
      </w:r>
      <w:r w:rsidRPr="002F3A26">
        <w:rPr>
          <w:iCs/>
        </w:rPr>
        <w:t>individuals</w:t>
      </w:r>
      <w:r w:rsidRPr="002F3A26">
        <w:t xml:space="preserve"> were foreign-born individuals who reported speaking a language other than English at home</w:t>
      </w:r>
      <w:r w:rsidR="00937FDA">
        <w:t>.</w:t>
      </w:r>
    </w:p>
    <w:p w14:paraId="2AF5AB5F" w14:textId="693DDEDA" w:rsidR="001C380E" w:rsidRPr="002F3A26" w:rsidRDefault="001C380E" w:rsidP="00E664C4">
      <w:pPr>
        <w:pStyle w:val="ListParagraph"/>
        <w:numPr>
          <w:ilvl w:val="0"/>
          <w:numId w:val="3"/>
        </w:numPr>
      </w:pPr>
      <w:r w:rsidRPr="002F3A26">
        <w:rPr>
          <w:i/>
        </w:rPr>
        <w:t>Low socio</w:t>
      </w:r>
      <w:r w:rsidR="00E5577B">
        <w:rPr>
          <w:i/>
        </w:rPr>
        <w:t>-</w:t>
      </w:r>
      <w:r w:rsidRPr="002F3A26">
        <w:rPr>
          <w:i/>
        </w:rPr>
        <w:t xml:space="preserve">economic </w:t>
      </w:r>
      <w:r w:rsidRPr="006128B6">
        <w:rPr>
          <w:i/>
        </w:rPr>
        <w:t xml:space="preserve">status (SES) </w:t>
      </w:r>
      <w:r w:rsidRPr="006128B6">
        <w:t>individuals</w:t>
      </w:r>
      <w:r w:rsidRPr="002F3A26">
        <w:t xml:space="preserve"> were those who lived in the 20% of areas with the lowest values in the Socio-Economic Indexes for Areas (SEIFA) Index of Education and Occupation.</w:t>
      </w:r>
      <w:r w:rsidRPr="002F3A26">
        <w:rPr>
          <w:rStyle w:val="FootnoteReference"/>
          <w:rFonts w:cstheme="minorHAnsi"/>
        </w:rPr>
        <w:footnoteReference w:id="7"/>
      </w:r>
    </w:p>
    <w:p w14:paraId="2DBC2744" w14:textId="7A9596AC" w:rsidR="001C380E" w:rsidRPr="002F3A26" w:rsidRDefault="001B126D" w:rsidP="00E664C4">
      <w:pPr>
        <w:pStyle w:val="ListParagraph"/>
        <w:numPr>
          <w:ilvl w:val="0"/>
          <w:numId w:val="3"/>
        </w:numPr>
      </w:pPr>
      <w:r>
        <w:rPr>
          <w:iCs/>
        </w:rPr>
        <w:t>I</w:t>
      </w:r>
      <w:r w:rsidRPr="002F3A26">
        <w:rPr>
          <w:iCs/>
        </w:rPr>
        <w:t>ndividuals</w:t>
      </w:r>
      <w:r w:rsidRPr="002F3A26">
        <w:t xml:space="preserve"> </w:t>
      </w:r>
      <w:r>
        <w:t xml:space="preserve">from </w:t>
      </w:r>
      <w:r w:rsidR="00524180">
        <w:rPr>
          <w:i/>
        </w:rPr>
        <w:t>r</w:t>
      </w:r>
      <w:r w:rsidRPr="002F3A26">
        <w:rPr>
          <w:i/>
        </w:rPr>
        <w:t>egional</w:t>
      </w:r>
      <w:r>
        <w:rPr>
          <w:i/>
        </w:rPr>
        <w:t xml:space="preserve"> and </w:t>
      </w:r>
      <w:r w:rsidRPr="002F3A26">
        <w:rPr>
          <w:i/>
        </w:rPr>
        <w:t xml:space="preserve">remote (RR) </w:t>
      </w:r>
      <w:r w:rsidRPr="004B6663">
        <w:rPr>
          <w:iCs/>
        </w:rPr>
        <w:t>areas</w:t>
      </w:r>
      <w:r w:rsidRPr="002F3A26">
        <w:t xml:space="preserve"> </w:t>
      </w:r>
      <w:r w:rsidR="001C380E" w:rsidRPr="002F3A26">
        <w:t>were those who lived in areas other than major cities, based on the Australian Statistical Geography Standard (ASGS) Remoteness Structure.</w:t>
      </w:r>
    </w:p>
    <w:p w14:paraId="263B27AF" w14:textId="7BA60D33" w:rsidR="001C380E" w:rsidRPr="002F3A26" w:rsidRDefault="001C380E" w:rsidP="00E664C4">
      <w:pPr>
        <w:pStyle w:val="ListParagraph"/>
        <w:numPr>
          <w:ilvl w:val="0"/>
          <w:numId w:val="3"/>
        </w:numPr>
      </w:pPr>
      <w:r w:rsidRPr="002F3A26">
        <w:rPr>
          <w:i/>
        </w:rPr>
        <w:t xml:space="preserve">Indigenous </w:t>
      </w:r>
      <w:r w:rsidR="00F932F7" w:rsidRPr="002F3A26">
        <w:t xml:space="preserve">individuals </w:t>
      </w:r>
      <w:r w:rsidRPr="002F3A26">
        <w:t>were those who</w:t>
      </w:r>
      <w:r w:rsidR="00F932F7" w:rsidRPr="002F3A26">
        <w:t xml:space="preserve"> identified themselves as being </w:t>
      </w:r>
      <w:r w:rsidRPr="002F3A26">
        <w:t>Aboriginal and/or Torres Strait Islander</w:t>
      </w:r>
      <w:r w:rsidR="00472B47">
        <w:t xml:space="preserve"> in the Census</w:t>
      </w:r>
      <w:r w:rsidRPr="002F3A26">
        <w:t>.</w:t>
      </w:r>
    </w:p>
    <w:p w14:paraId="466E1F18" w14:textId="1416C631" w:rsidR="001C380E" w:rsidRPr="002F3A26" w:rsidRDefault="00F932F7" w:rsidP="00E664C4">
      <w:pPr>
        <w:pStyle w:val="ListParagraph"/>
        <w:numPr>
          <w:ilvl w:val="0"/>
          <w:numId w:val="3"/>
        </w:numPr>
      </w:pPr>
      <w:r w:rsidRPr="002F3A26">
        <w:rPr>
          <w:iCs/>
        </w:rPr>
        <w:t>Individuals</w:t>
      </w:r>
      <w:r w:rsidRPr="002F3A26">
        <w:t xml:space="preserve"> </w:t>
      </w:r>
      <w:r w:rsidR="001C380E" w:rsidRPr="002F3A26">
        <w:rPr>
          <w:i/>
        </w:rPr>
        <w:t>with disability</w:t>
      </w:r>
      <w:r w:rsidR="001C380E" w:rsidRPr="002F3A26">
        <w:t xml:space="preserve"> were </w:t>
      </w:r>
      <w:r w:rsidRPr="002F3A26">
        <w:t>identified using the Census measure capturing the need for assistance with core activities, that is</w:t>
      </w:r>
      <w:r w:rsidR="00472B47">
        <w:t>,</w:t>
      </w:r>
      <w:r w:rsidRPr="002F3A26">
        <w:t xml:space="preserve"> requiring assistance in their </w:t>
      </w:r>
      <w:r w:rsidR="00472B47">
        <w:t>day-to-day</w:t>
      </w:r>
      <w:r w:rsidRPr="002F3A26">
        <w:t xml:space="preserve"> lives due to a long-term health condition (lasting six months or more) or a disability (lasting six months or more).</w:t>
      </w:r>
      <w:r w:rsidR="00ED23F1" w:rsidRPr="002F3A26">
        <w:rPr>
          <w:rStyle w:val="FootnoteReference"/>
        </w:rPr>
        <w:footnoteReference w:id="8"/>
      </w:r>
    </w:p>
    <w:p w14:paraId="4AE51D76" w14:textId="48BDF801" w:rsidR="001C380E" w:rsidRPr="002F3A26" w:rsidRDefault="001C380E" w:rsidP="009659BE">
      <w:r w:rsidRPr="002F3A26">
        <w:t xml:space="preserve">The </w:t>
      </w:r>
      <w:r w:rsidR="00ED23F1" w:rsidRPr="002F3A26">
        <w:t>Women in Non-Traditional Areas (</w:t>
      </w:r>
      <w:r w:rsidRPr="002F3A26">
        <w:t>WINTA</w:t>
      </w:r>
      <w:r w:rsidR="00ED23F1" w:rsidRPr="002F3A26">
        <w:t>)</w:t>
      </w:r>
      <w:r w:rsidRPr="002F3A26">
        <w:t xml:space="preserve"> group </w:t>
      </w:r>
      <w:r w:rsidR="002546E0">
        <w:t>i</w:t>
      </w:r>
      <w:r w:rsidRPr="002F3A26">
        <w:t xml:space="preserve">s not covered in this report. </w:t>
      </w:r>
      <w:r w:rsidR="00420F04" w:rsidRPr="002F3A26">
        <w:t>Membership</w:t>
      </w:r>
      <w:r w:rsidR="00ED23F1" w:rsidRPr="002F3A26">
        <w:t xml:space="preserve"> in this group requires enrolling in specific fields of education.</w:t>
      </w:r>
      <w:r w:rsidRPr="002F3A26">
        <w:t xml:space="preserve"> As such</w:t>
      </w:r>
      <w:r w:rsidR="00472B47">
        <w:t>,</w:t>
      </w:r>
      <w:r w:rsidRPr="002F3A26">
        <w:t xml:space="preserve"> WINTA </w:t>
      </w:r>
      <w:r w:rsidR="002546E0">
        <w:t>could</w:t>
      </w:r>
      <w:r w:rsidRPr="002F3A26">
        <w:t xml:space="preserve"> not</w:t>
      </w:r>
      <w:r w:rsidR="002546E0">
        <w:t xml:space="preserve"> be</w:t>
      </w:r>
      <w:r w:rsidRPr="002F3A26">
        <w:t xml:space="preserve"> included in the analyses</w:t>
      </w:r>
      <w:r w:rsidR="00ED23F1" w:rsidRPr="002F3A26">
        <w:t xml:space="preserve"> as it focuses on the access stage</w:t>
      </w:r>
      <w:r w:rsidRPr="002F3A26">
        <w:t xml:space="preserve">. </w:t>
      </w:r>
      <w:r w:rsidR="00ED23F1" w:rsidRPr="002F3A26">
        <w:t>However, the sex variable from the Census</w:t>
      </w:r>
      <w:r w:rsidR="00ED23F1" w:rsidRPr="002F3A26">
        <w:rPr>
          <w:rStyle w:val="FootnoteReference"/>
        </w:rPr>
        <w:footnoteReference w:id="9"/>
      </w:r>
      <w:r w:rsidR="00ED23F1" w:rsidRPr="002F3A26">
        <w:t xml:space="preserve"> </w:t>
      </w:r>
      <w:r w:rsidR="002546E0">
        <w:t>wa</w:t>
      </w:r>
      <w:r w:rsidR="00ED23F1" w:rsidRPr="002F3A26">
        <w:t>s included among the independent variables.</w:t>
      </w:r>
    </w:p>
    <w:p w14:paraId="2C2D14AF" w14:textId="7793694B" w:rsidR="004C5845" w:rsidRPr="002F3A26" w:rsidRDefault="00ED23F1" w:rsidP="00C8071D">
      <w:r w:rsidRPr="002546E0">
        <w:t xml:space="preserve">Nearly one in five </w:t>
      </w:r>
      <w:r w:rsidR="00472B47">
        <w:t>individuals</w:t>
      </w:r>
      <w:r w:rsidRPr="002546E0">
        <w:t xml:space="preserve"> (18</w:t>
      </w:r>
      <w:r w:rsidR="002546E0" w:rsidRPr="002546E0">
        <w:t>.0</w:t>
      </w:r>
      <w:r w:rsidRPr="002546E0">
        <w:t xml:space="preserve">% of the sample) qualified as </w:t>
      </w:r>
      <w:r w:rsidR="00FD68EF">
        <w:t>l</w:t>
      </w:r>
      <w:r w:rsidRPr="002546E0">
        <w:t>ow SES</w:t>
      </w:r>
      <w:r w:rsidR="009659BE" w:rsidRPr="002546E0">
        <w:t>, 29</w:t>
      </w:r>
      <w:r w:rsidR="002546E0" w:rsidRPr="002546E0">
        <w:t>.0</w:t>
      </w:r>
      <w:r w:rsidR="009659BE" w:rsidRPr="002546E0">
        <w:t>% a</w:t>
      </w:r>
      <w:r w:rsidR="001C380E" w:rsidRPr="002546E0">
        <w:t xml:space="preserve">s </w:t>
      </w:r>
      <w:r w:rsidR="009F5FEC">
        <w:t>RR</w:t>
      </w:r>
      <w:r w:rsidR="001C380E" w:rsidRPr="002546E0">
        <w:t xml:space="preserve">, </w:t>
      </w:r>
      <w:r w:rsidR="002546E0" w:rsidRPr="002546E0">
        <w:t>3.4</w:t>
      </w:r>
      <w:r w:rsidR="001C380E" w:rsidRPr="002546E0">
        <w:t>%</w:t>
      </w:r>
      <w:r w:rsidR="001C380E" w:rsidRPr="002F3A26">
        <w:t xml:space="preserve"> as NESB, </w:t>
      </w:r>
      <w:r w:rsidR="009659BE" w:rsidRPr="002F3A26">
        <w:t>3</w:t>
      </w:r>
      <w:r w:rsidR="002546E0">
        <w:t>.0</w:t>
      </w:r>
      <w:r w:rsidR="001C380E" w:rsidRPr="002F3A26">
        <w:t xml:space="preserve">% as having disability, and </w:t>
      </w:r>
      <w:r w:rsidR="002546E0">
        <w:t>3.9</w:t>
      </w:r>
      <w:r w:rsidR="001C380E" w:rsidRPr="002F3A26">
        <w:t>% as Indigenous.</w:t>
      </w:r>
    </w:p>
    <w:p w14:paraId="448245F3" w14:textId="77777777" w:rsidR="00C8071D" w:rsidRPr="002F3A26" w:rsidRDefault="00C8071D" w:rsidP="004F64B4">
      <w:pPr>
        <w:pStyle w:val="Heading3"/>
      </w:pPr>
      <w:bookmarkStart w:id="23" w:name="_Toc202791799"/>
      <w:r w:rsidRPr="002F3A26">
        <w:lastRenderedPageBreak/>
        <w:t>Control variables</w:t>
      </w:r>
      <w:bookmarkEnd w:id="23"/>
    </w:p>
    <w:p w14:paraId="0EF3125C" w14:textId="77D3C53A" w:rsidR="00191194" w:rsidRPr="002F3A26" w:rsidRDefault="00191194" w:rsidP="00191194">
      <w:r w:rsidRPr="002F3A26">
        <w:rPr>
          <w:color w:val="351C26" w:themeColor="text1"/>
        </w:rPr>
        <w:t>The models include</w:t>
      </w:r>
      <w:r w:rsidR="002546E0">
        <w:rPr>
          <w:color w:val="351C26" w:themeColor="text1"/>
        </w:rPr>
        <w:t>d</w:t>
      </w:r>
      <w:r w:rsidRPr="002F3A26">
        <w:rPr>
          <w:color w:val="351C26" w:themeColor="text1"/>
        </w:rPr>
        <w:t xml:space="preserve"> a set of variables that may</w:t>
      </w:r>
      <w:r w:rsidR="002546E0">
        <w:rPr>
          <w:color w:val="351C26" w:themeColor="text1"/>
        </w:rPr>
        <w:t xml:space="preserve"> </w:t>
      </w:r>
      <w:r w:rsidRPr="002F3A26">
        <w:rPr>
          <w:color w:val="351C26" w:themeColor="text1"/>
        </w:rPr>
        <w:t xml:space="preserve">confound the relationships between </w:t>
      </w:r>
      <w:r w:rsidR="00472B47">
        <w:rPr>
          <w:color w:val="351C26" w:themeColor="text1"/>
        </w:rPr>
        <w:t xml:space="preserve">socially </w:t>
      </w:r>
      <w:r w:rsidRPr="002F3A26">
        <w:rPr>
          <w:color w:val="351C26" w:themeColor="text1"/>
        </w:rPr>
        <w:t xml:space="preserve">disadvantaged </w:t>
      </w:r>
      <w:r w:rsidR="00472B47">
        <w:rPr>
          <w:color w:val="351C26" w:themeColor="text1"/>
        </w:rPr>
        <w:t>backgrounds</w:t>
      </w:r>
      <w:r w:rsidRPr="002F3A26">
        <w:rPr>
          <w:color w:val="351C26" w:themeColor="text1"/>
        </w:rPr>
        <w:t xml:space="preserve"> and entry into higher education. The control variables </w:t>
      </w:r>
      <w:r w:rsidR="00C72209" w:rsidRPr="002F3A26">
        <w:rPr>
          <w:color w:val="351C26" w:themeColor="text1"/>
        </w:rPr>
        <w:t>capture</w:t>
      </w:r>
      <w:r w:rsidR="002546E0">
        <w:rPr>
          <w:color w:val="351C26" w:themeColor="text1"/>
        </w:rPr>
        <w:t>d</w:t>
      </w:r>
      <w:r w:rsidR="00C72209" w:rsidRPr="002F3A26">
        <w:rPr>
          <w:color w:val="351C26" w:themeColor="text1"/>
        </w:rPr>
        <w:t xml:space="preserve"> other aspects of young people’s circumstances that may hinder or facilitate </w:t>
      </w:r>
      <w:r w:rsidR="00E61E05">
        <w:rPr>
          <w:color w:val="351C26" w:themeColor="text1"/>
        </w:rPr>
        <w:t>their</w:t>
      </w:r>
      <w:r w:rsidR="00C72209" w:rsidRPr="002F3A26">
        <w:rPr>
          <w:color w:val="351C26" w:themeColor="text1"/>
        </w:rPr>
        <w:t xml:space="preserve"> access to higher education: living in a single-parent household</w:t>
      </w:r>
      <w:r w:rsidR="002546E0">
        <w:rPr>
          <w:color w:val="351C26" w:themeColor="text1"/>
        </w:rPr>
        <w:t xml:space="preserve"> (yes/no)</w:t>
      </w:r>
      <w:r w:rsidR="00C72209" w:rsidRPr="002F3A26">
        <w:rPr>
          <w:color w:val="351C26" w:themeColor="text1"/>
        </w:rPr>
        <w:t>, family income</w:t>
      </w:r>
      <w:r w:rsidR="009121D9" w:rsidRPr="002F3A26">
        <w:rPr>
          <w:color w:val="351C26" w:themeColor="text1"/>
        </w:rPr>
        <w:t xml:space="preserve"> (</w:t>
      </w:r>
      <w:r w:rsidR="009008D1">
        <w:rPr>
          <w:color w:val="351C26" w:themeColor="text1"/>
        </w:rPr>
        <w:t>four</w:t>
      </w:r>
      <w:r w:rsidR="002546E0">
        <w:rPr>
          <w:color w:val="351C26" w:themeColor="text1"/>
        </w:rPr>
        <w:t xml:space="preserve"> income bands and partial/no information category</w:t>
      </w:r>
      <w:r w:rsidR="009121D9" w:rsidRPr="002F3A26">
        <w:rPr>
          <w:color w:val="351C26" w:themeColor="text1"/>
        </w:rPr>
        <w:t>)</w:t>
      </w:r>
      <w:r w:rsidR="00C72209" w:rsidRPr="002F3A26">
        <w:rPr>
          <w:color w:val="351C26" w:themeColor="text1"/>
        </w:rPr>
        <w:t>, and having a parent working in managerial or professional positions</w:t>
      </w:r>
      <w:r w:rsidR="002546E0">
        <w:rPr>
          <w:color w:val="351C26" w:themeColor="text1"/>
        </w:rPr>
        <w:t xml:space="preserve"> (yes/no)</w:t>
      </w:r>
      <w:r w:rsidR="00C72209" w:rsidRPr="002F3A26">
        <w:rPr>
          <w:color w:val="351C26" w:themeColor="text1"/>
        </w:rPr>
        <w:t xml:space="preserve">. </w:t>
      </w:r>
      <w:r w:rsidR="00500DF0">
        <w:rPr>
          <w:color w:val="351C26" w:themeColor="text1"/>
        </w:rPr>
        <w:fldChar w:fldCharType="begin"/>
      </w:r>
      <w:r w:rsidR="00500DF0">
        <w:rPr>
          <w:color w:val="351C26" w:themeColor="text1"/>
        </w:rPr>
        <w:instrText xml:space="preserve"> REF _Ref191461463 \h </w:instrText>
      </w:r>
      <w:r w:rsidR="00500DF0">
        <w:rPr>
          <w:color w:val="351C26" w:themeColor="text1"/>
        </w:rPr>
      </w:r>
      <w:r w:rsidR="00500DF0">
        <w:rPr>
          <w:color w:val="351C26" w:themeColor="text1"/>
        </w:rPr>
        <w:fldChar w:fldCharType="separate"/>
      </w:r>
      <w:r w:rsidR="00627572">
        <w:t xml:space="preserve">Table </w:t>
      </w:r>
      <w:r w:rsidR="00627572">
        <w:rPr>
          <w:noProof/>
        </w:rPr>
        <w:t>B</w:t>
      </w:r>
      <w:r w:rsidR="00627572">
        <w:noBreakHyphen/>
      </w:r>
      <w:r w:rsidR="00627572">
        <w:rPr>
          <w:noProof/>
        </w:rPr>
        <w:t>1</w:t>
      </w:r>
      <w:r w:rsidR="00500DF0">
        <w:rPr>
          <w:color w:val="351C26" w:themeColor="text1"/>
        </w:rPr>
        <w:fldChar w:fldCharType="end"/>
      </w:r>
      <w:r w:rsidR="00500DF0">
        <w:rPr>
          <w:color w:val="351C26" w:themeColor="text1"/>
        </w:rPr>
        <w:t xml:space="preserve"> </w:t>
      </w:r>
      <w:r w:rsidR="00500DF0">
        <w:t xml:space="preserve">in </w:t>
      </w:r>
      <w:r w:rsidR="00500DF0">
        <w:fldChar w:fldCharType="begin"/>
      </w:r>
      <w:r w:rsidR="00500DF0">
        <w:instrText xml:space="preserve"> REF _Ref191461680 \r \h </w:instrText>
      </w:r>
      <w:r w:rsidR="00500DF0">
        <w:fldChar w:fldCharType="separate"/>
      </w:r>
      <w:r w:rsidR="00627572">
        <w:t>10.Appendix B</w:t>
      </w:r>
      <w:r w:rsidR="00500DF0">
        <w:fldChar w:fldCharType="end"/>
      </w:r>
      <w:r w:rsidR="00500DF0">
        <w:t xml:space="preserve"> presents descriptive statistics of all variables included in the analyses.</w:t>
      </w:r>
    </w:p>
    <w:p w14:paraId="54C26646" w14:textId="034281B5" w:rsidR="00C8071D" w:rsidRPr="002546E0" w:rsidRDefault="002546E0" w:rsidP="0099076D">
      <w:pPr>
        <w:pStyle w:val="Heading2"/>
      </w:pPr>
      <w:r w:rsidRPr="002546E0">
        <w:t xml:space="preserve"> </w:t>
      </w:r>
      <w:bookmarkStart w:id="24" w:name="_Toc202791800"/>
      <w:r w:rsidR="00C8071D" w:rsidRPr="002546E0">
        <w:t>Analytic approach</w:t>
      </w:r>
      <w:bookmarkEnd w:id="24"/>
    </w:p>
    <w:p w14:paraId="42689849" w14:textId="19E1177F" w:rsidR="002546E0" w:rsidRDefault="009C16CA" w:rsidP="002546E0">
      <w:r>
        <w:t>The</w:t>
      </w:r>
      <w:r w:rsidR="002546E0">
        <w:t xml:space="preserve"> main analysis was divided into three main stages. The first aimed at investigating the overlaps between FiF status and current equity groups. The second involved analysing the impact on educational outcomes of FiF status and equity group membership without controlling for each other and other background characteristics. The third stage focused on modelling the relationship between educational outcomes, FiF status, and equity group membership. This stage of the analysis was divided into three substages</w:t>
      </w:r>
      <w:r w:rsidR="00E61E05">
        <w:t>,</w:t>
      </w:r>
      <w:r w:rsidR="002546E0">
        <w:t xml:space="preserve"> each consisting of three steps: </w:t>
      </w:r>
    </w:p>
    <w:p w14:paraId="07ABDF3E" w14:textId="79EFB775" w:rsidR="002546E0" w:rsidRDefault="002546E0" w:rsidP="002546E0">
      <w:pPr>
        <w:pStyle w:val="ListParagraph"/>
      </w:pPr>
      <w:r>
        <w:t>First, a series of logistic regression models were used to investigate the associations between FiF status and the probability of enrolling in higher education:</w:t>
      </w:r>
    </w:p>
    <w:p w14:paraId="14137821" w14:textId="5B81BE23" w:rsidR="002546E0" w:rsidRDefault="002546E0" w:rsidP="002546E0">
      <w:pPr>
        <w:pStyle w:val="ListParagraph"/>
        <w:numPr>
          <w:ilvl w:val="1"/>
          <w:numId w:val="1"/>
        </w:numPr>
        <w:ind w:left="993" w:hanging="567"/>
      </w:pPr>
      <w:r>
        <w:t xml:space="preserve">The first model </w:t>
      </w:r>
      <w:r w:rsidRPr="002546E0">
        <w:t>investigat</w:t>
      </w:r>
      <w:r>
        <w:t>ed</w:t>
      </w:r>
      <w:r w:rsidRPr="002546E0">
        <w:t xml:space="preserve"> the relationship between </w:t>
      </w:r>
      <w:r w:rsidR="00A7194B">
        <w:t>FiF</w:t>
      </w:r>
      <w:r w:rsidRPr="002546E0">
        <w:t xml:space="preserve"> status and enrolment in higher education </w:t>
      </w:r>
      <w:r>
        <w:t>without</w:t>
      </w:r>
      <w:r w:rsidRPr="002546E0">
        <w:t xml:space="preserve"> controlling for equity group membership</w:t>
      </w:r>
      <w:r>
        <w:t>. This yielded a “baseline” model against which to compare more complex models.</w:t>
      </w:r>
    </w:p>
    <w:p w14:paraId="63E10CD3" w14:textId="114BE6A3" w:rsidR="002546E0" w:rsidRDefault="002546E0" w:rsidP="002546E0">
      <w:pPr>
        <w:pStyle w:val="ListParagraph"/>
        <w:numPr>
          <w:ilvl w:val="1"/>
          <w:numId w:val="1"/>
        </w:numPr>
        <w:ind w:left="993" w:hanging="567"/>
      </w:pPr>
      <w:r>
        <w:t xml:space="preserve">The second model </w:t>
      </w:r>
      <w:r w:rsidRPr="002546E0">
        <w:t>investigat</w:t>
      </w:r>
      <w:r>
        <w:t xml:space="preserve">ed the same relationship but while </w:t>
      </w:r>
      <w:r w:rsidRPr="002546E0">
        <w:t>controlling for equity group membership</w:t>
      </w:r>
      <w:r>
        <w:t xml:space="preserve"> </w:t>
      </w:r>
      <w:r w:rsidR="00937FDA">
        <w:t>to</w:t>
      </w:r>
      <w:r>
        <w:t xml:space="preserve"> investigate whether the effects of FiF status were independent of those of </w:t>
      </w:r>
      <w:r w:rsidRPr="002546E0">
        <w:t>equity group membership</w:t>
      </w:r>
      <w:r>
        <w:t>.</w:t>
      </w:r>
    </w:p>
    <w:p w14:paraId="4D2C7ED0" w14:textId="5327D8AB" w:rsidR="002546E0" w:rsidRPr="002546E0" w:rsidRDefault="002546E0" w:rsidP="002546E0">
      <w:pPr>
        <w:pStyle w:val="ListParagraph"/>
        <w:numPr>
          <w:ilvl w:val="1"/>
          <w:numId w:val="1"/>
        </w:numPr>
        <w:ind w:left="993" w:hanging="567"/>
      </w:pPr>
      <w:r>
        <w:t xml:space="preserve">The third model included interaction terms </w:t>
      </w:r>
      <w:r w:rsidRPr="002546E0">
        <w:t xml:space="preserve">between </w:t>
      </w:r>
      <w:r>
        <w:t>FiF</w:t>
      </w:r>
      <w:r w:rsidRPr="002546E0">
        <w:t xml:space="preserve"> status and equity group membership </w:t>
      </w:r>
      <w:r>
        <w:t xml:space="preserve">to investigate </w:t>
      </w:r>
      <w:r w:rsidRPr="002546E0">
        <w:t xml:space="preserve">moderation of the effects of </w:t>
      </w:r>
      <w:r w:rsidR="00D95254">
        <w:t>FIF</w:t>
      </w:r>
      <w:r w:rsidRPr="002546E0">
        <w:t xml:space="preserve"> status by equity group membership</w:t>
      </w:r>
      <w:r>
        <w:t>. In other words, this model investigated if the effects of FiF</w:t>
      </w:r>
      <w:r w:rsidRPr="002546E0">
        <w:t xml:space="preserve"> status</w:t>
      </w:r>
      <w:r>
        <w:t xml:space="preserve"> differed for individuals who did and did not belong to equity groups.</w:t>
      </w:r>
    </w:p>
    <w:p w14:paraId="6117BF70" w14:textId="68F503A6" w:rsidR="002546E0" w:rsidRDefault="002546E0" w:rsidP="002546E0">
      <w:pPr>
        <w:pStyle w:val="ListParagraph"/>
      </w:pPr>
      <w:r>
        <w:t xml:space="preserve">Second, a series of logistic regression models </w:t>
      </w:r>
      <w:r w:rsidR="00980C8B">
        <w:t xml:space="preserve">were used </w:t>
      </w:r>
      <w:r>
        <w:t>to investigate the associations between FiF status and the probability of enrolling in a selective institution. The sample was restricted only to individuals who enrolled in higher education. The analysis followed the same pattern</w:t>
      </w:r>
      <w:r w:rsidR="00DE6B84">
        <w:t xml:space="preserve"> as the first substage</w:t>
      </w:r>
      <w:r>
        <w:t xml:space="preserve">: </w:t>
      </w:r>
      <w:r w:rsidR="00E61E05">
        <w:t xml:space="preserve">the </w:t>
      </w:r>
      <w:r>
        <w:t xml:space="preserve">“baseline” model </w:t>
      </w:r>
      <w:r w:rsidR="00E61E05">
        <w:t>investigated</w:t>
      </w:r>
      <w:r>
        <w:t xml:space="preserve"> the effects of FiF status without controlling for </w:t>
      </w:r>
      <w:r w:rsidRPr="002546E0">
        <w:rPr>
          <w:rFonts w:eastAsiaTheme="minorEastAsia"/>
        </w:rPr>
        <w:t>equity group membership</w:t>
      </w:r>
      <w:r>
        <w:t xml:space="preserve">, </w:t>
      </w:r>
      <w:r w:rsidR="00E61E05">
        <w:t xml:space="preserve">the </w:t>
      </w:r>
      <w:r w:rsidR="00404FCF">
        <w:t xml:space="preserve">second </w:t>
      </w:r>
      <w:r>
        <w:t xml:space="preserve">model controlling for </w:t>
      </w:r>
      <w:r w:rsidRPr="002546E0">
        <w:rPr>
          <w:rFonts w:eastAsiaTheme="minorEastAsia"/>
        </w:rPr>
        <w:t>equity group membership</w:t>
      </w:r>
      <w:r>
        <w:t xml:space="preserve">, </w:t>
      </w:r>
      <w:r w:rsidR="00E61E05">
        <w:t xml:space="preserve">and the </w:t>
      </w:r>
      <w:r w:rsidR="00404FCF">
        <w:t xml:space="preserve">third </w:t>
      </w:r>
      <w:r>
        <w:t xml:space="preserve">model with interaction terms to investigate </w:t>
      </w:r>
      <w:r w:rsidR="00E61E05">
        <w:t xml:space="preserve">the </w:t>
      </w:r>
      <w:r>
        <w:t xml:space="preserve">moderating effects of </w:t>
      </w:r>
      <w:r w:rsidRPr="002546E0">
        <w:rPr>
          <w:rFonts w:eastAsiaTheme="minorEastAsia"/>
        </w:rPr>
        <w:t>equity group membership</w:t>
      </w:r>
      <w:r>
        <w:t>.</w:t>
      </w:r>
    </w:p>
    <w:p w14:paraId="3EB6CB91" w14:textId="627562E9" w:rsidR="002546E0" w:rsidRDefault="002546E0" w:rsidP="002546E0">
      <w:pPr>
        <w:pStyle w:val="ListParagraph"/>
      </w:pPr>
      <w:r>
        <w:t>Third, a series of multinomial logistic regression models investigating the relationship between FiF status and the field of study. Again, the sample was restricted only to individuals who enrolled in higher education</w:t>
      </w:r>
      <w:r w:rsidR="00E61E05">
        <w:t>. T</w:t>
      </w:r>
      <w:r>
        <w:t>he analysis was conducted in a similar manner</w:t>
      </w:r>
      <w:r w:rsidR="00E61E05">
        <w:t xml:space="preserve"> as before</w:t>
      </w:r>
      <w:r>
        <w:t>, that is</w:t>
      </w:r>
      <w:r w:rsidR="00E61E05">
        <w:t>,</w:t>
      </w:r>
      <w:r>
        <w:t xml:space="preserve"> with three models (baseline, controlling for </w:t>
      </w:r>
      <w:r w:rsidRPr="002546E0">
        <w:rPr>
          <w:rFonts w:eastAsiaTheme="minorEastAsia"/>
        </w:rPr>
        <w:t>equity group membership</w:t>
      </w:r>
      <w:r>
        <w:rPr>
          <w:rFonts w:eastAsiaTheme="minorEastAsia"/>
        </w:rPr>
        <w:t xml:space="preserve">, with interactions between FiF and </w:t>
      </w:r>
      <w:r w:rsidRPr="002546E0">
        <w:rPr>
          <w:rFonts w:eastAsiaTheme="minorEastAsia"/>
        </w:rPr>
        <w:t>equity group membership</w:t>
      </w:r>
      <w:r>
        <w:rPr>
          <w:rFonts w:eastAsiaTheme="minorEastAsia"/>
        </w:rPr>
        <w:t>).</w:t>
      </w:r>
    </w:p>
    <w:p w14:paraId="1BD82D01" w14:textId="0F747188" w:rsidR="009D6D47" w:rsidRPr="002F3A26" w:rsidRDefault="002546E0" w:rsidP="00937FDA">
      <w:r>
        <w:rPr>
          <w:rFonts w:cstheme="minorHAnsi"/>
        </w:rPr>
        <w:lastRenderedPageBreak/>
        <w:t>A more detailed exposition of the analytical approach, including the model specifications, is presented in</w:t>
      </w:r>
      <w:r w:rsidR="00500DF0">
        <w:rPr>
          <w:rFonts w:cstheme="minorHAnsi"/>
        </w:rPr>
        <w:t xml:space="preserve"> </w:t>
      </w:r>
      <w:r w:rsidR="00500DF0">
        <w:rPr>
          <w:rFonts w:cstheme="minorHAnsi"/>
        </w:rPr>
        <w:fldChar w:fldCharType="begin"/>
      </w:r>
      <w:r w:rsidR="00500DF0">
        <w:rPr>
          <w:rFonts w:cstheme="minorHAnsi"/>
        </w:rPr>
        <w:instrText xml:space="preserve"> REF _Ref191461770 \n \h </w:instrText>
      </w:r>
      <w:r w:rsidR="00500DF0">
        <w:rPr>
          <w:rFonts w:cstheme="minorHAnsi"/>
        </w:rPr>
      </w:r>
      <w:r w:rsidR="00500DF0">
        <w:rPr>
          <w:rFonts w:cstheme="minorHAnsi"/>
        </w:rPr>
        <w:fldChar w:fldCharType="separate"/>
      </w:r>
      <w:r w:rsidR="00627572">
        <w:rPr>
          <w:rFonts w:cstheme="minorHAnsi"/>
        </w:rPr>
        <w:t>Appendix A</w:t>
      </w:r>
      <w:r w:rsidR="00500DF0">
        <w:rPr>
          <w:rFonts w:cstheme="minorHAnsi"/>
        </w:rPr>
        <w:fldChar w:fldCharType="end"/>
      </w:r>
      <w:r>
        <w:rPr>
          <w:rFonts w:cstheme="minorHAnsi"/>
        </w:rPr>
        <w:t>.</w:t>
      </w:r>
      <w:r w:rsidR="009D6D47" w:rsidRPr="002F3A26">
        <w:br w:type="page"/>
      </w:r>
    </w:p>
    <w:p w14:paraId="4F434977" w14:textId="77777777" w:rsidR="009D6D47" w:rsidRPr="002F3A26" w:rsidRDefault="009D6D47" w:rsidP="00942F29">
      <w:pPr>
        <w:pStyle w:val="Heading1"/>
      </w:pPr>
      <w:bookmarkStart w:id="25" w:name="_Toc202791801"/>
      <w:r w:rsidRPr="002F3A26">
        <w:lastRenderedPageBreak/>
        <w:t>Findings</w:t>
      </w:r>
      <w:bookmarkEnd w:id="25"/>
    </w:p>
    <w:p w14:paraId="6B124F31" w14:textId="77777777" w:rsidR="00627572" w:rsidRPr="002F3A26" w:rsidRDefault="00C8071D" w:rsidP="00EE3FA7">
      <w:r w:rsidRPr="002F3A26">
        <w:t xml:space="preserve">Overlaps between </w:t>
      </w:r>
      <w:r w:rsidR="00E61E05">
        <w:t>First-in-Family</w:t>
      </w:r>
      <w:r w:rsidRPr="002F3A26">
        <w:t xml:space="preserve"> status and current equity groups</w:t>
      </w:r>
      <w:r w:rsidR="001B3F10" w:rsidRPr="002F3A26">
        <w:rPr>
          <w:rFonts w:ascii="Inter Medium" w:eastAsiaTheme="majorEastAsia" w:hAnsi="Inter Medium" w:cstheme="majorBidi"/>
          <w:bCs/>
          <w:i/>
          <w:iCs/>
          <w:color w:val="351C26" w:themeColor="text2"/>
          <w:kern w:val="2"/>
          <w:sz w:val="18"/>
          <w:szCs w:val="18"/>
          <w:lang w:eastAsia="en-AU"/>
          <w14:ligatures w14:val="standardContextual"/>
        </w:rPr>
        <w:fldChar w:fldCharType="begin"/>
      </w:r>
      <w:r w:rsidR="001B3F10" w:rsidRPr="002F3A26">
        <w:instrText xml:space="preserve"> REF _Ref187304755 \h </w:instrText>
      </w:r>
      <w:r w:rsidR="001B3F10" w:rsidRPr="002F3A26">
        <w:rPr>
          <w:rFonts w:ascii="Inter Medium" w:eastAsiaTheme="majorEastAsia" w:hAnsi="Inter Medium" w:cstheme="majorBidi"/>
          <w:bCs/>
          <w:i/>
          <w:iCs/>
          <w:color w:val="351C26" w:themeColor="text2"/>
          <w:kern w:val="2"/>
          <w:sz w:val="18"/>
          <w:szCs w:val="18"/>
          <w:lang w:eastAsia="en-AU"/>
          <w14:ligatures w14:val="standardContextual"/>
        </w:rPr>
      </w:r>
      <w:r w:rsidR="001B3F10" w:rsidRPr="002F3A26">
        <w:rPr>
          <w:rFonts w:ascii="Inter Medium" w:eastAsiaTheme="majorEastAsia" w:hAnsi="Inter Medium" w:cstheme="majorBidi"/>
          <w:bCs/>
          <w:i/>
          <w:iCs/>
          <w:color w:val="351C26" w:themeColor="text2"/>
          <w:kern w:val="2"/>
          <w:sz w:val="18"/>
          <w:szCs w:val="18"/>
          <w:lang w:eastAsia="en-AU"/>
          <w14:ligatures w14:val="standardContextual"/>
        </w:rPr>
        <w:fldChar w:fldCharType="separate"/>
      </w:r>
    </w:p>
    <w:p w14:paraId="2FDFBEEE" w14:textId="125E0E9B" w:rsidR="001B3F10" w:rsidRPr="002F3A26" w:rsidRDefault="00627572" w:rsidP="00EE3FA7">
      <w:r w:rsidRPr="00D23949">
        <w:t xml:space="preserve">Figure </w:t>
      </w:r>
      <w:r>
        <w:rPr>
          <w:noProof/>
        </w:rPr>
        <w:t>1</w:t>
      </w:r>
      <w:r w:rsidR="001B3F10" w:rsidRPr="002F3A26">
        <w:fldChar w:fldCharType="end"/>
      </w:r>
      <w:r w:rsidR="000E7944" w:rsidRPr="002F3A26">
        <w:t xml:space="preserve"> shows the proportion of </w:t>
      </w:r>
      <w:r w:rsidR="00394976" w:rsidRPr="002F3A26">
        <w:t>individuals</w:t>
      </w:r>
      <w:r w:rsidR="000E7944" w:rsidRPr="002F3A26">
        <w:t xml:space="preserve"> from different equity and non-equity groups identified as </w:t>
      </w:r>
      <w:r w:rsidR="00E61E05">
        <w:t>FiF</w:t>
      </w:r>
      <w:r w:rsidR="000E7944" w:rsidRPr="002F3A26">
        <w:t xml:space="preserve">. </w:t>
      </w:r>
      <w:r w:rsidR="0026580A" w:rsidRPr="002F3A26">
        <w:t xml:space="preserve">The share of </w:t>
      </w:r>
      <w:r w:rsidR="00E61E05">
        <w:t>men</w:t>
      </w:r>
      <w:r w:rsidR="0026580A" w:rsidRPr="002F3A26">
        <w:t xml:space="preserve"> and women identified as </w:t>
      </w:r>
      <w:r w:rsidR="00E61E05">
        <w:t>FiF</w:t>
      </w:r>
      <w:r w:rsidR="0026580A" w:rsidRPr="002F3A26">
        <w:t xml:space="preserve"> was almost the same</w:t>
      </w:r>
      <w:r w:rsidR="00937FDA">
        <w:t>—</w:t>
      </w:r>
      <w:r w:rsidR="00AC60F6">
        <w:t>66.7% and 66.3%, respectively</w:t>
      </w:r>
      <w:r w:rsidR="0026580A" w:rsidRPr="002F3A26">
        <w:t>. Among the NESB group</w:t>
      </w:r>
      <w:r w:rsidR="00E61E05">
        <w:t>,</w:t>
      </w:r>
      <w:r w:rsidR="0026580A" w:rsidRPr="002F3A26">
        <w:t xml:space="preserve"> the share of </w:t>
      </w:r>
      <w:r w:rsidR="00E61E05">
        <w:t>FiF</w:t>
      </w:r>
      <w:r w:rsidR="00A667D4" w:rsidRPr="002F3A26">
        <w:t xml:space="preserve"> individuals was smaller than among </w:t>
      </w:r>
      <w:r w:rsidR="00E61E05">
        <w:t xml:space="preserve">their </w:t>
      </w:r>
      <w:r w:rsidR="00543103">
        <w:t>English</w:t>
      </w:r>
      <w:r w:rsidR="007A01B8">
        <w:t xml:space="preserve"> </w:t>
      </w:r>
      <w:r w:rsidR="0060466E">
        <w:t>Speaking Background (</w:t>
      </w:r>
      <w:r w:rsidR="00A667D4" w:rsidRPr="002F3A26">
        <w:t>ESB</w:t>
      </w:r>
      <w:r w:rsidR="0060466E">
        <w:t>)</w:t>
      </w:r>
      <w:r w:rsidR="00E61E05">
        <w:t xml:space="preserve"> peers</w:t>
      </w:r>
      <w:r w:rsidR="00A667D4" w:rsidRPr="002F3A26">
        <w:t xml:space="preserve">, </w:t>
      </w:r>
      <w:r w:rsidR="00E61E05">
        <w:t xml:space="preserve">at </w:t>
      </w:r>
      <w:r w:rsidR="003B5BD2" w:rsidRPr="002F3A26">
        <w:t>58.5</w:t>
      </w:r>
      <w:r w:rsidR="00A667D4" w:rsidRPr="002F3A26">
        <w:t xml:space="preserve">% and </w:t>
      </w:r>
      <w:r w:rsidR="003B5BD2" w:rsidRPr="002F3A26">
        <w:t>66.8</w:t>
      </w:r>
      <w:r w:rsidR="00A667D4" w:rsidRPr="002F3A26">
        <w:t>%, respectively. This should not come as a surprise</w:t>
      </w:r>
      <w:r w:rsidR="00E61E05">
        <w:t>,</w:t>
      </w:r>
      <w:r w:rsidR="00A667D4" w:rsidRPr="002F3A26">
        <w:t xml:space="preserve"> given Australia’s selective immigration process. At the same time,</w:t>
      </w:r>
      <w:r w:rsidR="00202560" w:rsidRPr="002F3A26">
        <w:t xml:space="preserve"> the</w:t>
      </w:r>
      <w:r w:rsidR="00A667D4" w:rsidRPr="002F3A26">
        <w:t xml:space="preserve"> </w:t>
      </w:r>
      <w:r w:rsidR="00E61E05">
        <w:t>FiF</w:t>
      </w:r>
      <w:r w:rsidR="00A667D4" w:rsidRPr="002F3A26">
        <w:t xml:space="preserve"> </w:t>
      </w:r>
      <w:r w:rsidR="00202560" w:rsidRPr="002F3A26">
        <w:t>category</w:t>
      </w:r>
      <w:r w:rsidR="00A667D4" w:rsidRPr="002F3A26">
        <w:t xml:space="preserve"> was overrepresented among all other </w:t>
      </w:r>
      <w:r w:rsidR="00202560" w:rsidRPr="002F3A26">
        <w:t xml:space="preserve">equity groups. The biggest difference between equity and non-equity individuals could be observed in the case of </w:t>
      </w:r>
      <w:r w:rsidR="00E61E05">
        <w:t>the l</w:t>
      </w:r>
      <w:r w:rsidR="00202560" w:rsidRPr="002F3A26">
        <w:t xml:space="preserve">ow SES category. Among individuals from </w:t>
      </w:r>
      <w:r w:rsidR="00E61E05">
        <w:t>l</w:t>
      </w:r>
      <w:r w:rsidR="00202560" w:rsidRPr="002F3A26">
        <w:t>ow SES areas</w:t>
      </w:r>
      <w:r w:rsidR="00E61E05">
        <w:t>,</w:t>
      </w:r>
      <w:r w:rsidR="00202560" w:rsidRPr="002F3A26">
        <w:t xml:space="preserve"> the share of those classified as </w:t>
      </w:r>
      <w:r w:rsidR="00E61E05">
        <w:t>FiF</w:t>
      </w:r>
      <w:r w:rsidR="00202560" w:rsidRPr="002F3A26">
        <w:t xml:space="preserve"> was 8</w:t>
      </w:r>
      <w:r w:rsidR="000049B7" w:rsidRPr="002F3A26">
        <w:t>7.7</w:t>
      </w:r>
      <w:r w:rsidR="00202560" w:rsidRPr="002F3A26">
        <w:t>% compared to 6</w:t>
      </w:r>
      <w:r w:rsidR="000049B7" w:rsidRPr="002F3A26">
        <w:t>1.8</w:t>
      </w:r>
      <w:r w:rsidR="00202560" w:rsidRPr="002F3A26">
        <w:t>% among those from other areas, resulting in a 26-percentage-point (pp) difference. The gap was 4 pp smaller for the Indigenous category, with 88</w:t>
      </w:r>
      <w:r w:rsidR="000049B7" w:rsidRPr="002F3A26">
        <w:t>.0</w:t>
      </w:r>
      <w:r w:rsidR="00202560" w:rsidRPr="002F3A26">
        <w:t xml:space="preserve">% share of </w:t>
      </w:r>
      <w:r w:rsidR="00E61E05">
        <w:t>FiF</w:t>
      </w:r>
      <w:r w:rsidR="00202560" w:rsidRPr="002F3A26">
        <w:t xml:space="preserve"> among the Indigenous and 6</w:t>
      </w:r>
      <w:r w:rsidR="000049B7" w:rsidRPr="002F3A26">
        <w:t>5.6</w:t>
      </w:r>
      <w:r w:rsidR="00202560" w:rsidRPr="002F3A26">
        <w:t xml:space="preserve">% among non-Indigenous individuals. The differences were much smaller but still noticeable for </w:t>
      </w:r>
      <w:r w:rsidR="00B576BE" w:rsidRPr="002F3A26">
        <w:t xml:space="preserve">the </w:t>
      </w:r>
      <w:r w:rsidR="009F5FEC">
        <w:t>RR</w:t>
      </w:r>
      <w:r w:rsidR="00B576BE" w:rsidRPr="002F3A26">
        <w:t xml:space="preserve"> category (14</w:t>
      </w:r>
      <w:r w:rsidR="00775583">
        <w:t xml:space="preserve"> pp</w:t>
      </w:r>
      <w:r w:rsidR="00B576BE" w:rsidRPr="002F3A26">
        <w:t xml:space="preserve"> higher share of </w:t>
      </w:r>
      <w:r w:rsidR="00E61E05">
        <w:t>FiF</w:t>
      </w:r>
      <w:r w:rsidR="00B576BE" w:rsidRPr="002F3A26">
        <w:t xml:space="preserve"> among </w:t>
      </w:r>
      <w:r w:rsidR="009F5FEC">
        <w:t>RR</w:t>
      </w:r>
      <w:r w:rsidR="00B576BE" w:rsidRPr="002F3A26">
        <w:t xml:space="preserve"> compared to people from major cities) and individuals with disability (9</w:t>
      </w:r>
      <w:r w:rsidR="00775583">
        <w:t xml:space="preserve"> pp</w:t>
      </w:r>
      <w:r w:rsidR="00B576BE" w:rsidRPr="002F3A26">
        <w:t xml:space="preserve"> higher share of </w:t>
      </w:r>
      <w:r w:rsidR="00E61E05">
        <w:t>FiF</w:t>
      </w:r>
      <w:r w:rsidR="00B576BE" w:rsidRPr="002F3A26">
        <w:t xml:space="preserve"> than among people without disability).</w:t>
      </w:r>
      <w:bookmarkStart w:id="26" w:name="_Ref187304755"/>
      <w:bookmarkStart w:id="27" w:name="_Ref187304747"/>
      <w:bookmarkStart w:id="28" w:name="_Toc74200147"/>
      <w:bookmarkStart w:id="29" w:name="_Toc74202499"/>
      <w:bookmarkStart w:id="30" w:name="_Toc77166738"/>
    </w:p>
    <w:p w14:paraId="2E9F88EB" w14:textId="08F20FD6" w:rsidR="004B5FBE" w:rsidRPr="00D23949" w:rsidRDefault="001B3F10" w:rsidP="00D23949">
      <w:pPr>
        <w:pStyle w:val="Caption"/>
      </w:pPr>
      <w:bookmarkStart w:id="31" w:name="_Ref192853072"/>
      <w:bookmarkStart w:id="32" w:name="_Toc201760806"/>
      <w:r w:rsidRPr="00D23949">
        <w:t xml:space="preserve">Figure </w:t>
      </w:r>
      <w:fldSimple w:instr=" SEQ Figure \* ARABIC ">
        <w:r w:rsidR="00627572">
          <w:rPr>
            <w:noProof/>
          </w:rPr>
          <w:t>1</w:t>
        </w:r>
      </w:fldSimple>
      <w:bookmarkEnd w:id="26"/>
      <w:bookmarkEnd w:id="31"/>
      <w:r w:rsidR="00937FDA" w:rsidRPr="00D23949">
        <w:t>:</w:t>
      </w:r>
      <w:r w:rsidRPr="00D23949">
        <w:t xml:space="preserve"> </w:t>
      </w:r>
      <w:bookmarkEnd w:id="27"/>
      <w:r w:rsidRPr="00D23949">
        <w:t xml:space="preserve">Proportion of individuals belonging to </w:t>
      </w:r>
      <w:r w:rsidR="00E61E05" w:rsidRPr="00D23949">
        <w:t>First-in-Family</w:t>
      </w:r>
      <w:r w:rsidRPr="00D23949">
        <w:t xml:space="preserve"> group, by equity-group membership</w:t>
      </w:r>
      <w:bookmarkEnd w:id="32"/>
    </w:p>
    <w:p w14:paraId="7A5A2EE6" w14:textId="7ECACCB0" w:rsidR="00D72F84" w:rsidRPr="004B5FBE" w:rsidRDefault="00D72F84" w:rsidP="004B5FBE">
      <w:r>
        <w:rPr>
          <w:noProof/>
          <w14:ligatures w14:val="standardContextual"/>
        </w:rPr>
        <w:drawing>
          <wp:inline distT="0" distB="0" distL="0" distR="0" wp14:anchorId="451B6729" wp14:editId="18ACD3A0">
            <wp:extent cx="5731510" cy="2859405"/>
            <wp:effectExtent l="0" t="0" r="0" b="0"/>
            <wp:docPr id="358261240" name="Picture 2" descr="The bar chart illustrates the proportion of students who are First-in-Family (FiF) to attend university, segmented by various equity group memberships. Each equity group is represented with two bars: one for individuals who belong to the group (&quot;Yes&quot;) and one for those who do not (&quot;No&quot;). The equity groups include:&#10;&#10;Low Socio-Economic Status (SES)&#10;Regional or Remote (RR)&#10;Indigenous&#10;Disability&#10;Women&#10;Non-English Speaking Background (NESB)&#10;Key Insights:&#10;&#10;FiF representation is highest among Indigenous (88.0%) and Low SES (87.7%) students.&#10;FiF proportions are lower among NESB students (58.5%) compared to their non-NESB peers (66.8%).&#10;The proportion of FiF students is similar between women (66.3%) and men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61240" name="Picture 2" descr="The bar chart illustrates the proportion of students who are First-in-Family (FiF) to attend university, segmented by various equity group memberships. Each equity group is represented with two bars: one for individuals who belong to the group (&quot;Yes&quot;) and one for those who do not (&quot;No&quot;). The equity groups include:&#10;&#10;Low Socio-Economic Status (SES)&#10;Regional or Remote (RR)&#10;Indigenous&#10;Disability&#10;Women&#10;Non-English Speaking Background (NESB)&#10;Key Insights:&#10;&#10;FiF representation is highest among Indigenous (88.0%) and Low SES (87.7%) students.&#10;FiF proportions are lower among NESB students (58.5%) compared to their non-NESB peers (66.8%).&#10;The proportion of FiF students is similar between women (66.3%) and men (6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859405"/>
                    </a:xfrm>
                    <a:prstGeom prst="rect">
                      <a:avLst/>
                    </a:prstGeom>
                  </pic:spPr>
                </pic:pic>
              </a:graphicData>
            </a:graphic>
          </wp:inline>
        </w:drawing>
      </w:r>
    </w:p>
    <w:p w14:paraId="0F07A2FD" w14:textId="0AF278B6" w:rsidR="0068693B" w:rsidRPr="002F3A26" w:rsidRDefault="00B576BE" w:rsidP="0068693B">
      <w:pPr>
        <w:pStyle w:val="Notes"/>
      </w:pPr>
      <w:bookmarkStart w:id="33" w:name="_Toc74200148"/>
      <w:bookmarkEnd w:id="28"/>
      <w:bookmarkEnd w:id="29"/>
      <w:bookmarkEnd w:id="30"/>
      <w:r w:rsidRPr="002F3A26">
        <w:t>Notes: Data from PLIDA. SES: socio</w:t>
      </w:r>
      <w:r w:rsidR="00EF5932">
        <w:t>-</w:t>
      </w:r>
      <w:r w:rsidRPr="002F3A26">
        <w:t xml:space="preserve">economic status. NESB: Non-English Speaking Background. </w:t>
      </w:r>
      <w:r w:rsidR="002045AE">
        <w:t xml:space="preserve">RR: regional or remote. </w:t>
      </w:r>
      <w:bookmarkEnd w:id="33"/>
    </w:p>
    <w:p w14:paraId="33854F7F" w14:textId="30CE08B7" w:rsidR="003811D8" w:rsidRPr="002F3A26" w:rsidRDefault="003811D8" w:rsidP="0068693B">
      <w:pPr>
        <w:rPr>
          <w:rFonts w:eastAsiaTheme="minorHAnsi"/>
        </w:rPr>
      </w:pPr>
      <w:r w:rsidRPr="002F3A26">
        <w:rPr>
          <w:rFonts w:eastAsiaTheme="minorHAnsi"/>
        </w:rPr>
        <w:t xml:space="preserve">While </w:t>
      </w:r>
      <w:r w:rsidR="00E61E05">
        <w:rPr>
          <w:rFonts w:eastAsiaTheme="minorHAnsi"/>
        </w:rPr>
        <w:t xml:space="preserve">the </w:t>
      </w:r>
      <w:r w:rsidRPr="002F3A26">
        <w:rPr>
          <w:rFonts w:eastAsiaTheme="minorHAnsi"/>
        </w:rPr>
        <w:t xml:space="preserve">vast </w:t>
      </w:r>
      <w:r w:rsidR="00E61E05">
        <w:rPr>
          <w:rFonts w:eastAsiaTheme="minorHAnsi"/>
        </w:rPr>
        <w:t>majority</w:t>
      </w:r>
      <w:r w:rsidRPr="002F3A26">
        <w:rPr>
          <w:rFonts w:eastAsiaTheme="minorHAnsi"/>
        </w:rPr>
        <w:t xml:space="preserve"> of Indigenous and low</w:t>
      </w:r>
      <w:r w:rsidR="00937FDA">
        <w:rPr>
          <w:rFonts w:eastAsiaTheme="minorHAnsi"/>
        </w:rPr>
        <w:t xml:space="preserve"> </w:t>
      </w:r>
      <w:r w:rsidRPr="002F3A26">
        <w:rPr>
          <w:rFonts w:eastAsiaTheme="minorHAnsi"/>
        </w:rPr>
        <w:t xml:space="preserve">SES individuals belonged to the </w:t>
      </w:r>
      <w:r w:rsidR="00E61E05">
        <w:rPr>
          <w:rFonts w:eastAsiaTheme="minorHAnsi"/>
        </w:rPr>
        <w:t>FiF</w:t>
      </w:r>
      <w:r w:rsidRPr="002F3A26">
        <w:rPr>
          <w:rFonts w:eastAsiaTheme="minorHAnsi"/>
        </w:rPr>
        <w:t xml:space="preserve"> category, it is worth noting that the </w:t>
      </w:r>
      <w:r w:rsidR="001064E3">
        <w:rPr>
          <w:rFonts w:eastAsiaTheme="minorHAnsi"/>
        </w:rPr>
        <w:t>FiF</w:t>
      </w:r>
      <w:r w:rsidRPr="002F3A26">
        <w:rPr>
          <w:rFonts w:eastAsiaTheme="minorHAnsi"/>
        </w:rPr>
        <w:t xml:space="preserve"> category was much larger. It means that a large proportion of </w:t>
      </w:r>
      <w:r w:rsidR="00E61E05">
        <w:rPr>
          <w:rFonts w:eastAsiaTheme="minorHAnsi"/>
        </w:rPr>
        <w:t>FiF</w:t>
      </w:r>
      <w:r w:rsidRPr="002F3A26">
        <w:rPr>
          <w:rFonts w:eastAsiaTheme="minorHAnsi"/>
        </w:rPr>
        <w:t xml:space="preserve"> individuals did not come from </w:t>
      </w:r>
      <w:r w:rsidR="00E61E05">
        <w:rPr>
          <w:rFonts w:eastAsiaTheme="minorHAnsi"/>
        </w:rPr>
        <w:t xml:space="preserve">a </w:t>
      </w:r>
      <w:r w:rsidRPr="002F3A26">
        <w:rPr>
          <w:rFonts w:eastAsiaTheme="minorHAnsi"/>
        </w:rPr>
        <w:t>low</w:t>
      </w:r>
      <w:r w:rsidR="00937FDA">
        <w:rPr>
          <w:rFonts w:eastAsiaTheme="minorHAnsi"/>
        </w:rPr>
        <w:t xml:space="preserve"> </w:t>
      </w:r>
      <w:r w:rsidRPr="002F3A26">
        <w:rPr>
          <w:rFonts w:eastAsiaTheme="minorHAnsi"/>
        </w:rPr>
        <w:t xml:space="preserve">SES background and </w:t>
      </w:r>
      <w:r w:rsidR="00E61E05">
        <w:rPr>
          <w:rFonts w:eastAsiaTheme="minorHAnsi"/>
        </w:rPr>
        <w:t>were</w:t>
      </w:r>
      <w:r w:rsidRPr="002F3A26">
        <w:rPr>
          <w:rFonts w:eastAsiaTheme="minorHAnsi"/>
        </w:rPr>
        <w:t xml:space="preserve"> not Indigenous.</w:t>
      </w:r>
    </w:p>
    <w:p w14:paraId="7479CC98" w14:textId="653705ED" w:rsidR="002546E0" w:rsidRDefault="002546E0" w:rsidP="0099076D">
      <w:pPr>
        <w:pStyle w:val="Heading2"/>
      </w:pPr>
      <w:r>
        <w:lastRenderedPageBreak/>
        <w:t xml:space="preserve"> </w:t>
      </w:r>
      <w:bookmarkStart w:id="34" w:name="_Toc202791802"/>
      <w:r>
        <w:t xml:space="preserve">Access to higher education by </w:t>
      </w:r>
      <w:r w:rsidR="00E61E05">
        <w:t>First-in-Family</w:t>
      </w:r>
      <w:r w:rsidRPr="002F3A26">
        <w:t xml:space="preserve"> status and current equity groups</w:t>
      </w:r>
      <w:bookmarkEnd w:id="34"/>
    </w:p>
    <w:p w14:paraId="249EA056" w14:textId="7C3A6051" w:rsidR="002546E0" w:rsidRDefault="002546E0" w:rsidP="004F64B4">
      <w:pPr>
        <w:pStyle w:val="Heading3"/>
      </w:pPr>
      <w:bookmarkStart w:id="35" w:name="_Ref191531582"/>
      <w:bookmarkStart w:id="36" w:name="_Toc202791803"/>
      <w:r>
        <w:t>Descriptive patterns</w:t>
      </w:r>
      <w:bookmarkEnd w:id="35"/>
      <w:bookmarkEnd w:id="36"/>
    </w:p>
    <w:p w14:paraId="2F97C2AC" w14:textId="791466A9" w:rsidR="001B3F10" w:rsidRPr="002F3A26" w:rsidRDefault="00AD45BB" w:rsidP="001B3F10">
      <w:r w:rsidRPr="002F3A26">
        <w:fldChar w:fldCharType="begin"/>
      </w:r>
      <w:r w:rsidRPr="002F3A26">
        <w:instrText xml:space="preserve"> REF _Ref187392051 \h </w:instrText>
      </w:r>
      <w:r w:rsidRPr="002F3A26">
        <w:fldChar w:fldCharType="separate"/>
      </w:r>
      <w:r w:rsidR="00627572" w:rsidRPr="002F3A26">
        <w:t xml:space="preserve">Figure </w:t>
      </w:r>
      <w:r w:rsidR="00627572">
        <w:rPr>
          <w:noProof/>
        </w:rPr>
        <w:t>2</w:t>
      </w:r>
      <w:r w:rsidRPr="002F3A26">
        <w:fldChar w:fldCharType="end"/>
      </w:r>
      <w:r w:rsidRPr="002F3A26">
        <w:t xml:space="preserve"> </w:t>
      </w:r>
      <w:r w:rsidR="00E61E05">
        <w:t>presents</w:t>
      </w:r>
      <w:r w:rsidRPr="002F3A26">
        <w:t xml:space="preserve"> the proportion of individuals who enrolled in a </w:t>
      </w:r>
      <w:r w:rsidR="00BF43D9" w:rsidRPr="002F3A26">
        <w:t>bachelor’s</w:t>
      </w:r>
      <w:r w:rsidRPr="002F3A26">
        <w:t xml:space="preserve"> level course. Members of most of the studied groups accessed higher education at a much lower rate than their peers. Less than </w:t>
      </w:r>
      <w:r w:rsidR="00E61E05">
        <w:t>one-third</w:t>
      </w:r>
      <w:r w:rsidRPr="002F3A26">
        <w:t xml:space="preserve"> of </w:t>
      </w:r>
      <w:r w:rsidR="00E61E05">
        <w:t>FiF</w:t>
      </w:r>
      <w:r w:rsidRPr="002F3A26">
        <w:t xml:space="preserve"> individuals enrolled in a university course, which was less than half the rate for those with a university-educated parent. </w:t>
      </w:r>
      <w:r w:rsidR="00BF43D9" w:rsidRPr="002F3A26">
        <w:t xml:space="preserve">Large differences could also be observed for </w:t>
      </w:r>
      <w:r w:rsidR="00E61E05">
        <w:t>l</w:t>
      </w:r>
      <w:r w:rsidR="00BF43D9" w:rsidRPr="002F3A26">
        <w:t>ow SES (21</w:t>
      </w:r>
      <w:r w:rsidR="003B5BD2" w:rsidRPr="002F3A26">
        <w:t>.2</w:t>
      </w:r>
      <w:r w:rsidR="00BF43D9" w:rsidRPr="002F3A26">
        <w:t xml:space="preserve"> pp less than non-</w:t>
      </w:r>
      <w:r w:rsidR="00E61E05">
        <w:t>l</w:t>
      </w:r>
      <w:r w:rsidR="00BF43D9" w:rsidRPr="002F3A26">
        <w:t xml:space="preserve">ow SES), </w:t>
      </w:r>
      <w:r w:rsidR="009F5FEC">
        <w:t>RR</w:t>
      </w:r>
      <w:r w:rsidR="00BF43D9" w:rsidRPr="002F3A26">
        <w:t xml:space="preserve"> (21</w:t>
      </w:r>
      <w:r w:rsidR="005C40E5" w:rsidRPr="002F3A26">
        <w:t>.4</w:t>
      </w:r>
      <w:r w:rsidR="00BF43D9" w:rsidRPr="002F3A26">
        <w:t xml:space="preserve"> pp less than major cities), and Indigenous individuals (30</w:t>
      </w:r>
      <w:r w:rsidR="005C40E5" w:rsidRPr="002F3A26">
        <w:t>.1</w:t>
      </w:r>
      <w:r w:rsidR="00BF43D9" w:rsidRPr="002F3A26">
        <w:t xml:space="preserve"> pp less than non-Indigenous) as well as people with disability (34</w:t>
      </w:r>
      <w:r w:rsidR="005C40E5" w:rsidRPr="002F3A26">
        <w:t>.3</w:t>
      </w:r>
      <w:r w:rsidR="00BF43D9" w:rsidRPr="002F3A26">
        <w:t xml:space="preserve"> pp less than people without disability). In contrast, women and NESB individuals were more likely to commence university studies than men and ESB individuals, respectively.</w:t>
      </w:r>
    </w:p>
    <w:p w14:paraId="4A3EE745" w14:textId="216FE71E" w:rsidR="000049B7" w:rsidRDefault="005D1ADD" w:rsidP="00D23949">
      <w:pPr>
        <w:pStyle w:val="Caption"/>
      </w:pPr>
      <w:bookmarkStart w:id="37" w:name="_Ref187392051"/>
      <w:bookmarkStart w:id="38" w:name="_Toc201760807"/>
      <w:r w:rsidRPr="002F3A26">
        <w:t xml:space="preserve">Figure </w:t>
      </w:r>
      <w:fldSimple w:instr=" SEQ Figure \* ARABIC ">
        <w:r w:rsidR="00627572">
          <w:rPr>
            <w:noProof/>
          </w:rPr>
          <w:t>2</w:t>
        </w:r>
      </w:fldSimple>
      <w:bookmarkEnd w:id="37"/>
      <w:r w:rsidR="00937FDA">
        <w:rPr>
          <w:noProof/>
        </w:rPr>
        <w:t>:</w:t>
      </w:r>
      <w:r w:rsidRPr="002F3A26">
        <w:t xml:space="preserve"> Proportion of individuals enrolling in higher</w:t>
      </w:r>
      <w:r w:rsidR="00A02E80">
        <w:t xml:space="preserve"> education</w:t>
      </w:r>
      <w:r w:rsidRPr="002F3A26">
        <w:t xml:space="preserve">, by equity-group membership and </w:t>
      </w:r>
      <w:r w:rsidR="00E61E05">
        <w:t>First-in-Family</w:t>
      </w:r>
      <w:r w:rsidRPr="002F3A26">
        <w:t xml:space="preserve"> status</w:t>
      </w:r>
      <w:bookmarkEnd w:id="38"/>
    </w:p>
    <w:p w14:paraId="12C092F1" w14:textId="0CCC98BA" w:rsidR="00D72F84" w:rsidRPr="002F3A26" w:rsidRDefault="00D72F84" w:rsidP="001B3F10">
      <w:r>
        <w:rPr>
          <w:noProof/>
          <w14:ligatures w14:val="standardContextual"/>
        </w:rPr>
        <w:drawing>
          <wp:inline distT="0" distB="0" distL="0" distR="0" wp14:anchorId="200BE01B" wp14:editId="67DCB230">
            <wp:extent cx="5731510" cy="2859405"/>
            <wp:effectExtent l="0" t="0" r="0" b="0"/>
            <wp:docPr id="579201695" name="Picture 3" descr="Figure 2 shows the percentage of people enrolling in higher education, broken down by equity-group membership and whether they are the first in their family (FiF) to attend. Across all groups, FiF individuals have lower enrolment rates. The lowest rates are seen among people with disability (10.2%) and Indigenous individuals (14.6%), while women (50.8%) and those from non-English speaking backgrounds (49.9%) have higher enrolment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01695" name="Picture 3" descr="Figure 2 shows the percentage of people enrolling in higher education, broken down by equity-group membership and whether they are the first in their family (FiF) to attend. Across all groups, FiF individuals have lower enrolment rates. The lowest rates are seen among people with disability (10.2%) and Indigenous individuals (14.6%), while women (50.8%) and those from non-English speaking backgrounds (49.9%) have higher enrolment rate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859405"/>
                    </a:xfrm>
                    <a:prstGeom prst="rect">
                      <a:avLst/>
                    </a:prstGeom>
                  </pic:spPr>
                </pic:pic>
              </a:graphicData>
            </a:graphic>
          </wp:inline>
        </w:drawing>
      </w:r>
    </w:p>
    <w:p w14:paraId="569E8A78" w14:textId="130D9DA9" w:rsidR="00AD45BB" w:rsidRPr="002F3A26" w:rsidRDefault="00AD45BB" w:rsidP="00AD45BB">
      <w:pPr>
        <w:pStyle w:val="Notes"/>
      </w:pPr>
      <w:r w:rsidRPr="002F3A26">
        <w:t xml:space="preserve">Notes: Data from PLIDA. </w:t>
      </w:r>
      <w:r w:rsidR="00E61E05">
        <w:t>FiF: First-in-Family status</w:t>
      </w:r>
      <w:r w:rsidR="000049B7" w:rsidRPr="002F3A26">
        <w:t xml:space="preserve">. </w:t>
      </w:r>
      <w:r w:rsidRPr="002F3A26">
        <w:t>SES: socio</w:t>
      </w:r>
      <w:r w:rsidR="00EF5932">
        <w:t>-</w:t>
      </w:r>
      <w:r w:rsidRPr="002F3A26">
        <w:t xml:space="preserve">economic status. NESB: Non-English Speaking Background. </w:t>
      </w:r>
      <w:r w:rsidR="002045AE">
        <w:t xml:space="preserve">RR: regional or remote. </w:t>
      </w:r>
    </w:p>
    <w:p w14:paraId="3FEA7E54" w14:textId="3A120034" w:rsidR="00A41392" w:rsidRPr="002F3A26" w:rsidRDefault="005440F1" w:rsidP="001B3F10">
      <w:r w:rsidRPr="002F3A26">
        <w:t>The disadvantage was even greater once the selectivity of the universit</w:t>
      </w:r>
      <w:r w:rsidR="00235C5F" w:rsidRPr="002F3A26">
        <w:t xml:space="preserve">ies was factored in. </w:t>
      </w:r>
      <w:r w:rsidR="00A41392" w:rsidRPr="002F3A26">
        <w:t>Young people from disadvantaged groups</w:t>
      </w:r>
      <w:r w:rsidR="00B877AD" w:rsidRPr="002F3A26">
        <w:t>, who</w:t>
      </w:r>
      <w:r w:rsidR="00A41392" w:rsidRPr="002F3A26">
        <w:t xml:space="preserve"> were </w:t>
      </w:r>
      <w:r w:rsidRPr="002F3A26">
        <w:t xml:space="preserve">already </w:t>
      </w:r>
      <w:r w:rsidR="00A41392" w:rsidRPr="002F3A26">
        <w:t>less likely to enrol in a bachelor’s program</w:t>
      </w:r>
      <w:r w:rsidR="00B877AD" w:rsidRPr="002F3A26">
        <w:t>, were</w:t>
      </w:r>
      <w:r w:rsidR="00A41392" w:rsidRPr="002F3A26">
        <w:t xml:space="preserve"> also less likely to enter a selective institution. </w:t>
      </w:r>
      <w:r w:rsidR="00A41392" w:rsidRPr="002F3A26">
        <w:fldChar w:fldCharType="begin"/>
      </w:r>
      <w:r w:rsidR="00A41392" w:rsidRPr="002F3A26">
        <w:instrText xml:space="preserve"> REF _Ref187413185 \h </w:instrText>
      </w:r>
      <w:r w:rsidR="00A41392" w:rsidRPr="002F3A26">
        <w:fldChar w:fldCharType="separate"/>
      </w:r>
      <w:r w:rsidR="00627572" w:rsidRPr="002F3A26">
        <w:t xml:space="preserve">Figure </w:t>
      </w:r>
      <w:r w:rsidR="00627572">
        <w:rPr>
          <w:noProof/>
        </w:rPr>
        <w:t>3</w:t>
      </w:r>
      <w:r w:rsidR="00A41392" w:rsidRPr="002F3A26">
        <w:fldChar w:fldCharType="end"/>
      </w:r>
      <w:r w:rsidR="00A41392" w:rsidRPr="002F3A26">
        <w:t xml:space="preserve"> shows the proportion of those who commenced studies at a selective institution among those who entered higher education calculated for each studied group and their counterparts. Only 37% of </w:t>
      </w:r>
      <w:r w:rsidR="00E61E05">
        <w:t>FiF</w:t>
      </w:r>
      <w:r w:rsidR="00A41392" w:rsidRPr="002F3A26">
        <w:t xml:space="preserve"> students studied at a </w:t>
      </w:r>
      <w:r w:rsidR="00B877AD" w:rsidRPr="002F3A26">
        <w:t>selective institution</w:t>
      </w:r>
      <w:r w:rsidR="00A41392" w:rsidRPr="002F3A26">
        <w:t xml:space="preserve">, while the share among those with university-educated parents was </w:t>
      </w:r>
      <w:r w:rsidR="005C40E5" w:rsidRPr="002F3A26">
        <w:t>17.8</w:t>
      </w:r>
      <w:r w:rsidR="00B877AD" w:rsidRPr="002F3A26">
        <w:t xml:space="preserve"> pp higher</w:t>
      </w:r>
      <w:r w:rsidR="00A41392" w:rsidRPr="002F3A26">
        <w:t xml:space="preserve">. </w:t>
      </w:r>
      <w:r w:rsidR="005C40E5" w:rsidRPr="002F3A26">
        <w:t xml:space="preserve">Marked differences could be observed for most </w:t>
      </w:r>
      <w:r w:rsidR="00EC67B5">
        <w:t>e</w:t>
      </w:r>
      <w:r w:rsidR="005C40E5" w:rsidRPr="002F3A26">
        <w:t xml:space="preserve">quity </w:t>
      </w:r>
      <w:r w:rsidR="00EC67B5">
        <w:t>g</w:t>
      </w:r>
      <w:r w:rsidR="005C40E5" w:rsidRPr="002F3A26">
        <w:t>roups</w:t>
      </w:r>
      <w:r w:rsidR="00B877AD" w:rsidRPr="002F3A26">
        <w:t>.</w:t>
      </w:r>
      <w:r w:rsidR="005C40E5" w:rsidRPr="002F3A26">
        <w:t xml:space="preserve"> In the case of </w:t>
      </w:r>
      <w:r w:rsidR="009F5FEC">
        <w:t>RR</w:t>
      </w:r>
      <w:r w:rsidR="005C40E5" w:rsidRPr="002F3A26">
        <w:t xml:space="preserve"> students, the difference was even larger than among </w:t>
      </w:r>
      <w:r w:rsidR="00E61E05">
        <w:t>FiF</w:t>
      </w:r>
      <w:r w:rsidR="005C40E5" w:rsidRPr="002F3A26">
        <w:t xml:space="preserve"> students</w:t>
      </w:r>
      <w:r w:rsidR="0085550F">
        <w:t>—</w:t>
      </w:r>
      <w:r w:rsidR="005C40E5" w:rsidRPr="002F3A26">
        <w:t>25.4 pp.</w:t>
      </w:r>
      <w:r w:rsidR="00B877AD" w:rsidRPr="002F3A26">
        <w:t xml:space="preserve"> </w:t>
      </w:r>
      <w:r w:rsidR="00235C5F" w:rsidRPr="002F3A26">
        <w:t>Interestingly, w</w:t>
      </w:r>
      <w:r w:rsidR="00957BA7" w:rsidRPr="002F3A26">
        <w:t>omen</w:t>
      </w:r>
      <w:r w:rsidR="00E61E05">
        <w:t>,</w:t>
      </w:r>
      <w:r w:rsidR="00957BA7" w:rsidRPr="002F3A26">
        <w:t xml:space="preserve"> who were more likely than men to enter higher education, were less likely to enrol in a selective institution, albeit the difference was not as </w:t>
      </w:r>
      <w:r w:rsidR="00957BA7" w:rsidRPr="002F3A26">
        <w:lastRenderedPageBreak/>
        <w:t xml:space="preserve">large as in the case of other groups. In contrast to other groups, NESB individuals exhibited a </w:t>
      </w:r>
      <w:r w:rsidR="005C40E5" w:rsidRPr="002F3A26">
        <w:t xml:space="preserve">10.9 pp </w:t>
      </w:r>
      <w:r w:rsidR="00957BA7" w:rsidRPr="002F3A26">
        <w:t>higher rate of enrolment in a selective institution than their ESB peers.</w:t>
      </w:r>
    </w:p>
    <w:p w14:paraId="40CAECD9" w14:textId="73CA6036" w:rsidR="005D1ADD" w:rsidRDefault="005D1ADD" w:rsidP="00D23949">
      <w:pPr>
        <w:pStyle w:val="Caption"/>
      </w:pPr>
      <w:bookmarkStart w:id="39" w:name="_Ref187413185"/>
      <w:bookmarkStart w:id="40" w:name="_Toc201760808"/>
      <w:r w:rsidRPr="002F3A26">
        <w:t xml:space="preserve">Figure </w:t>
      </w:r>
      <w:fldSimple w:instr=" SEQ Figure \* ARABIC ">
        <w:r w:rsidR="00627572">
          <w:rPr>
            <w:noProof/>
          </w:rPr>
          <w:t>3</w:t>
        </w:r>
      </w:fldSimple>
      <w:bookmarkEnd w:id="39"/>
      <w:r w:rsidR="0085550F">
        <w:rPr>
          <w:noProof/>
        </w:rPr>
        <w:t>:</w:t>
      </w:r>
      <w:r w:rsidRPr="002F3A26">
        <w:t xml:space="preserve"> Proportion of </w:t>
      </w:r>
      <w:r w:rsidR="00D95254">
        <w:t>students</w:t>
      </w:r>
      <w:r w:rsidRPr="002F3A26">
        <w:t xml:space="preserve"> enrolling in </w:t>
      </w:r>
      <w:r w:rsidR="00D95254">
        <w:t>a selective institution</w:t>
      </w:r>
      <w:r w:rsidRPr="002F3A26">
        <w:t xml:space="preserve"> by equity-group membership and </w:t>
      </w:r>
      <w:r w:rsidR="00E61E05">
        <w:t>First-in-Family</w:t>
      </w:r>
      <w:r w:rsidRPr="002F3A26">
        <w:t xml:space="preserve"> status</w:t>
      </w:r>
      <w:bookmarkEnd w:id="40"/>
    </w:p>
    <w:p w14:paraId="5E66A523" w14:textId="443D8F8F" w:rsidR="009A641A" w:rsidRPr="002F3A26" w:rsidRDefault="00D72F84" w:rsidP="001B3F10">
      <w:r>
        <w:rPr>
          <w:noProof/>
          <w14:ligatures w14:val="standardContextual"/>
        </w:rPr>
        <w:drawing>
          <wp:inline distT="0" distB="0" distL="0" distR="0" wp14:anchorId="756D73D3" wp14:editId="0C1DA201">
            <wp:extent cx="5731510" cy="2859405"/>
            <wp:effectExtent l="0" t="0" r="0" b="0"/>
            <wp:docPr id="1853948326" name="Picture 4" descr="Figure 3 shows the percentage of students from different equity groups enrolled in selective higher education institutions. Across most groups, students not in equity groups are more likely to attend selective institutions. The exception is students from non-English speaking backgrounds (NESB), who have the highest enrolment rate (56.9%), even higher than their non-NESB p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48326" name="Picture 4" descr="Figure 3 shows the percentage of students from different equity groups enrolled in selective higher education institutions. Across most groups, students not in equity groups are more likely to attend selective institutions. The exception is students from non-English speaking backgrounds (NESB), who have the highest enrolment rate (56.9%), even higher than their non-NESB peer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859405"/>
                    </a:xfrm>
                    <a:prstGeom prst="rect">
                      <a:avLst/>
                    </a:prstGeom>
                  </pic:spPr>
                </pic:pic>
              </a:graphicData>
            </a:graphic>
          </wp:inline>
        </w:drawing>
      </w:r>
    </w:p>
    <w:p w14:paraId="229A9540" w14:textId="0C662811" w:rsidR="000049B7" w:rsidRPr="002F3A26" w:rsidRDefault="000049B7" w:rsidP="000049B7">
      <w:pPr>
        <w:pStyle w:val="Notes"/>
      </w:pPr>
      <w:r w:rsidRPr="002F3A26">
        <w:t xml:space="preserve">Notes: Data from PLIDA.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p>
    <w:p w14:paraId="0272E961" w14:textId="7308A02E" w:rsidR="006D4C9B" w:rsidRPr="002F3A26" w:rsidRDefault="006D4C9B" w:rsidP="00F37566">
      <w:r w:rsidRPr="002F3A26">
        <w:t xml:space="preserve">Figure 4 presents the distribution of fields of study among those who enrolled in a bachelor’s level course. It consists of seven panels, one per group. As in </w:t>
      </w:r>
      <w:r w:rsidRPr="002F3A26">
        <w:fldChar w:fldCharType="begin"/>
      </w:r>
      <w:r w:rsidRPr="002F3A26">
        <w:instrText xml:space="preserve"> REF _Ref187392051 \h </w:instrText>
      </w:r>
      <w:r w:rsidRPr="002F3A26">
        <w:fldChar w:fldCharType="separate"/>
      </w:r>
      <w:r w:rsidR="00627572" w:rsidRPr="002F3A26">
        <w:t xml:space="preserve">Figure </w:t>
      </w:r>
      <w:r w:rsidR="00627572">
        <w:rPr>
          <w:noProof/>
        </w:rPr>
        <w:t>2</w:t>
      </w:r>
      <w:r w:rsidRPr="002F3A26">
        <w:fldChar w:fldCharType="end"/>
      </w:r>
      <w:r w:rsidRPr="002F3A26">
        <w:t xml:space="preserve"> and </w:t>
      </w:r>
      <w:r w:rsidRPr="002F3A26">
        <w:fldChar w:fldCharType="begin"/>
      </w:r>
      <w:r w:rsidRPr="002F3A26">
        <w:instrText xml:space="preserve"> REF _Ref187413185 \h </w:instrText>
      </w:r>
      <w:r w:rsidRPr="002F3A26">
        <w:fldChar w:fldCharType="separate"/>
      </w:r>
      <w:r w:rsidR="00627572" w:rsidRPr="002F3A26">
        <w:t xml:space="preserve">Figure </w:t>
      </w:r>
      <w:r w:rsidR="00627572">
        <w:rPr>
          <w:noProof/>
        </w:rPr>
        <w:t>3</w:t>
      </w:r>
      <w:r w:rsidRPr="002F3A26">
        <w:fldChar w:fldCharType="end"/>
      </w:r>
      <w:r w:rsidRPr="002F3A26">
        <w:t xml:space="preserve">, the left column (light colour) represents individuals belonging to a given group, for example, </w:t>
      </w:r>
      <w:r w:rsidR="00E61E05">
        <w:t>FiF</w:t>
      </w:r>
      <w:r w:rsidRPr="002F3A26">
        <w:t xml:space="preserve"> individuals, and the right column (dark colour) represents their counterparts. </w:t>
      </w:r>
    </w:p>
    <w:p w14:paraId="1AEB0E25" w14:textId="50DF19EA" w:rsidR="00627572" w:rsidRPr="002F3A26" w:rsidRDefault="00E61E05" w:rsidP="002045AE">
      <w:r>
        <w:t>FiF</w:t>
      </w:r>
      <w:r w:rsidR="00F37566" w:rsidRPr="002F3A26">
        <w:t xml:space="preserve"> status and equity group membership were also associated with the field of study in which students enrolled</w:t>
      </w:r>
      <w:r>
        <w:t>,</w:t>
      </w:r>
      <w:r w:rsidR="00F37566" w:rsidRPr="002F3A26">
        <w:t xml:space="preserve"> resulting in </w:t>
      </w:r>
      <w:r>
        <w:t xml:space="preserve">an </w:t>
      </w:r>
      <w:r w:rsidR="00F37566" w:rsidRPr="002F3A26">
        <w:t xml:space="preserve">underrepresentation of </w:t>
      </w:r>
      <w:r w:rsidR="00032C06" w:rsidRPr="002F3A26">
        <w:t xml:space="preserve">disadvantaged groups in some fields. </w:t>
      </w:r>
      <w:r w:rsidR="00AC7D95" w:rsidRPr="002F3A26">
        <w:t xml:space="preserve">However, there was no common pattern for all groups. </w:t>
      </w:r>
      <w:r w:rsidR="00F37566" w:rsidRPr="002F3A26">
        <w:fldChar w:fldCharType="begin"/>
      </w:r>
      <w:r w:rsidR="00F37566" w:rsidRPr="002F3A26">
        <w:instrText xml:space="preserve"> REF _Ref187479264 \h </w:instrText>
      </w:r>
      <w:r w:rsidR="008F5D6C" w:rsidRPr="002F3A26">
        <w:instrText xml:space="preserve"> \* MERGEFORMAT </w:instrText>
      </w:r>
      <w:r w:rsidR="00F37566" w:rsidRPr="002F3A26">
        <w:fldChar w:fldCharType="separate"/>
      </w:r>
      <w:r w:rsidR="00627572" w:rsidRPr="002F3A26">
        <w:t>However,</w:t>
      </w:r>
      <w:r w:rsidR="00627572" w:rsidRPr="002F3A26">
        <w:rPr>
          <w:noProof/>
        </w:rPr>
        <w:t xml:space="preserve"> </w:t>
      </w:r>
      <w:r w:rsidR="00627572">
        <w:t>the</w:t>
      </w:r>
      <w:r w:rsidR="00627572" w:rsidRPr="002F3A26">
        <w:t xml:space="preserve"> degree of under</w:t>
      </w:r>
      <w:r w:rsidR="00627572">
        <w:t>-</w:t>
      </w:r>
      <w:r w:rsidR="00627572" w:rsidRPr="002F3A26">
        <w:t xml:space="preserve"> or </w:t>
      </w:r>
      <w:r w:rsidR="00627572">
        <w:t>overrepresentation varied</w:t>
      </w:r>
      <w:r w:rsidR="00627572" w:rsidRPr="002F3A26">
        <w:t xml:space="preserve"> widely</w:t>
      </w:r>
      <w:r w:rsidR="00627572">
        <w:t>,</w:t>
      </w:r>
      <w:r w:rsidR="00627572" w:rsidRPr="002F3A26">
        <w:t xml:space="preserve"> and there were some exceptions. For example, the above </w:t>
      </w:r>
      <w:r w:rsidR="00627572">
        <w:t>FiF</w:t>
      </w:r>
      <w:r w:rsidR="00627572" w:rsidRPr="002F3A26">
        <w:t xml:space="preserve"> students were much less likely to enrol in medical studies than other students (0.3% compared to 1.3%, resulting in </w:t>
      </w:r>
      <w:r w:rsidR="00627572">
        <w:t xml:space="preserve">a </w:t>
      </w:r>
      <w:r w:rsidR="00627572" w:rsidRPr="002F3A26">
        <w:t xml:space="preserve">relative risk of 0.23) and 70% more likely to choose education (8.2% compared to 4.8%, and relative risk = 1.7). In turn, in </w:t>
      </w:r>
      <w:r w:rsidR="00627572">
        <w:t xml:space="preserve">the </w:t>
      </w:r>
      <w:r w:rsidR="00627572" w:rsidRPr="002F3A26">
        <w:t>case of Indigenous students</w:t>
      </w:r>
      <w:r w:rsidR="00627572">
        <w:t>,</w:t>
      </w:r>
      <w:r w:rsidR="00627572" w:rsidRPr="002F3A26">
        <w:t xml:space="preserve"> the underrepresentation was particularly large in </w:t>
      </w:r>
      <w:r w:rsidR="00627572">
        <w:t xml:space="preserve">the </w:t>
      </w:r>
      <w:r w:rsidR="00627572" w:rsidRPr="002F3A26">
        <w:t>case of management and commerce (8.9% compared to 15.9%, relative risk = 0.56). At the same time, Indigenous students were more likely to study law than non-Indigenous students (2.8% compared to 2.0%, relative risk = 1.4).</w:t>
      </w:r>
    </w:p>
    <w:p w14:paraId="21D788EC" w14:textId="44168AF9" w:rsidR="00AF64DB" w:rsidRPr="002F3A26" w:rsidRDefault="00627572" w:rsidP="00F37566">
      <w:r w:rsidRPr="002F3A26">
        <w:t xml:space="preserve">Figure </w:t>
      </w:r>
      <w:r>
        <w:rPr>
          <w:noProof/>
        </w:rPr>
        <w:t>4</w:t>
      </w:r>
      <w:r w:rsidR="00F37566" w:rsidRPr="002F3A26">
        <w:fldChar w:fldCharType="end"/>
      </w:r>
      <w:r w:rsidR="00F37566" w:rsidRPr="002F3A26">
        <w:t xml:space="preserve"> shows</w:t>
      </w:r>
      <w:r w:rsidR="00032C06" w:rsidRPr="002F3A26">
        <w:t xml:space="preserve">, the NESB individuals were a distinct category, overrepresented in areas such as medical studies, </w:t>
      </w:r>
      <w:r w:rsidR="0024507C">
        <w:t>s</w:t>
      </w:r>
      <w:r w:rsidR="00D02334" w:rsidRPr="00D02334">
        <w:t>cience, technology, engineering</w:t>
      </w:r>
      <w:r w:rsidR="0085550F">
        <w:t>,</w:t>
      </w:r>
      <w:r w:rsidR="00D02334" w:rsidRPr="00D02334">
        <w:t xml:space="preserve"> and mathematics </w:t>
      </w:r>
      <w:r w:rsidR="0024507C">
        <w:t>(</w:t>
      </w:r>
      <w:r w:rsidR="00032C06" w:rsidRPr="002F3A26">
        <w:t>STEM</w:t>
      </w:r>
      <w:r w:rsidR="0024507C">
        <w:t>)</w:t>
      </w:r>
      <w:r w:rsidR="00032C06" w:rsidRPr="002F3A26">
        <w:t xml:space="preserve"> fields, and management and commerce, in which other groups tended to be underrepresented. Other groups</w:t>
      </w:r>
      <w:r w:rsidR="00AC7D95" w:rsidRPr="002F3A26">
        <w:t xml:space="preserve"> were generally</w:t>
      </w:r>
      <w:r w:rsidR="00032C06" w:rsidRPr="002F3A26">
        <w:t xml:space="preserve"> overrepresented </w:t>
      </w:r>
      <w:r w:rsidR="00261CF8" w:rsidRPr="002F3A26">
        <w:t xml:space="preserve">in education and other health and </w:t>
      </w:r>
      <w:r w:rsidR="00AC7D95" w:rsidRPr="002F3A26">
        <w:t xml:space="preserve">underrepresented in architecture and building, management and commerce, engineering and related technologies, and natural and physical sciences. </w:t>
      </w:r>
    </w:p>
    <w:p w14:paraId="28C32C43" w14:textId="7C4597F1" w:rsidR="005D1ADD" w:rsidRPr="002F3A26" w:rsidRDefault="005D1ADD" w:rsidP="00D23949">
      <w:pPr>
        <w:pStyle w:val="Caption"/>
      </w:pPr>
      <w:bookmarkStart w:id="41" w:name="_Ref187479264"/>
      <w:bookmarkStart w:id="42" w:name="_Ref192853459"/>
      <w:bookmarkStart w:id="43" w:name="_Toc201760809"/>
      <w:r w:rsidRPr="002F3A26">
        <w:lastRenderedPageBreak/>
        <w:t xml:space="preserve">Figure </w:t>
      </w:r>
      <w:fldSimple w:instr=" SEQ Figure \* ARABIC ">
        <w:r w:rsidR="00627572">
          <w:rPr>
            <w:noProof/>
          </w:rPr>
          <w:t>4</w:t>
        </w:r>
      </w:fldSimple>
      <w:bookmarkEnd w:id="41"/>
      <w:bookmarkEnd w:id="42"/>
      <w:r w:rsidR="0085550F">
        <w:rPr>
          <w:noProof/>
        </w:rPr>
        <w:t>:</w:t>
      </w:r>
      <w:r w:rsidRPr="002F3A26">
        <w:t xml:space="preserve"> Distribution of fields of study among those enrolled in a bachelor’s level course by equity-group membership and </w:t>
      </w:r>
      <w:r w:rsidR="00E61E05">
        <w:t>First-in-Family</w:t>
      </w:r>
      <w:r w:rsidRPr="002F3A26">
        <w:t xml:space="preserve"> status</w:t>
      </w:r>
      <w:bookmarkEnd w:id="43"/>
    </w:p>
    <w:p w14:paraId="3C1A2053" w14:textId="7C30B1BD" w:rsidR="006D4C9B" w:rsidRPr="002F3A26" w:rsidRDefault="00A252F6" w:rsidP="00F37566">
      <w:r>
        <w:rPr>
          <w:noProof/>
          <w14:ligatures w14:val="standardContextual"/>
        </w:rPr>
        <w:drawing>
          <wp:inline distT="0" distB="0" distL="0" distR="0" wp14:anchorId="731FAB79" wp14:editId="5C24D574">
            <wp:extent cx="5731510" cy="7161530"/>
            <wp:effectExtent l="0" t="0" r="0" b="0"/>
            <wp:docPr id="1565781973" name="Picture 5" descr="Figure 4 shows the distribution of students across different fields of study, comparing those from equity groups (EG) with those not in equity groups. In most fields, the proportions of EG and non-EG students are similar, though some differences appear in areas like Engineering, Natural Sciences, and Creative Arts. Data for some groups in certain fields (e.g., students with disability in Law) are not shown due to privacy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81973" name="Picture 5" descr="Figure 4 shows the distribution of students across different fields of study, comparing those from equity groups (EG) with those not in equity groups. In most fields, the proportions of EG and non-EG students are similar, though some differences appear in areas like Engineering, Natural Sciences, and Creative Arts. Data for some groups in certain fields (e.g., students with disability in Law) are not shown due to privacy requirement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7161530"/>
                    </a:xfrm>
                    <a:prstGeom prst="rect">
                      <a:avLst/>
                    </a:prstGeom>
                  </pic:spPr>
                </pic:pic>
              </a:graphicData>
            </a:graphic>
          </wp:inline>
        </w:drawing>
      </w:r>
    </w:p>
    <w:p w14:paraId="69D06608" w14:textId="23C58AC5" w:rsidR="00A70BD6" w:rsidRPr="002F3A26" w:rsidRDefault="00A70BD6" w:rsidP="00A70BD6">
      <w:pPr>
        <w:pStyle w:val="Notes"/>
      </w:pPr>
      <w:r w:rsidRPr="002F3A26">
        <w:t xml:space="preserve">Notes: Data from PLIDA. </w:t>
      </w:r>
      <w:r w:rsidR="0085550F">
        <w:t xml:space="preserve">EG: equity group.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005161E6" w:rsidRPr="002F3A26">
        <w:t xml:space="preserve">Data on </w:t>
      </w:r>
      <w:r w:rsidR="00E61E05">
        <w:t xml:space="preserve">the </w:t>
      </w:r>
      <w:r w:rsidR="005161E6" w:rsidRPr="002F3A26">
        <w:t>share of students with disability in some fields (</w:t>
      </w:r>
      <w:r w:rsidR="0085550F">
        <w:t>for example,</w:t>
      </w:r>
      <w:r w:rsidR="005161E6" w:rsidRPr="002F3A26">
        <w:t xml:space="preserve"> law) needed to be suppressed to meet ABS data clearance requirements.</w:t>
      </w:r>
    </w:p>
    <w:p w14:paraId="3292D8F7" w14:textId="5FDD00E7" w:rsidR="00C8071D" w:rsidRPr="002F3A26" w:rsidRDefault="00500DF0" w:rsidP="0099076D">
      <w:pPr>
        <w:pStyle w:val="Heading2"/>
      </w:pPr>
      <w:r>
        <w:lastRenderedPageBreak/>
        <w:t xml:space="preserve"> </w:t>
      </w:r>
      <w:bookmarkStart w:id="44" w:name="_Toc202791804"/>
      <w:r w:rsidR="00C8071D" w:rsidRPr="002F3A26">
        <w:t>Regression modelling</w:t>
      </w:r>
      <w:bookmarkEnd w:id="44"/>
    </w:p>
    <w:p w14:paraId="246F878D" w14:textId="448C3FFF" w:rsidR="00BB5114" w:rsidRPr="002F3A26" w:rsidRDefault="00E27850" w:rsidP="00BB5114">
      <w:pPr>
        <w:rPr>
          <w:lang w:eastAsia="en-AU"/>
        </w:rPr>
      </w:pPr>
      <w:r w:rsidRPr="002F3A26">
        <w:t xml:space="preserve">To verify the descriptive results, </w:t>
      </w:r>
      <w:r w:rsidR="00E61E05">
        <w:t>multivariable logistic and multinomial logistic regression models</w:t>
      </w:r>
      <w:r w:rsidRPr="002F3A26">
        <w:t xml:space="preserve"> </w:t>
      </w:r>
      <w:r w:rsidR="003631A7">
        <w:t xml:space="preserve">were used to </w:t>
      </w:r>
      <w:r w:rsidRPr="002F3A26">
        <w:t>examin</w:t>
      </w:r>
      <w:r w:rsidR="003631A7">
        <w:t>e</w:t>
      </w:r>
      <w:r w:rsidRPr="002F3A26">
        <w:t xml:space="preserve"> the relationships between educational outcomes, </w:t>
      </w:r>
      <w:r w:rsidR="00E61E05">
        <w:t>FiF</w:t>
      </w:r>
      <w:r w:rsidRPr="002F3A26">
        <w:t xml:space="preserve"> status, and equity-group membership while accounting for potential confounds</w:t>
      </w:r>
      <w:r w:rsidR="00EB5812">
        <w:t>,</w:t>
      </w:r>
      <w:r w:rsidR="00305AA3">
        <w:t xml:space="preserve"> </w:t>
      </w:r>
      <w:r w:rsidRPr="002F3A26">
        <w:t xml:space="preserve">that is, parental occupation, family income, and number of parents in the household. </w:t>
      </w:r>
    </w:p>
    <w:p w14:paraId="469A4709" w14:textId="77777777" w:rsidR="00C8071D" w:rsidRPr="002F3A26" w:rsidRDefault="00C8071D" w:rsidP="004F64B4">
      <w:pPr>
        <w:pStyle w:val="Heading3"/>
      </w:pPr>
      <w:bookmarkStart w:id="45" w:name="_Toc202791805"/>
      <w:r w:rsidRPr="002F3A26">
        <w:t>Enrolment in higher education</w:t>
      </w:r>
      <w:bookmarkEnd w:id="45"/>
    </w:p>
    <w:p w14:paraId="6ABDD301" w14:textId="5782E06F" w:rsidR="00375452" w:rsidRDefault="009C120E" w:rsidP="00BB5114">
      <w:r w:rsidRPr="002F3A26">
        <w:t xml:space="preserve">The first set of models (see Models I, II, and III in </w:t>
      </w:r>
      <w:r w:rsidR="001C33D7" w:rsidRPr="002F3A26">
        <w:fldChar w:fldCharType="begin"/>
      </w:r>
      <w:r w:rsidR="001C33D7" w:rsidRPr="002F3A26">
        <w:instrText xml:space="preserve"> REF _Ref187816169 \h </w:instrText>
      </w:r>
      <w:r w:rsidR="001C33D7" w:rsidRPr="002F3A26">
        <w:fldChar w:fldCharType="separate"/>
      </w:r>
      <w:r w:rsidR="00627572" w:rsidRPr="002F3A26">
        <w:t xml:space="preserve">Table </w:t>
      </w:r>
      <w:r w:rsidR="00627572">
        <w:rPr>
          <w:noProof/>
        </w:rPr>
        <w:t>1</w:t>
      </w:r>
      <w:r w:rsidR="001C33D7" w:rsidRPr="002F3A26">
        <w:fldChar w:fldCharType="end"/>
      </w:r>
      <w:r w:rsidRPr="002F3A26">
        <w:t xml:space="preserve">) aimed to verify the descriptive patterns shown in </w:t>
      </w:r>
      <w:r w:rsidRPr="002F3A26">
        <w:fldChar w:fldCharType="begin"/>
      </w:r>
      <w:r w:rsidRPr="002F3A26">
        <w:instrText xml:space="preserve"> REF _Ref187392051 \h </w:instrText>
      </w:r>
      <w:r w:rsidRPr="002F3A26">
        <w:fldChar w:fldCharType="separate"/>
      </w:r>
      <w:r w:rsidR="00627572" w:rsidRPr="002F3A26">
        <w:t xml:space="preserve">Figure </w:t>
      </w:r>
      <w:r w:rsidR="00627572">
        <w:rPr>
          <w:noProof/>
        </w:rPr>
        <w:t>2</w:t>
      </w:r>
      <w:r w:rsidRPr="002F3A26">
        <w:fldChar w:fldCharType="end"/>
      </w:r>
      <w:r w:rsidRPr="002F3A26">
        <w:t xml:space="preserve">. The models considered the effects of </w:t>
      </w:r>
      <w:r w:rsidR="00E61E05">
        <w:t>FiF</w:t>
      </w:r>
      <w:r w:rsidRPr="002F3A26">
        <w:t xml:space="preserve"> status on university enrolments </w:t>
      </w:r>
      <w:r w:rsidR="000379EF" w:rsidRPr="002F3A26">
        <w:t>in three steps</w:t>
      </w:r>
      <w:r w:rsidR="000521A7" w:rsidRPr="002F3A26">
        <w:t>.</w:t>
      </w:r>
      <w:r w:rsidR="000379EF" w:rsidRPr="002F3A26">
        <w:t xml:space="preserve"> </w:t>
      </w:r>
      <w:r w:rsidR="00E61E05">
        <w:t>The first</w:t>
      </w:r>
      <w:r w:rsidR="000379EF" w:rsidRPr="002F3A26">
        <w:t xml:space="preserve"> </w:t>
      </w:r>
      <w:r w:rsidR="000521A7" w:rsidRPr="002F3A26">
        <w:t xml:space="preserve">model investigated the effects </w:t>
      </w:r>
      <w:r w:rsidRPr="002F3A26">
        <w:t>after introducing the control variables</w:t>
      </w:r>
      <w:r w:rsidR="000379EF" w:rsidRPr="002F3A26">
        <w:t xml:space="preserve"> but without considering equity</w:t>
      </w:r>
      <w:r w:rsidR="0085550F">
        <w:t xml:space="preserve"> </w:t>
      </w:r>
      <w:r w:rsidR="000379EF" w:rsidRPr="002F3A26">
        <w:t>group membership</w:t>
      </w:r>
      <w:r w:rsidR="000521A7" w:rsidRPr="002F3A26">
        <w:t>.</w:t>
      </w:r>
      <w:r w:rsidR="000379EF" w:rsidRPr="002F3A26">
        <w:t xml:space="preserve"> </w:t>
      </w:r>
      <w:r w:rsidR="000521A7" w:rsidRPr="002F3A26">
        <w:t xml:space="preserve">The second model investigated the effects </w:t>
      </w:r>
      <w:r w:rsidR="000379EF" w:rsidRPr="002F3A26">
        <w:t xml:space="preserve">then after introducing </w:t>
      </w:r>
      <w:r w:rsidRPr="002F3A26">
        <w:t>equity</w:t>
      </w:r>
      <w:r w:rsidR="0085550F">
        <w:t xml:space="preserve"> </w:t>
      </w:r>
      <w:r w:rsidRPr="002F3A26">
        <w:t>group membershi</w:t>
      </w:r>
      <w:r w:rsidR="000379EF" w:rsidRPr="002F3A26">
        <w:t>p</w:t>
      </w:r>
      <w:r w:rsidR="000521A7" w:rsidRPr="002F3A26">
        <w:t>.</w:t>
      </w:r>
      <w:r w:rsidR="000379EF" w:rsidRPr="002F3A26">
        <w:t xml:space="preserve"> </w:t>
      </w:r>
      <w:r w:rsidR="006827AF" w:rsidRPr="002F3A26">
        <w:t xml:space="preserve">In other words, the model tested whether </w:t>
      </w:r>
      <w:r w:rsidR="00E61E05">
        <w:t>FiF</w:t>
      </w:r>
      <w:r w:rsidR="006827AF" w:rsidRPr="002F3A26">
        <w:t xml:space="preserve"> status and equity group membership affected enrolment in higher education independently of each other. </w:t>
      </w:r>
      <w:r w:rsidR="000521A7" w:rsidRPr="002F3A26">
        <w:t>F</w:t>
      </w:r>
      <w:r w:rsidR="000379EF" w:rsidRPr="002F3A26">
        <w:t>inally</w:t>
      </w:r>
      <w:r w:rsidR="000521A7" w:rsidRPr="002F3A26">
        <w:t xml:space="preserve">, the last model </w:t>
      </w:r>
      <w:r w:rsidR="006827AF" w:rsidRPr="002F3A26">
        <w:t xml:space="preserve">explored the moderating effects of equity group membership on the relationship between </w:t>
      </w:r>
      <w:r w:rsidR="00E61E05">
        <w:t>FiF</w:t>
      </w:r>
      <w:r w:rsidR="006827AF" w:rsidRPr="002F3A26">
        <w:t xml:space="preserve"> status and university enrolments</w:t>
      </w:r>
      <w:r w:rsidR="001C33D7" w:rsidRPr="002F3A26">
        <w:t>, that is</w:t>
      </w:r>
      <w:r w:rsidR="00E61E05">
        <w:t>,</w:t>
      </w:r>
      <w:r w:rsidR="001C33D7" w:rsidRPr="002F3A26">
        <w:t xml:space="preserve"> whether </w:t>
      </w:r>
      <w:r w:rsidR="00E61E05">
        <w:t>FiF</w:t>
      </w:r>
      <w:r w:rsidR="001C33D7" w:rsidRPr="002F3A26">
        <w:t xml:space="preserve"> status affects the enrolment rates differently for members and non-members of equity groups</w:t>
      </w:r>
      <w:r w:rsidR="006827AF" w:rsidRPr="002F3A26">
        <w:t>.</w:t>
      </w:r>
      <w:r w:rsidR="00375452" w:rsidRPr="002F3A26">
        <w:t xml:space="preserve"> </w:t>
      </w:r>
    </w:p>
    <w:p w14:paraId="67F2062D" w14:textId="2AE75525" w:rsidR="004C7FF2" w:rsidRPr="002F3A26" w:rsidRDefault="004C7FF2" w:rsidP="00D23949">
      <w:pPr>
        <w:pStyle w:val="Caption"/>
      </w:pPr>
      <w:bookmarkStart w:id="46" w:name="_Ref187816169"/>
      <w:bookmarkStart w:id="47" w:name="_Toc200108750"/>
      <w:bookmarkStart w:id="48" w:name="_Ref187816136"/>
      <w:r w:rsidRPr="002F3A26">
        <w:t xml:space="preserve">Table </w:t>
      </w:r>
      <w:fldSimple w:instr=" SEQ Table \* ARABIC ">
        <w:r w:rsidR="00627572">
          <w:rPr>
            <w:noProof/>
          </w:rPr>
          <w:t>1</w:t>
        </w:r>
      </w:fldSimple>
      <w:bookmarkEnd w:id="46"/>
      <w:r w:rsidR="0085550F">
        <w:rPr>
          <w:noProof/>
        </w:rPr>
        <w:t>:</w:t>
      </w:r>
      <w:r w:rsidRPr="002F3A26">
        <w:t xml:space="preserve"> Selected model coefficients (odds ratios) from logistic regression models of enrolment in a bachelor’s level course</w:t>
      </w:r>
      <w:bookmarkEnd w:id="47"/>
      <w:bookmarkEnd w:id="48"/>
    </w:p>
    <w:tbl>
      <w:tblPr>
        <w:tblStyle w:val="ACSEStable"/>
        <w:tblW w:w="0" w:type="auto"/>
        <w:tblCellMar>
          <w:top w:w="28" w:type="dxa"/>
          <w:left w:w="28" w:type="dxa"/>
          <w:bottom w:w="28" w:type="dxa"/>
          <w:right w:w="28" w:type="dxa"/>
        </w:tblCellMar>
        <w:tblLook w:val="04A0" w:firstRow="1" w:lastRow="0" w:firstColumn="1" w:lastColumn="0" w:noHBand="0" w:noVBand="1"/>
      </w:tblPr>
      <w:tblGrid>
        <w:gridCol w:w="5124"/>
        <w:gridCol w:w="1139"/>
        <w:gridCol w:w="1282"/>
        <w:gridCol w:w="1332"/>
      </w:tblGrid>
      <w:tr w:rsidR="004C7FF2" w:rsidRPr="002F3A26" w14:paraId="7F22B6A5" w14:textId="77777777">
        <w:trPr>
          <w:cnfStyle w:val="100000000000" w:firstRow="1" w:lastRow="0" w:firstColumn="0" w:lastColumn="0" w:oddVBand="0" w:evenVBand="0" w:oddHBand="0" w:evenHBand="0" w:firstRowFirstColumn="0" w:firstRowLastColumn="0" w:lastRowFirstColumn="0" w:lastRowLastColumn="0"/>
          <w:trHeight w:val="232"/>
        </w:trPr>
        <w:tc>
          <w:tcPr>
            <w:tcW w:w="5124" w:type="dxa"/>
          </w:tcPr>
          <w:p w14:paraId="4AE3E535" w14:textId="77777777" w:rsidR="004C7FF2" w:rsidRPr="002F3A26" w:rsidRDefault="004C7FF2" w:rsidP="00E67D2C">
            <w:pPr>
              <w:pStyle w:val="TOCHeading"/>
              <w:rPr>
                <w:rFonts w:cs="Arial"/>
                <w:b/>
                <w:bCs/>
              </w:rPr>
            </w:pPr>
            <w:r w:rsidRPr="002F3A26">
              <w:rPr>
                <w:rFonts w:cs="Arial"/>
                <w:b/>
                <w:bCs/>
              </w:rPr>
              <w:t>Model number</w:t>
            </w:r>
          </w:p>
        </w:tc>
        <w:tc>
          <w:tcPr>
            <w:tcW w:w="1139" w:type="dxa"/>
          </w:tcPr>
          <w:p w14:paraId="23DCFB92" w14:textId="77777777" w:rsidR="004C7FF2" w:rsidRPr="002F3A26" w:rsidRDefault="004C7FF2" w:rsidP="00E67D2C">
            <w:pPr>
              <w:pStyle w:val="TOCHeading"/>
              <w:jc w:val="center"/>
              <w:rPr>
                <w:rFonts w:cs="Arial"/>
                <w:b/>
                <w:bCs/>
              </w:rPr>
            </w:pPr>
            <w:r w:rsidRPr="002F3A26">
              <w:rPr>
                <w:rFonts w:cs="Arial"/>
                <w:b/>
                <w:bCs/>
              </w:rPr>
              <w:t>I</w:t>
            </w:r>
          </w:p>
        </w:tc>
        <w:tc>
          <w:tcPr>
            <w:tcW w:w="1282" w:type="dxa"/>
          </w:tcPr>
          <w:p w14:paraId="6FABD74B" w14:textId="77777777" w:rsidR="004C7FF2" w:rsidRPr="002F3A26" w:rsidRDefault="004C7FF2" w:rsidP="00E67D2C">
            <w:pPr>
              <w:pStyle w:val="TOCHeading"/>
              <w:jc w:val="center"/>
              <w:rPr>
                <w:rFonts w:cs="Arial"/>
                <w:b/>
                <w:bCs/>
              </w:rPr>
            </w:pPr>
            <w:r w:rsidRPr="002F3A26">
              <w:rPr>
                <w:rFonts w:cs="Arial"/>
                <w:b/>
                <w:bCs/>
              </w:rPr>
              <w:t>II</w:t>
            </w:r>
          </w:p>
        </w:tc>
        <w:tc>
          <w:tcPr>
            <w:tcW w:w="1332" w:type="dxa"/>
          </w:tcPr>
          <w:p w14:paraId="2E6F4E7C" w14:textId="77777777" w:rsidR="004C7FF2" w:rsidRPr="002F3A26" w:rsidRDefault="004C7FF2" w:rsidP="00E67D2C">
            <w:pPr>
              <w:pStyle w:val="TOCHeading"/>
              <w:jc w:val="center"/>
              <w:rPr>
                <w:rFonts w:cs="Arial"/>
                <w:b/>
                <w:bCs/>
              </w:rPr>
            </w:pPr>
            <w:r w:rsidRPr="002F3A26">
              <w:rPr>
                <w:rFonts w:cs="Arial"/>
                <w:b/>
                <w:bCs/>
              </w:rPr>
              <w:t>III</w:t>
            </w:r>
          </w:p>
        </w:tc>
      </w:tr>
      <w:tr w:rsidR="004C7FF2" w:rsidRPr="002F3A26" w14:paraId="40CDB0D3" w14:textId="77777777" w:rsidTr="00E67D2C">
        <w:trPr>
          <w:trHeight w:val="109"/>
        </w:trPr>
        <w:tc>
          <w:tcPr>
            <w:tcW w:w="5124" w:type="dxa"/>
            <w:shd w:val="clear" w:color="auto" w:fill="78DED9" w:themeFill="accent1"/>
          </w:tcPr>
          <w:p w14:paraId="71C5E2B5" w14:textId="77777777" w:rsidR="004C7FF2" w:rsidRPr="002F3A26" w:rsidRDefault="004C7FF2" w:rsidP="00E67D2C">
            <w:pPr>
              <w:pStyle w:val="TOCHeading"/>
            </w:pPr>
            <w:r w:rsidRPr="002F3A26">
              <w:t>Model title</w:t>
            </w:r>
          </w:p>
        </w:tc>
        <w:tc>
          <w:tcPr>
            <w:tcW w:w="1139" w:type="dxa"/>
            <w:shd w:val="clear" w:color="auto" w:fill="78DED9" w:themeFill="accent1"/>
          </w:tcPr>
          <w:p w14:paraId="4F9722E1" w14:textId="77777777" w:rsidR="004C7FF2" w:rsidRPr="002F3A26" w:rsidRDefault="004C7FF2" w:rsidP="00E67D2C">
            <w:pPr>
              <w:pStyle w:val="TOCHeading"/>
              <w:jc w:val="center"/>
            </w:pPr>
            <w:r w:rsidRPr="002F3A26">
              <w:t>FiF</w:t>
            </w:r>
          </w:p>
        </w:tc>
        <w:tc>
          <w:tcPr>
            <w:tcW w:w="1282" w:type="dxa"/>
            <w:shd w:val="clear" w:color="auto" w:fill="78DED9" w:themeFill="accent1"/>
          </w:tcPr>
          <w:p w14:paraId="7421E595" w14:textId="77777777" w:rsidR="004C7FF2" w:rsidRPr="002F3A26" w:rsidRDefault="004C7FF2" w:rsidP="00E67D2C">
            <w:pPr>
              <w:pStyle w:val="TOCHeading"/>
              <w:jc w:val="center"/>
            </w:pPr>
            <w:r w:rsidRPr="002F3A26">
              <w:t>FiF+EG</w:t>
            </w:r>
          </w:p>
        </w:tc>
        <w:tc>
          <w:tcPr>
            <w:tcW w:w="1332" w:type="dxa"/>
            <w:shd w:val="clear" w:color="auto" w:fill="78DED9" w:themeFill="accent1"/>
          </w:tcPr>
          <w:p w14:paraId="537168C8" w14:textId="77777777" w:rsidR="004C7FF2" w:rsidRPr="002F3A26" w:rsidRDefault="004C7FF2" w:rsidP="00E67D2C">
            <w:pPr>
              <w:pStyle w:val="TOCHeading"/>
              <w:jc w:val="center"/>
            </w:pPr>
            <w:r w:rsidRPr="002F3A26">
              <w:t>FiFxEG</w:t>
            </w:r>
          </w:p>
        </w:tc>
      </w:tr>
      <w:tr w:rsidR="004C7FF2" w:rsidRPr="002F3A26" w14:paraId="618522B2" w14:textId="77777777" w:rsidTr="00E67D2C">
        <w:trPr>
          <w:trHeight w:val="232"/>
        </w:trPr>
        <w:tc>
          <w:tcPr>
            <w:tcW w:w="5124" w:type="dxa"/>
          </w:tcPr>
          <w:p w14:paraId="2E056545" w14:textId="77777777" w:rsidR="004C7FF2" w:rsidRPr="002F3A26" w:rsidRDefault="004C7FF2" w:rsidP="00E67D2C">
            <w:pPr>
              <w:pStyle w:val="TableParagraph"/>
            </w:pPr>
            <w:r w:rsidRPr="002F3A26">
              <w:t>FiF</w:t>
            </w:r>
          </w:p>
        </w:tc>
        <w:tc>
          <w:tcPr>
            <w:tcW w:w="1139" w:type="dxa"/>
          </w:tcPr>
          <w:p w14:paraId="200AE102" w14:textId="77777777" w:rsidR="004C7FF2" w:rsidRPr="002F3A26" w:rsidRDefault="004C7FF2" w:rsidP="00E67D2C">
            <w:pPr>
              <w:pStyle w:val="TableParagraph"/>
              <w:ind w:left="170"/>
            </w:pPr>
            <w:r w:rsidRPr="002F3A26">
              <w:t>0.33</w:t>
            </w:r>
            <w:r w:rsidRPr="002F3A26">
              <w:rPr>
                <w:vertAlign w:val="superscript"/>
              </w:rPr>
              <w:t>***</w:t>
            </w:r>
          </w:p>
        </w:tc>
        <w:tc>
          <w:tcPr>
            <w:tcW w:w="1282" w:type="dxa"/>
          </w:tcPr>
          <w:p w14:paraId="5C66D481" w14:textId="77777777" w:rsidR="004C7FF2" w:rsidRPr="002F3A26" w:rsidRDefault="004C7FF2" w:rsidP="00E67D2C">
            <w:pPr>
              <w:pStyle w:val="TableParagraph"/>
              <w:ind w:left="170"/>
            </w:pPr>
            <w:r w:rsidRPr="002F3A26">
              <w:t>0.35</w:t>
            </w:r>
            <w:r w:rsidRPr="002F3A26">
              <w:rPr>
                <w:vertAlign w:val="superscript"/>
              </w:rPr>
              <w:t>***</w:t>
            </w:r>
          </w:p>
        </w:tc>
        <w:tc>
          <w:tcPr>
            <w:tcW w:w="1332" w:type="dxa"/>
          </w:tcPr>
          <w:p w14:paraId="6FF33D57" w14:textId="77777777" w:rsidR="004C7FF2" w:rsidRPr="002F3A26" w:rsidRDefault="004C7FF2" w:rsidP="00E67D2C">
            <w:pPr>
              <w:pStyle w:val="TableParagraph"/>
              <w:ind w:left="170"/>
            </w:pPr>
            <w:r w:rsidRPr="002F3A26">
              <w:t>0.33</w:t>
            </w:r>
            <w:r w:rsidRPr="002F3A26">
              <w:rPr>
                <w:vertAlign w:val="superscript"/>
              </w:rPr>
              <w:t>***</w:t>
            </w:r>
          </w:p>
        </w:tc>
      </w:tr>
      <w:tr w:rsidR="004C7FF2" w:rsidRPr="002F3A26" w14:paraId="40CBD1C2" w14:textId="77777777" w:rsidTr="00E67D2C">
        <w:trPr>
          <w:trHeight w:val="232"/>
        </w:trPr>
        <w:tc>
          <w:tcPr>
            <w:tcW w:w="5124" w:type="dxa"/>
          </w:tcPr>
          <w:p w14:paraId="4B90FCAD" w14:textId="77777777" w:rsidR="004C7FF2" w:rsidRPr="002F3A26" w:rsidRDefault="004C7FF2" w:rsidP="00E67D2C">
            <w:pPr>
              <w:pStyle w:val="TableParagraph"/>
              <w:rPr>
                <w:rFonts w:cs="Arial"/>
              </w:rPr>
            </w:pPr>
            <w:r w:rsidRPr="002F3A26">
              <w:t>Low SES</w:t>
            </w:r>
          </w:p>
        </w:tc>
        <w:tc>
          <w:tcPr>
            <w:tcW w:w="1139" w:type="dxa"/>
          </w:tcPr>
          <w:p w14:paraId="143A55E9" w14:textId="77777777" w:rsidR="004C7FF2" w:rsidRPr="002F3A26" w:rsidRDefault="004C7FF2" w:rsidP="00E67D2C">
            <w:pPr>
              <w:pStyle w:val="TableParagraph"/>
              <w:ind w:left="170"/>
              <w:rPr>
                <w:rFonts w:cs="Arial"/>
              </w:rPr>
            </w:pPr>
          </w:p>
        </w:tc>
        <w:tc>
          <w:tcPr>
            <w:tcW w:w="1282" w:type="dxa"/>
          </w:tcPr>
          <w:p w14:paraId="1CFE960D" w14:textId="77777777" w:rsidR="004C7FF2" w:rsidRPr="002F3A26" w:rsidRDefault="004C7FF2" w:rsidP="00E67D2C">
            <w:pPr>
              <w:pStyle w:val="TableParagraph"/>
              <w:ind w:left="170"/>
              <w:rPr>
                <w:rFonts w:cs="Arial"/>
              </w:rPr>
            </w:pPr>
            <w:r w:rsidRPr="002F3A26">
              <w:t>0.67</w:t>
            </w:r>
            <w:r w:rsidRPr="002F3A26">
              <w:rPr>
                <w:vertAlign w:val="superscript"/>
              </w:rPr>
              <w:t>***</w:t>
            </w:r>
          </w:p>
        </w:tc>
        <w:tc>
          <w:tcPr>
            <w:tcW w:w="1332" w:type="dxa"/>
          </w:tcPr>
          <w:p w14:paraId="6DCF325B" w14:textId="77777777" w:rsidR="004C7FF2" w:rsidRPr="002F3A26" w:rsidRDefault="004C7FF2" w:rsidP="00E67D2C">
            <w:pPr>
              <w:pStyle w:val="TableParagraph"/>
              <w:ind w:left="170"/>
              <w:rPr>
                <w:rFonts w:cs="Arial"/>
              </w:rPr>
            </w:pPr>
            <w:r w:rsidRPr="002F3A26">
              <w:t>0.69</w:t>
            </w:r>
            <w:r w:rsidRPr="002F3A26">
              <w:rPr>
                <w:vertAlign w:val="superscript"/>
              </w:rPr>
              <w:t>***</w:t>
            </w:r>
          </w:p>
        </w:tc>
      </w:tr>
      <w:tr w:rsidR="004C7FF2" w:rsidRPr="002F3A26" w14:paraId="09EB95A9" w14:textId="77777777" w:rsidTr="00E67D2C">
        <w:trPr>
          <w:trHeight w:val="232"/>
        </w:trPr>
        <w:tc>
          <w:tcPr>
            <w:tcW w:w="5124" w:type="dxa"/>
          </w:tcPr>
          <w:p w14:paraId="663ACD53" w14:textId="77777777" w:rsidR="004C7FF2" w:rsidRPr="002F3A26" w:rsidRDefault="004C7FF2" w:rsidP="00E67D2C">
            <w:pPr>
              <w:pStyle w:val="TableParagraph"/>
              <w:rPr>
                <w:rFonts w:cs="Arial"/>
              </w:rPr>
            </w:pPr>
            <w:r>
              <w:t>RR</w:t>
            </w:r>
          </w:p>
        </w:tc>
        <w:tc>
          <w:tcPr>
            <w:tcW w:w="1139" w:type="dxa"/>
          </w:tcPr>
          <w:p w14:paraId="78E3DEC9" w14:textId="77777777" w:rsidR="004C7FF2" w:rsidRPr="002F3A26" w:rsidRDefault="004C7FF2" w:rsidP="00E67D2C">
            <w:pPr>
              <w:pStyle w:val="TableParagraph"/>
              <w:ind w:left="170"/>
              <w:rPr>
                <w:rFonts w:cs="Arial"/>
              </w:rPr>
            </w:pPr>
          </w:p>
        </w:tc>
        <w:tc>
          <w:tcPr>
            <w:tcW w:w="1282" w:type="dxa"/>
          </w:tcPr>
          <w:p w14:paraId="58E6CBF7" w14:textId="77777777" w:rsidR="004C7FF2" w:rsidRPr="002F3A26" w:rsidRDefault="004C7FF2" w:rsidP="00E67D2C">
            <w:pPr>
              <w:pStyle w:val="TableParagraph"/>
              <w:ind w:left="170"/>
              <w:rPr>
                <w:rFonts w:cs="Arial"/>
              </w:rPr>
            </w:pPr>
            <w:r w:rsidRPr="002F3A26">
              <w:t>0.47</w:t>
            </w:r>
            <w:r w:rsidRPr="002F3A26">
              <w:rPr>
                <w:vertAlign w:val="superscript"/>
              </w:rPr>
              <w:t>***</w:t>
            </w:r>
          </w:p>
        </w:tc>
        <w:tc>
          <w:tcPr>
            <w:tcW w:w="1332" w:type="dxa"/>
          </w:tcPr>
          <w:p w14:paraId="292BA1D1" w14:textId="77777777" w:rsidR="004C7FF2" w:rsidRPr="002F3A26" w:rsidRDefault="004C7FF2" w:rsidP="00E67D2C">
            <w:pPr>
              <w:pStyle w:val="TableParagraph"/>
              <w:ind w:left="170"/>
              <w:rPr>
                <w:rFonts w:cs="Arial"/>
              </w:rPr>
            </w:pPr>
            <w:r w:rsidRPr="002F3A26">
              <w:t>0.47</w:t>
            </w:r>
            <w:r w:rsidRPr="002F3A26">
              <w:rPr>
                <w:vertAlign w:val="superscript"/>
              </w:rPr>
              <w:t>***</w:t>
            </w:r>
          </w:p>
        </w:tc>
      </w:tr>
      <w:tr w:rsidR="004C7FF2" w:rsidRPr="002F3A26" w14:paraId="77D288D0" w14:textId="77777777" w:rsidTr="00E67D2C">
        <w:trPr>
          <w:trHeight w:val="232"/>
        </w:trPr>
        <w:tc>
          <w:tcPr>
            <w:tcW w:w="5124" w:type="dxa"/>
          </w:tcPr>
          <w:p w14:paraId="2DD939DB" w14:textId="77777777" w:rsidR="004C7FF2" w:rsidRPr="002F3A26" w:rsidRDefault="004C7FF2" w:rsidP="00E67D2C">
            <w:pPr>
              <w:pStyle w:val="TableParagraph"/>
              <w:rPr>
                <w:rFonts w:cs="Arial"/>
              </w:rPr>
            </w:pPr>
            <w:r w:rsidRPr="002F3A26">
              <w:t>Indigenous</w:t>
            </w:r>
          </w:p>
        </w:tc>
        <w:tc>
          <w:tcPr>
            <w:tcW w:w="1139" w:type="dxa"/>
          </w:tcPr>
          <w:p w14:paraId="018D48A6" w14:textId="77777777" w:rsidR="004C7FF2" w:rsidRPr="002F3A26" w:rsidRDefault="004C7FF2" w:rsidP="00E67D2C">
            <w:pPr>
              <w:pStyle w:val="TableParagraph"/>
              <w:ind w:left="170"/>
              <w:rPr>
                <w:rFonts w:cs="Arial"/>
              </w:rPr>
            </w:pPr>
          </w:p>
        </w:tc>
        <w:tc>
          <w:tcPr>
            <w:tcW w:w="1282" w:type="dxa"/>
          </w:tcPr>
          <w:p w14:paraId="2428C3BA" w14:textId="77777777" w:rsidR="004C7FF2" w:rsidRPr="002F3A26" w:rsidRDefault="004C7FF2" w:rsidP="00E67D2C">
            <w:pPr>
              <w:pStyle w:val="TableParagraph"/>
              <w:ind w:left="170"/>
              <w:rPr>
                <w:rFonts w:cs="Arial"/>
              </w:rPr>
            </w:pPr>
            <w:r w:rsidRPr="002F3A26">
              <w:t>0.37</w:t>
            </w:r>
            <w:r w:rsidRPr="002F3A26">
              <w:rPr>
                <w:vertAlign w:val="superscript"/>
              </w:rPr>
              <w:t>***</w:t>
            </w:r>
          </w:p>
        </w:tc>
        <w:tc>
          <w:tcPr>
            <w:tcW w:w="1332" w:type="dxa"/>
          </w:tcPr>
          <w:p w14:paraId="4AE96B9F" w14:textId="77777777" w:rsidR="004C7FF2" w:rsidRPr="002F3A26" w:rsidRDefault="004C7FF2" w:rsidP="00E67D2C">
            <w:pPr>
              <w:pStyle w:val="TableParagraph"/>
              <w:ind w:left="170"/>
              <w:rPr>
                <w:rFonts w:cs="Arial"/>
              </w:rPr>
            </w:pPr>
            <w:r w:rsidRPr="002F3A26">
              <w:t>0.37</w:t>
            </w:r>
            <w:r w:rsidRPr="002F3A26">
              <w:rPr>
                <w:vertAlign w:val="superscript"/>
              </w:rPr>
              <w:t>***</w:t>
            </w:r>
          </w:p>
        </w:tc>
      </w:tr>
      <w:tr w:rsidR="004C7FF2" w:rsidRPr="002F3A26" w14:paraId="5059707C" w14:textId="77777777" w:rsidTr="00E67D2C">
        <w:trPr>
          <w:trHeight w:val="232"/>
        </w:trPr>
        <w:tc>
          <w:tcPr>
            <w:tcW w:w="5124" w:type="dxa"/>
          </w:tcPr>
          <w:p w14:paraId="62D7982F" w14:textId="77777777" w:rsidR="004C7FF2" w:rsidRPr="002F3A26" w:rsidRDefault="004C7FF2" w:rsidP="00E67D2C">
            <w:pPr>
              <w:pStyle w:val="TableParagraph"/>
              <w:rPr>
                <w:rFonts w:cs="Arial"/>
              </w:rPr>
            </w:pPr>
            <w:r w:rsidRPr="002F3A26">
              <w:t>NESB</w:t>
            </w:r>
          </w:p>
        </w:tc>
        <w:tc>
          <w:tcPr>
            <w:tcW w:w="1139" w:type="dxa"/>
          </w:tcPr>
          <w:p w14:paraId="03F63040" w14:textId="77777777" w:rsidR="004C7FF2" w:rsidRPr="002F3A26" w:rsidRDefault="004C7FF2" w:rsidP="00E67D2C">
            <w:pPr>
              <w:pStyle w:val="TableParagraph"/>
              <w:ind w:left="170"/>
              <w:rPr>
                <w:rFonts w:cs="Arial"/>
              </w:rPr>
            </w:pPr>
          </w:p>
        </w:tc>
        <w:tc>
          <w:tcPr>
            <w:tcW w:w="1282" w:type="dxa"/>
          </w:tcPr>
          <w:p w14:paraId="16A5AD51" w14:textId="77777777" w:rsidR="004C7FF2" w:rsidRPr="002F3A26" w:rsidRDefault="004C7FF2" w:rsidP="00E67D2C">
            <w:pPr>
              <w:pStyle w:val="TableParagraph"/>
              <w:ind w:left="170"/>
              <w:rPr>
                <w:rFonts w:cs="Arial"/>
              </w:rPr>
            </w:pPr>
            <w:r w:rsidRPr="002F3A26">
              <w:t>1.09</w:t>
            </w:r>
            <w:r w:rsidRPr="002F3A26">
              <w:rPr>
                <w:vertAlign w:val="superscript"/>
              </w:rPr>
              <w:t>***</w:t>
            </w:r>
          </w:p>
        </w:tc>
        <w:tc>
          <w:tcPr>
            <w:tcW w:w="1332" w:type="dxa"/>
          </w:tcPr>
          <w:p w14:paraId="6CF6BA64" w14:textId="77777777" w:rsidR="004C7FF2" w:rsidRPr="002F3A26" w:rsidRDefault="004C7FF2" w:rsidP="00E67D2C">
            <w:pPr>
              <w:pStyle w:val="TableParagraph"/>
              <w:ind w:left="170"/>
              <w:rPr>
                <w:rFonts w:cs="Arial"/>
              </w:rPr>
            </w:pPr>
            <w:r w:rsidRPr="002F3A26">
              <w:t>1.13</w:t>
            </w:r>
            <w:r w:rsidRPr="002F3A26">
              <w:rPr>
                <w:vertAlign w:val="superscript"/>
              </w:rPr>
              <w:t>***</w:t>
            </w:r>
          </w:p>
        </w:tc>
      </w:tr>
      <w:tr w:rsidR="004C7FF2" w:rsidRPr="002F3A26" w14:paraId="0531FB6F" w14:textId="77777777" w:rsidTr="00E67D2C">
        <w:trPr>
          <w:trHeight w:val="232"/>
        </w:trPr>
        <w:tc>
          <w:tcPr>
            <w:tcW w:w="5124" w:type="dxa"/>
          </w:tcPr>
          <w:p w14:paraId="123D1CF1" w14:textId="77777777" w:rsidR="004C7FF2" w:rsidRPr="002F3A26" w:rsidRDefault="004C7FF2" w:rsidP="00E67D2C">
            <w:pPr>
              <w:pStyle w:val="TableParagraph"/>
              <w:rPr>
                <w:rFonts w:cs="Arial"/>
              </w:rPr>
            </w:pPr>
            <w:r w:rsidRPr="002F3A26">
              <w:t>Women</w:t>
            </w:r>
          </w:p>
        </w:tc>
        <w:tc>
          <w:tcPr>
            <w:tcW w:w="1139" w:type="dxa"/>
          </w:tcPr>
          <w:p w14:paraId="4D8BFF80" w14:textId="77777777" w:rsidR="004C7FF2" w:rsidRPr="002F3A26" w:rsidRDefault="004C7FF2" w:rsidP="00E67D2C">
            <w:pPr>
              <w:pStyle w:val="TableParagraph"/>
              <w:ind w:left="170"/>
              <w:rPr>
                <w:rFonts w:cs="Arial"/>
              </w:rPr>
            </w:pPr>
          </w:p>
        </w:tc>
        <w:tc>
          <w:tcPr>
            <w:tcW w:w="1282" w:type="dxa"/>
          </w:tcPr>
          <w:p w14:paraId="0ED5A2F3" w14:textId="77777777" w:rsidR="004C7FF2" w:rsidRPr="002F3A26" w:rsidRDefault="004C7FF2" w:rsidP="00E67D2C">
            <w:pPr>
              <w:pStyle w:val="TableParagraph"/>
              <w:ind w:left="170"/>
              <w:rPr>
                <w:rFonts w:cs="Arial"/>
              </w:rPr>
            </w:pPr>
            <w:r w:rsidRPr="002F3A26">
              <w:t>1.95</w:t>
            </w:r>
            <w:r w:rsidRPr="002F3A26">
              <w:rPr>
                <w:vertAlign w:val="superscript"/>
              </w:rPr>
              <w:t>***</w:t>
            </w:r>
          </w:p>
        </w:tc>
        <w:tc>
          <w:tcPr>
            <w:tcW w:w="1332" w:type="dxa"/>
          </w:tcPr>
          <w:p w14:paraId="34D908C3" w14:textId="77777777" w:rsidR="004C7FF2" w:rsidRPr="002F3A26" w:rsidRDefault="004C7FF2" w:rsidP="00E67D2C">
            <w:pPr>
              <w:pStyle w:val="TableParagraph"/>
              <w:ind w:left="170"/>
              <w:rPr>
                <w:rFonts w:cs="Arial"/>
              </w:rPr>
            </w:pPr>
            <w:r w:rsidRPr="002F3A26">
              <w:t>1.78</w:t>
            </w:r>
            <w:r w:rsidRPr="002F3A26">
              <w:rPr>
                <w:vertAlign w:val="superscript"/>
              </w:rPr>
              <w:t>***</w:t>
            </w:r>
          </w:p>
        </w:tc>
      </w:tr>
      <w:tr w:rsidR="004C7FF2" w:rsidRPr="002F3A26" w14:paraId="44FB6D28" w14:textId="77777777" w:rsidTr="00E67D2C">
        <w:trPr>
          <w:trHeight w:val="232"/>
        </w:trPr>
        <w:tc>
          <w:tcPr>
            <w:tcW w:w="5124" w:type="dxa"/>
          </w:tcPr>
          <w:p w14:paraId="69877596" w14:textId="77777777" w:rsidR="004C7FF2" w:rsidRPr="002F3A26" w:rsidRDefault="004C7FF2" w:rsidP="00E67D2C">
            <w:pPr>
              <w:pStyle w:val="TableParagraph"/>
              <w:rPr>
                <w:rFonts w:cs="Arial"/>
              </w:rPr>
            </w:pPr>
            <w:r w:rsidRPr="002F3A26">
              <w:t>Disability</w:t>
            </w:r>
          </w:p>
        </w:tc>
        <w:tc>
          <w:tcPr>
            <w:tcW w:w="1139" w:type="dxa"/>
          </w:tcPr>
          <w:p w14:paraId="0CB6F867" w14:textId="77777777" w:rsidR="004C7FF2" w:rsidRPr="002F3A26" w:rsidRDefault="004C7FF2" w:rsidP="00E67D2C">
            <w:pPr>
              <w:pStyle w:val="TableParagraph"/>
              <w:ind w:left="170"/>
              <w:rPr>
                <w:rFonts w:cs="Arial"/>
              </w:rPr>
            </w:pPr>
          </w:p>
        </w:tc>
        <w:tc>
          <w:tcPr>
            <w:tcW w:w="1282" w:type="dxa"/>
          </w:tcPr>
          <w:p w14:paraId="62643306" w14:textId="77777777" w:rsidR="004C7FF2" w:rsidRPr="002F3A26" w:rsidRDefault="004C7FF2" w:rsidP="00E67D2C">
            <w:pPr>
              <w:pStyle w:val="TableParagraph"/>
              <w:ind w:left="170"/>
              <w:rPr>
                <w:rFonts w:cs="Arial"/>
              </w:rPr>
            </w:pPr>
            <w:r w:rsidRPr="002F3A26">
              <w:t>0.15</w:t>
            </w:r>
            <w:r w:rsidRPr="002F3A26">
              <w:rPr>
                <w:vertAlign w:val="superscript"/>
              </w:rPr>
              <w:t>***</w:t>
            </w:r>
          </w:p>
        </w:tc>
        <w:tc>
          <w:tcPr>
            <w:tcW w:w="1332" w:type="dxa"/>
          </w:tcPr>
          <w:p w14:paraId="39066271" w14:textId="77777777" w:rsidR="004C7FF2" w:rsidRPr="002F3A26" w:rsidRDefault="004C7FF2" w:rsidP="00E67D2C">
            <w:pPr>
              <w:pStyle w:val="TableParagraph"/>
              <w:ind w:left="170"/>
              <w:rPr>
                <w:rFonts w:cs="Arial"/>
              </w:rPr>
            </w:pPr>
            <w:r w:rsidRPr="002F3A26">
              <w:t>0.13</w:t>
            </w:r>
            <w:r w:rsidRPr="002F3A26">
              <w:rPr>
                <w:vertAlign w:val="superscript"/>
              </w:rPr>
              <w:t>***</w:t>
            </w:r>
          </w:p>
        </w:tc>
      </w:tr>
      <w:tr w:rsidR="004C7FF2" w:rsidRPr="002F3A26" w14:paraId="3067C044" w14:textId="77777777" w:rsidTr="00E67D2C">
        <w:trPr>
          <w:trHeight w:val="232"/>
        </w:trPr>
        <w:tc>
          <w:tcPr>
            <w:tcW w:w="5124" w:type="dxa"/>
          </w:tcPr>
          <w:p w14:paraId="7C9764C7" w14:textId="77777777" w:rsidR="004C7FF2" w:rsidRPr="002F3A26" w:rsidRDefault="004C7FF2" w:rsidP="00E67D2C">
            <w:pPr>
              <w:pStyle w:val="TableParagraph"/>
              <w:rPr>
                <w:rFonts w:cs="Arial"/>
              </w:rPr>
            </w:pPr>
            <w:r w:rsidRPr="002F3A26">
              <w:t>FiF # Low SES</w:t>
            </w:r>
          </w:p>
        </w:tc>
        <w:tc>
          <w:tcPr>
            <w:tcW w:w="1139" w:type="dxa"/>
          </w:tcPr>
          <w:p w14:paraId="570230E9" w14:textId="77777777" w:rsidR="004C7FF2" w:rsidRPr="002F3A26" w:rsidRDefault="004C7FF2" w:rsidP="00E67D2C">
            <w:pPr>
              <w:pStyle w:val="TableParagraph"/>
              <w:ind w:left="170"/>
              <w:rPr>
                <w:rFonts w:cs="Arial"/>
              </w:rPr>
            </w:pPr>
          </w:p>
        </w:tc>
        <w:tc>
          <w:tcPr>
            <w:tcW w:w="1282" w:type="dxa"/>
          </w:tcPr>
          <w:p w14:paraId="0A1B35D6" w14:textId="77777777" w:rsidR="004C7FF2" w:rsidRPr="002F3A26" w:rsidRDefault="004C7FF2" w:rsidP="00E67D2C">
            <w:pPr>
              <w:pStyle w:val="TableParagraph"/>
              <w:ind w:left="170"/>
              <w:rPr>
                <w:rFonts w:cs="Arial"/>
              </w:rPr>
            </w:pPr>
          </w:p>
        </w:tc>
        <w:tc>
          <w:tcPr>
            <w:tcW w:w="1332" w:type="dxa"/>
          </w:tcPr>
          <w:p w14:paraId="50ED0864" w14:textId="77777777" w:rsidR="004C7FF2" w:rsidRPr="002F3A26" w:rsidRDefault="004C7FF2" w:rsidP="00E67D2C">
            <w:pPr>
              <w:pStyle w:val="TableParagraph"/>
              <w:ind w:left="170"/>
              <w:rPr>
                <w:rFonts w:cs="Arial"/>
              </w:rPr>
            </w:pPr>
            <w:r w:rsidRPr="002F3A26">
              <w:t>0.96</w:t>
            </w:r>
          </w:p>
        </w:tc>
      </w:tr>
      <w:tr w:rsidR="004C7FF2" w:rsidRPr="002F3A26" w14:paraId="7477E844" w14:textId="77777777" w:rsidTr="00E67D2C">
        <w:trPr>
          <w:trHeight w:val="232"/>
        </w:trPr>
        <w:tc>
          <w:tcPr>
            <w:tcW w:w="5124" w:type="dxa"/>
          </w:tcPr>
          <w:p w14:paraId="1747C5AD" w14:textId="77777777" w:rsidR="004C7FF2" w:rsidRPr="002F3A26" w:rsidRDefault="004C7FF2" w:rsidP="00E67D2C">
            <w:pPr>
              <w:pStyle w:val="TableParagraph"/>
              <w:rPr>
                <w:rFonts w:cs="Arial"/>
              </w:rPr>
            </w:pPr>
            <w:r w:rsidRPr="002F3A26">
              <w:t xml:space="preserve">FiF # </w:t>
            </w:r>
            <w:r>
              <w:t>RR</w:t>
            </w:r>
          </w:p>
        </w:tc>
        <w:tc>
          <w:tcPr>
            <w:tcW w:w="1139" w:type="dxa"/>
          </w:tcPr>
          <w:p w14:paraId="37773093" w14:textId="77777777" w:rsidR="004C7FF2" w:rsidRPr="002F3A26" w:rsidRDefault="004C7FF2" w:rsidP="00E67D2C">
            <w:pPr>
              <w:pStyle w:val="TableParagraph"/>
              <w:ind w:left="170"/>
              <w:rPr>
                <w:rFonts w:cs="Arial"/>
              </w:rPr>
            </w:pPr>
          </w:p>
        </w:tc>
        <w:tc>
          <w:tcPr>
            <w:tcW w:w="1282" w:type="dxa"/>
          </w:tcPr>
          <w:p w14:paraId="728F501D" w14:textId="77777777" w:rsidR="004C7FF2" w:rsidRPr="002F3A26" w:rsidRDefault="004C7FF2" w:rsidP="00E67D2C">
            <w:pPr>
              <w:pStyle w:val="TableParagraph"/>
              <w:ind w:left="170"/>
              <w:rPr>
                <w:rFonts w:cs="Arial"/>
              </w:rPr>
            </w:pPr>
          </w:p>
        </w:tc>
        <w:tc>
          <w:tcPr>
            <w:tcW w:w="1332" w:type="dxa"/>
          </w:tcPr>
          <w:p w14:paraId="7F016B22" w14:textId="77777777" w:rsidR="004C7FF2" w:rsidRPr="002F3A26" w:rsidRDefault="004C7FF2" w:rsidP="00E67D2C">
            <w:pPr>
              <w:pStyle w:val="TableParagraph"/>
              <w:ind w:left="170"/>
              <w:rPr>
                <w:rFonts w:cs="Arial"/>
              </w:rPr>
            </w:pPr>
            <w:r w:rsidRPr="002F3A26">
              <w:t>0.99</w:t>
            </w:r>
          </w:p>
        </w:tc>
      </w:tr>
      <w:tr w:rsidR="004C7FF2" w:rsidRPr="002F3A26" w14:paraId="732C421F" w14:textId="77777777" w:rsidTr="00E67D2C">
        <w:trPr>
          <w:trHeight w:val="232"/>
        </w:trPr>
        <w:tc>
          <w:tcPr>
            <w:tcW w:w="5124" w:type="dxa"/>
          </w:tcPr>
          <w:p w14:paraId="37166EB7" w14:textId="77777777" w:rsidR="004C7FF2" w:rsidRPr="002F3A26" w:rsidRDefault="004C7FF2" w:rsidP="00E67D2C">
            <w:pPr>
              <w:pStyle w:val="TableParagraph"/>
              <w:rPr>
                <w:rFonts w:cs="Arial"/>
              </w:rPr>
            </w:pPr>
            <w:r w:rsidRPr="002F3A26">
              <w:t>FiF # Indigenous</w:t>
            </w:r>
          </w:p>
        </w:tc>
        <w:tc>
          <w:tcPr>
            <w:tcW w:w="1139" w:type="dxa"/>
          </w:tcPr>
          <w:p w14:paraId="72A23F9D" w14:textId="77777777" w:rsidR="004C7FF2" w:rsidRPr="002F3A26" w:rsidRDefault="004C7FF2" w:rsidP="00E67D2C">
            <w:pPr>
              <w:pStyle w:val="TableParagraph"/>
              <w:ind w:left="170"/>
              <w:rPr>
                <w:rFonts w:cs="Arial"/>
              </w:rPr>
            </w:pPr>
          </w:p>
        </w:tc>
        <w:tc>
          <w:tcPr>
            <w:tcW w:w="1282" w:type="dxa"/>
          </w:tcPr>
          <w:p w14:paraId="556F61C5" w14:textId="77777777" w:rsidR="004C7FF2" w:rsidRPr="002F3A26" w:rsidRDefault="004C7FF2" w:rsidP="00E67D2C">
            <w:pPr>
              <w:pStyle w:val="TableParagraph"/>
              <w:ind w:left="170"/>
              <w:rPr>
                <w:rFonts w:cs="Arial"/>
              </w:rPr>
            </w:pPr>
          </w:p>
        </w:tc>
        <w:tc>
          <w:tcPr>
            <w:tcW w:w="1332" w:type="dxa"/>
          </w:tcPr>
          <w:p w14:paraId="2D06A673" w14:textId="77777777" w:rsidR="004C7FF2" w:rsidRPr="002F3A26" w:rsidRDefault="004C7FF2" w:rsidP="00E67D2C">
            <w:pPr>
              <w:pStyle w:val="TableParagraph"/>
              <w:ind w:left="170"/>
              <w:rPr>
                <w:rFonts w:cs="Arial"/>
              </w:rPr>
            </w:pPr>
            <w:r w:rsidRPr="002F3A26">
              <w:t>0.99</w:t>
            </w:r>
          </w:p>
        </w:tc>
      </w:tr>
      <w:tr w:rsidR="004C7FF2" w:rsidRPr="002F3A26" w14:paraId="02BDB34E" w14:textId="77777777" w:rsidTr="00E67D2C">
        <w:trPr>
          <w:trHeight w:val="232"/>
        </w:trPr>
        <w:tc>
          <w:tcPr>
            <w:tcW w:w="5124" w:type="dxa"/>
          </w:tcPr>
          <w:p w14:paraId="03F18FE2" w14:textId="77777777" w:rsidR="004C7FF2" w:rsidRPr="002F3A26" w:rsidRDefault="004C7FF2" w:rsidP="00E67D2C">
            <w:pPr>
              <w:pStyle w:val="TableParagraph"/>
              <w:rPr>
                <w:rFonts w:cs="Arial"/>
              </w:rPr>
            </w:pPr>
            <w:r w:rsidRPr="002F3A26">
              <w:t>FiF # NESB</w:t>
            </w:r>
          </w:p>
        </w:tc>
        <w:tc>
          <w:tcPr>
            <w:tcW w:w="1139" w:type="dxa"/>
          </w:tcPr>
          <w:p w14:paraId="652984E0" w14:textId="77777777" w:rsidR="004C7FF2" w:rsidRPr="002F3A26" w:rsidRDefault="004C7FF2" w:rsidP="00E67D2C">
            <w:pPr>
              <w:pStyle w:val="TableParagraph"/>
              <w:ind w:left="170"/>
              <w:rPr>
                <w:rFonts w:cs="Arial"/>
              </w:rPr>
            </w:pPr>
          </w:p>
        </w:tc>
        <w:tc>
          <w:tcPr>
            <w:tcW w:w="1282" w:type="dxa"/>
          </w:tcPr>
          <w:p w14:paraId="04DB72ED" w14:textId="77777777" w:rsidR="004C7FF2" w:rsidRPr="002F3A26" w:rsidRDefault="004C7FF2" w:rsidP="00E67D2C">
            <w:pPr>
              <w:pStyle w:val="TableParagraph"/>
              <w:ind w:left="170"/>
              <w:rPr>
                <w:rFonts w:cs="Arial"/>
              </w:rPr>
            </w:pPr>
          </w:p>
        </w:tc>
        <w:tc>
          <w:tcPr>
            <w:tcW w:w="1332" w:type="dxa"/>
          </w:tcPr>
          <w:p w14:paraId="71D490A3" w14:textId="77777777" w:rsidR="004C7FF2" w:rsidRPr="002F3A26" w:rsidRDefault="004C7FF2" w:rsidP="00E67D2C">
            <w:pPr>
              <w:pStyle w:val="TableParagraph"/>
              <w:ind w:left="170"/>
              <w:rPr>
                <w:rFonts w:cs="Arial"/>
              </w:rPr>
            </w:pPr>
            <w:r w:rsidRPr="002F3A26">
              <w:t>0.95</w:t>
            </w:r>
          </w:p>
        </w:tc>
      </w:tr>
      <w:tr w:rsidR="004C7FF2" w:rsidRPr="002F3A26" w14:paraId="385C9921" w14:textId="77777777" w:rsidTr="00E67D2C">
        <w:trPr>
          <w:trHeight w:val="232"/>
        </w:trPr>
        <w:tc>
          <w:tcPr>
            <w:tcW w:w="5124" w:type="dxa"/>
          </w:tcPr>
          <w:p w14:paraId="42947501" w14:textId="77777777" w:rsidR="004C7FF2" w:rsidRPr="002F3A26" w:rsidRDefault="004C7FF2" w:rsidP="00E67D2C">
            <w:pPr>
              <w:pStyle w:val="TableParagraph"/>
              <w:rPr>
                <w:rFonts w:cs="Arial"/>
              </w:rPr>
            </w:pPr>
            <w:r w:rsidRPr="002F3A26">
              <w:t>FiF # Women</w:t>
            </w:r>
          </w:p>
        </w:tc>
        <w:tc>
          <w:tcPr>
            <w:tcW w:w="1139" w:type="dxa"/>
          </w:tcPr>
          <w:p w14:paraId="54596DA6" w14:textId="77777777" w:rsidR="004C7FF2" w:rsidRPr="002F3A26" w:rsidRDefault="004C7FF2" w:rsidP="00E67D2C">
            <w:pPr>
              <w:pStyle w:val="TableParagraph"/>
              <w:ind w:left="170"/>
              <w:rPr>
                <w:rFonts w:cs="Arial"/>
              </w:rPr>
            </w:pPr>
          </w:p>
        </w:tc>
        <w:tc>
          <w:tcPr>
            <w:tcW w:w="1282" w:type="dxa"/>
          </w:tcPr>
          <w:p w14:paraId="05D05253" w14:textId="77777777" w:rsidR="004C7FF2" w:rsidRPr="002F3A26" w:rsidRDefault="004C7FF2" w:rsidP="00E67D2C">
            <w:pPr>
              <w:pStyle w:val="TableParagraph"/>
              <w:ind w:left="170"/>
              <w:rPr>
                <w:rFonts w:cs="Arial"/>
              </w:rPr>
            </w:pPr>
          </w:p>
        </w:tc>
        <w:tc>
          <w:tcPr>
            <w:tcW w:w="1332" w:type="dxa"/>
          </w:tcPr>
          <w:p w14:paraId="23F2E58A" w14:textId="77777777" w:rsidR="004C7FF2" w:rsidRPr="002F3A26" w:rsidRDefault="004C7FF2" w:rsidP="00E67D2C">
            <w:pPr>
              <w:pStyle w:val="TableParagraph"/>
              <w:ind w:left="170"/>
              <w:rPr>
                <w:rFonts w:cs="Arial"/>
              </w:rPr>
            </w:pPr>
            <w:r w:rsidRPr="002F3A26">
              <w:t>1.15</w:t>
            </w:r>
            <w:r w:rsidRPr="002F3A26">
              <w:rPr>
                <w:vertAlign w:val="superscript"/>
              </w:rPr>
              <w:t>***</w:t>
            </w:r>
          </w:p>
        </w:tc>
      </w:tr>
      <w:tr w:rsidR="004C7FF2" w:rsidRPr="002F3A26" w14:paraId="6382FC49" w14:textId="77777777" w:rsidTr="00E67D2C">
        <w:trPr>
          <w:trHeight w:val="232"/>
        </w:trPr>
        <w:tc>
          <w:tcPr>
            <w:tcW w:w="5124" w:type="dxa"/>
          </w:tcPr>
          <w:p w14:paraId="536B5117" w14:textId="77777777" w:rsidR="004C7FF2" w:rsidRPr="002F3A26" w:rsidRDefault="004C7FF2" w:rsidP="00E67D2C">
            <w:pPr>
              <w:pStyle w:val="TableParagraph"/>
              <w:rPr>
                <w:rFonts w:cs="Arial"/>
              </w:rPr>
            </w:pPr>
            <w:r w:rsidRPr="002F3A26">
              <w:t>FiF # Disability</w:t>
            </w:r>
          </w:p>
        </w:tc>
        <w:tc>
          <w:tcPr>
            <w:tcW w:w="1139" w:type="dxa"/>
          </w:tcPr>
          <w:p w14:paraId="5712D1D8" w14:textId="77777777" w:rsidR="004C7FF2" w:rsidRPr="002F3A26" w:rsidRDefault="004C7FF2" w:rsidP="00E67D2C">
            <w:pPr>
              <w:pStyle w:val="TableParagraph"/>
              <w:ind w:left="170"/>
              <w:rPr>
                <w:rFonts w:cs="Arial"/>
              </w:rPr>
            </w:pPr>
          </w:p>
        </w:tc>
        <w:tc>
          <w:tcPr>
            <w:tcW w:w="1282" w:type="dxa"/>
          </w:tcPr>
          <w:p w14:paraId="08093A4B" w14:textId="77777777" w:rsidR="004C7FF2" w:rsidRPr="002F3A26" w:rsidRDefault="004C7FF2" w:rsidP="00E67D2C">
            <w:pPr>
              <w:pStyle w:val="TableParagraph"/>
              <w:ind w:left="170"/>
              <w:rPr>
                <w:rFonts w:cs="Arial"/>
              </w:rPr>
            </w:pPr>
          </w:p>
        </w:tc>
        <w:tc>
          <w:tcPr>
            <w:tcW w:w="1332" w:type="dxa"/>
          </w:tcPr>
          <w:p w14:paraId="650DF528" w14:textId="77777777" w:rsidR="004C7FF2" w:rsidRPr="002F3A26" w:rsidRDefault="004C7FF2" w:rsidP="00E67D2C">
            <w:pPr>
              <w:pStyle w:val="TableParagraph"/>
              <w:ind w:left="170"/>
              <w:rPr>
                <w:rFonts w:cs="Arial"/>
              </w:rPr>
            </w:pPr>
            <w:r w:rsidRPr="002F3A26">
              <w:t>1.39</w:t>
            </w:r>
            <w:r w:rsidRPr="002F3A26">
              <w:rPr>
                <w:vertAlign w:val="superscript"/>
              </w:rPr>
              <w:t>***</w:t>
            </w:r>
          </w:p>
        </w:tc>
      </w:tr>
      <w:tr w:rsidR="004C7FF2" w:rsidRPr="002F3A26" w14:paraId="3CD8C05B" w14:textId="77777777" w:rsidTr="00E67D2C">
        <w:trPr>
          <w:trHeight w:val="232"/>
        </w:trPr>
        <w:tc>
          <w:tcPr>
            <w:tcW w:w="5124" w:type="dxa"/>
          </w:tcPr>
          <w:p w14:paraId="331566EB" w14:textId="77777777" w:rsidR="004C7FF2" w:rsidRPr="002F3A26" w:rsidRDefault="004C7FF2" w:rsidP="00E67D2C">
            <w:pPr>
              <w:pStyle w:val="TableParagraph"/>
            </w:pPr>
            <w:r w:rsidRPr="002F3A26">
              <w:t>Controls</w:t>
            </w:r>
          </w:p>
        </w:tc>
        <w:tc>
          <w:tcPr>
            <w:tcW w:w="1139" w:type="dxa"/>
          </w:tcPr>
          <w:p w14:paraId="571A1C83" w14:textId="77777777" w:rsidR="004C7FF2" w:rsidRPr="002F3A26" w:rsidRDefault="004C7FF2" w:rsidP="00E67D2C">
            <w:pPr>
              <w:pStyle w:val="TableParagraph"/>
              <w:ind w:left="170"/>
              <w:rPr>
                <w:rFonts w:cs="Arial"/>
              </w:rPr>
            </w:pPr>
            <w:r w:rsidRPr="002F3A26">
              <w:rPr>
                <w:rFonts w:cs="Arial"/>
              </w:rPr>
              <w:t>Yes</w:t>
            </w:r>
          </w:p>
        </w:tc>
        <w:tc>
          <w:tcPr>
            <w:tcW w:w="1282" w:type="dxa"/>
          </w:tcPr>
          <w:p w14:paraId="1FC4B0F2" w14:textId="77777777" w:rsidR="004C7FF2" w:rsidRPr="002F3A26" w:rsidRDefault="004C7FF2" w:rsidP="00E67D2C">
            <w:pPr>
              <w:pStyle w:val="TableParagraph"/>
              <w:ind w:left="170"/>
              <w:rPr>
                <w:rFonts w:cs="Arial"/>
              </w:rPr>
            </w:pPr>
            <w:r w:rsidRPr="002F3A26">
              <w:rPr>
                <w:rFonts w:cs="Arial"/>
              </w:rPr>
              <w:t>Yes</w:t>
            </w:r>
          </w:p>
        </w:tc>
        <w:tc>
          <w:tcPr>
            <w:tcW w:w="1332" w:type="dxa"/>
          </w:tcPr>
          <w:p w14:paraId="57C50835" w14:textId="77777777" w:rsidR="004C7FF2" w:rsidRPr="002F3A26" w:rsidRDefault="004C7FF2" w:rsidP="00E67D2C">
            <w:pPr>
              <w:pStyle w:val="TableParagraph"/>
              <w:ind w:left="170"/>
            </w:pPr>
            <w:r w:rsidRPr="002F3A26">
              <w:t>Yes</w:t>
            </w:r>
          </w:p>
        </w:tc>
      </w:tr>
      <w:tr w:rsidR="004C7FF2" w:rsidRPr="002F3A26" w14:paraId="36868489" w14:textId="77777777" w:rsidTr="00E67D2C">
        <w:trPr>
          <w:trHeight w:val="232"/>
        </w:trPr>
        <w:tc>
          <w:tcPr>
            <w:tcW w:w="5124" w:type="dxa"/>
          </w:tcPr>
          <w:p w14:paraId="62583A80" w14:textId="77777777" w:rsidR="004C7FF2" w:rsidRPr="002F3A26" w:rsidRDefault="004C7FF2" w:rsidP="00E67D2C">
            <w:pPr>
              <w:pStyle w:val="TableParagraph"/>
              <w:rPr>
                <w:rFonts w:cs="Arial"/>
              </w:rPr>
            </w:pPr>
            <w:r w:rsidRPr="002F3A26">
              <w:t>Observations</w:t>
            </w:r>
          </w:p>
        </w:tc>
        <w:tc>
          <w:tcPr>
            <w:tcW w:w="1139" w:type="dxa"/>
          </w:tcPr>
          <w:p w14:paraId="6DC9195D" w14:textId="77777777" w:rsidR="004C7FF2" w:rsidRPr="002F3A26" w:rsidRDefault="004C7FF2" w:rsidP="00E67D2C">
            <w:pPr>
              <w:pStyle w:val="TableParagraph"/>
              <w:ind w:left="170"/>
              <w:rPr>
                <w:rFonts w:cs="Arial"/>
              </w:rPr>
            </w:pPr>
            <w:r w:rsidRPr="002F3A26">
              <w:t>443609</w:t>
            </w:r>
          </w:p>
        </w:tc>
        <w:tc>
          <w:tcPr>
            <w:tcW w:w="1282" w:type="dxa"/>
          </w:tcPr>
          <w:p w14:paraId="56DEEEF5" w14:textId="77777777" w:rsidR="004C7FF2" w:rsidRPr="002F3A26" w:rsidRDefault="004C7FF2" w:rsidP="00E67D2C">
            <w:pPr>
              <w:pStyle w:val="TableParagraph"/>
              <w:ind w:left="170"/>
              <w:rPr>
                <w:rFonts w:cs="Arial"/>
              </w:rPr>
            </w:pPr>
            <w:r w:rsidRPr="002F3A26">
              <w:t>443609</w:t>
            </w:r>
          </w:p>
        </w:tc>
        <w:tc>
          <w:tcPr>
            <w:tcW w:w="1332" w:type="dxa"/>
          </w:tcPr>
          <w:p w14:paraId="418215AE" w14:textId="77777777" w:rsidR="004C7FF2" w:rsidRPr="002F3A26" w:rsidRDefault="004C7FF2" w:rsidP="00E67D2C">
            <w:pPr>
              <w:pStyle w:val="TableParagraph"/>
              <w:ind w:left="170"/>
              <w:rPr>
                <w:rFonts w:cs="Arial"/>
              </w:rPr>
            </w:pPr>
            <w:r w:rsidRPr="002F3A26">
              <w:t>443609</w:t>
            </w:r>
          </w:p>
        </w:tc>
      </w:tr>
      <w:tr w:rsidR="004C7FF2" w:rsidRPr="002F3A26" w14:paraId="1759D1ED" w14:textId="77777777" w:rsidTr="00E67D2C">
        <w:trPr>
          <w:trHeight w:val="232"/>
        </w:trPr>
        <w:tc>
          <w:tcPr>
            <w:tcW w:w="5124" w:type="dxa"/>
          </w:tcPr>
          <w:p w14:paraId="61974AD1" w14:textId="77777777" w:rsidR="004C7FF2" w:rsidRPr="002F3A26" w:rsidRDefault="004C7FF2" w:rsidP="00E67D2C">
            <w:pPr>
              <w:pStyle w:val="TableParagraph"/>
              <w:rPr>
                <w:rFonts w:cs="Arial"/>
              </w:rPr>
            </w:pPr>
            <w:r w:rsidRPr="002F3A26">
              <w:t xml:space="preserve">Pseudo </w:t>
            </w:r>
            <w:r w:rsidRPr="002F3A26">
              <w:rPr>
                <w:i/>
                <w:iCs/>
              </w:rPr>
              <w:t>R</w:t>
            </w:r>
            <w:r w:rsidRPr="002F3A26">
              <w:rPr>
                <w:vertAlign w:val="superscript"/>
              </w:rPr>
              <w:t>2</w:t>
            </w:r>
          </w:p>
        </w:tc>
        <w:tc>
          <w:tcPr>
            <w:tcW w:w="1139" w:type="dxa"/>
          </w:tcPr>
          <w:p w14:paraId="041E25F8" w14:textId="77777777" w:rsidR="004C7FF2" w:rsidRPr="002F3A26" w:rsidRDefault="004C7FF2" w:rsidP="00E67D2C">
            <w:pPr>
              <w:pStyle w:val="TableParagraph"/>
              <w:ind w:left="170"/>
              <w:rPr>
                <w:rFonts w:cs="Arial"/>
              </w:rPr>
            </w:pPr>
            <w:r w:rsidRPr="002F3A26">
              <w:t>0.085</w:t>
            </w:r>
          </w:p>
        </w:tc>
        <w:tc>
          <w:tcPr>
            <w:tcW w:w="1282" w:type="dxa"/>
          </w:tcPr>
          <w:p w14:paraId="13A3601B" w14:textId="77777777" w:rsidR="004C7FF2" w:rsidRPr="002F3A26" w:rsidRDefault="004C7FF2" w:rsidP="00E67D2C">
            <w:pPr>
              <w:pStyle w:val="TableParagraph"/>
              <w:ind w:left="170"/>
              <w:rPr>
                <w:rFonts w:cs="Arial"/>
              </w:rPr>
            </w:pPr>
            <w:r w:rsidRPr="002F3A26">
              <w:t>0.138</w:t>
            </w:r>
          </w:p>
        </w:tc>
        <w:tc>
          <w:tcPr>
            <w:tcW w:w="1332" w:type="dxa"/>
          </w:tcPr>
          <w:p w14:paraId="7DAAAA72" w14:textId="77777777" w:rsidR="004C7FF2" w:rsidRPr="002F3A26" w:rsidRDefault="004C7FF2" w:rsidP="00E67D2C">
            <w:pPr>
              <w:pStyle w:val="TableParagraph"/>
              <w:ind w:left="170"/>
              <w:rPr>
                <w:rFonts w:cs="Arial"/>
              </w:rPr>
            </w:pPr>
            <w:r w:rsidRPr="002F3A26">
              <w:t>0.138</w:t>
            </w:r>
          </w:p>
        </w:tc>
      </w:tr>
    </w:tbl>
    <w:p w14:paraId="1F1BC780" w14:textId="77777777" w:rsidR="00775583" w:rsidRDefault="00775583" w:rsidP="00775583">
      <w:pPr>
        <w:spacing w:line="259" w:lineRule="auto"/>
        <w:rPr>
          <w:sz w:val="16"/>
          <w:szCs w:val="16"/>
        </w:rPr>
      </w:pPr>
    </w:p>
    <w:p w14:paraId="6BD723F9" w14:textId="10781AAF" w:rsidR="004C7FF2" w:rsidRPr="0071320F" w:rsidRDefault="004C7FF2" w:rsidP="002F1E87">
      <w:pPr>
        <w:spacing w:line="259" w:lineRule="auto"/>
        <w:rPr>
          <w:szCs w:val="16"/>
        </w:rPr>
      </w:pPr>
      <w:r w:rsidRPr="002F1E87">
        <w:rPr>
          <w:sz w:val="16"/>
          <w:szCs w:val="16"/>
        </w:rPr>
        <w:t xml:space="preserve">Notes: Data from PLIDA. </w:t>
      </w:r>
      <w:r w:rsidR="0085550F" w:rsidRPr="002F1E87">
        <w:rPr>
          <w:sz w:val="16"/>
          <w:szCs w:val="16"/>
        </w:rPr>
        <w:t xml:space="preserve">EG: equity group. </w:t>
      </w:r>
      <w:r w:rsidRPr="002F1E87">
        <w:rPr>
          <w:sz w:val="16"/>
          <w:szCs w:val="16"/>
        </w:rPr>
        <w:t xml:space="preserve">FiF: First-in-Family status. SES: socio-economic status. NESB: Non-English Speaking Background. RR: regional or remote. Full sets of model results are available in </w:t>
      </w:r>
      <w:r w:rsidRPr="002F1E87">
        <w:rPr>
          <w:sz w:val="16"/>
          <w:szCs w:val="16"/>
        </w:rPr>
        <w:fldChar w:fldCharType="begin"/>
      </w:r>
      <w:r w:rsidRPr="002F1E87">
        <w:rPr>
          <w:sz w:val="16"/>
          <w:szCs w:val="16"/>
        </w:rPr>
        <w:instrText xml:space="preserve"> REF _Ref191462263 \h </w:instrText>
      </w:r>
      <w:r w:rsidR="00775583">
        <w:rPr>
          <w:sz w:val="16"/>
          <w:szCs w:val="16"/>
        </w:rPr>
        <w:instrText xml:space="preserve"> \* MERGEFORMAT </w:instrText>
      </w:r>
      <w:r w:rsidRPr="002F1E87">
        <w:rPr>
          <w:sz w:val="16"/>
          <w:szCs w:val="16"/>
        </w:rPr>
      </w:r>
      <w:r w:rsidRPr="002F1E87">
        <w:rPr>
          <w:sz w:val="16"/>
          <w:szCs w:val="16"/>
        </w:rPr>
        <w:fldChar w:fldCharType="separate"/>
      </w:r>
      <w:r w:rsidR="00627572" w:rsidRPr="002F1E87">
        <w:rPr>
          <w:sz w:val="16"/>
          <w:szCs w:val="16"/>
        </w:rPr>
        <w:t xml:space="preserve">Table </w:t>
      </w:r>
      <w:r w:rsidR="00627572" w:rsidRPr="002F1E87">
        <w:rPr>
          <w:noProof/>
          <w:sz w:val="16"/>
          <w:szCs w:val="16"/>
        </w:rPr>
        <w:t>B</w:t>
      </w:r>
      <w:r w:rsidR="00627572" w:rsidRPr="002F1E87">
        <w:rPr>
          <w:sz w:val="16"/>
          <w:szCs w:val="16"/>
        </w:rPr>
        <w:noBreakHyphen/>
      </w:r>
      <w:r w:rsidR="00627572" w:rsidRPr="002F1E87">
        <w:rPr>
          <w:noProof/>
          <w:sz w:val="16"/>
          <w:szCs w:val="16"/>
        </w:rPr>
        <w:t>2</w:t>
      </w:r>
      <w:r w:rsidRPr="002F1E87">
        <w:rPr>
          <w:sz w:val="16"/>
          <w:szCs w:val="16"/>
        </w:rPr>
        <w:fldChar w:fldCharType="end"/>
      </w:r>
      <w:r w:rsidRPr="002F1E87">
        <w:rPr>
          <w:sz w:val="16"/>
          <w:szCs w:val="16"/>
        </w:rPr>
        <w:t xml:space="preserve"> in </w:t>
      </w:r>
      <w:r w:rsidRPr="002F1E87">
        <w:rPr>
          <w:sz w:val="16"/>
          <w:szCs w:val="16"/>
          <w:highlight w:val="yellow"/>
        </w:rPr>
        <w:fldChar w:fldCharType="begin"/>
      </w:r>
      <w:r w:rsidRPr="002F1E87">
        <w:rPr>
          <w:sz w:val="16"/>
          <w:szCs w:val="16"/>
        </w:rPr>
        <w:instrText xml:space="preserve"> REF _Ref191461978 \n \h </w:instrText>
      </w:r>
      <w:r w:rsidR="00775583">
        <w:rPr>
          <w:sz w:val="16"/>
          <w:szCs w:val="16"/>
          <w:highlight w:val="yellow"/>
        </w:rPr>
        <w:instrText xml:space="preserve"> \* MERGEFORMAT </w:instrText>
      </w:r>
      <w:r w:rsidRPr="002F1E87">
        <w:rPr>
          <w:sz w:val="16"/>
          <w:szCs w:val="16"/>
          <w:highlight w:val="yellow"/>
        </w:rPr>
      </w:r>
      <w:r w:rsidRPr="002F1E87">
        <w:rPr>
          <w:sz w:val="16"/>
          <w:szCs w:val="16"/>
          <w:highlight w:val="yellow"/>
        </w:rPr>
        <w:fldChar w:fldCharType="separate"/>
      </w:r>
      <w:r w:rsidR="00627572" w:rsidRPr="002F1E87">
        <w:rPr>
          <w:sz w:val="16"/>
          <w:szCs w:val="16"/>
        </w:rPr>
        <w:t>Appendix B</w:t>
      </w:r>
      <w:r w:rsidRPr="002F1E87">
        <w:rPr>
          <w:sz w:val="16"/>
          <w:szCs w:val="16"/>
          <w:highlight w:val="yellow"/>
        </w:rPr>
        <w:fldChar w:fldCharType="end"/>
      </w:r>
      <w:r w:rsidR="00775583" w:rsidRPr="002F1E87">
        <w:rPr>
          <w:sz w:val="16"/>
          <w:szCs w:val="16"/>
        </w:rPr>
        <w:t>.</w:t>
      </w:r>
      <w:r w:rsidRPr="002F1E87">
        <w:rPr>
          <w:sz w:val="16"/>
          <w:szCs w:val="16"/>
        </w:rPr>
        <w:t xml:space="preserve"> Statistical significance: * p &lt; 0.05, ** p &lt; 0.01, *** p &lt; 0.001.</w:t>
      </w:r>
    </w:p>
    <w:p w14:paraId="1EDEE488" w14:textId="77777777" w:rsidR="004C7FF2" w:rsidRPr="002F3A26" w:rsidRDefault="004C7FF2" w:rsidP="00BB5114"/>
    <w:p w14:paraId="3F303FBE" w14:textId="1D152ACB" w:rsidR="00E65D13" w:rsidRPr="002F3A26" w:rsidRDefault="00375452" w:rsidP="00BB5114">
      <w:r w:rsidRPr="002F3A26">
        <w:lastRenderedPageBreak/>
        <w:t xml:space="preserve">The results from </w:t>
      </w:r>
      <w:r w:rsidR="00E61E05">
        <w:t>M</w:t>
      </w:r>
      <w:r w:rsidRPr="002F3A26">
        <w:t xml:space="preserve">odel I suggest that </w:t>
      </w:r>
      <w:r w:rsidR="00E61E05">
        <w:t>FiF</w:t>
      </w:r>
      <w:r w:rsidR="006827AF" w:rsidRPr="002F3A26">
        <w:t xml:space="preserve"> status had </w:t>
      </w:r>
      <w:r w:rsidR="00E61E05">
        <w:t xml:space="preserve">a </w:t>
      </w:r>
      <w:r w:rsidR="006827AF" w:rsidRPr="002F3A26">
        <w:t>significant effect on the chances of university enrolment</w:t>
      </w:r>
      <w:r w:rsidRPr="002F3A26">
        <w:t xml:space="preserve"> even after controlling for family income, parental occupation</w:t>
      </w:r>
      <w:r w:rsidR="0085550F">
        <w:t>,</w:t>
      </w:r>
      <w:r w:rsidRPr="002F3A26">
        <w:t xml:space="preserve"> and household composition. The odds ratio (OR) </w:t>
      </w:r>
      <w:r w:rsidR="0039696B" w:rsidRPr="002F3A26">
        <w:t>of</w:t>
      </w:r>
      <w:r w:rsidRPr="002F3A26">
        <w:t xml:space="preserve"> 0.33 was statistically significant at the 0.001 level.</w:t>
      </w:r>
      <w:r w:rsidR="00500DF0">
        <w:rPr>
          <w:rStyle w:val="FootnoteReference"/>
        </w:rPr>
        <w:footnoteReference w:id="10"/>
      </w:r>
      <w:r w:rsidR="0039696B" w:rsidRPr="002F3A26">
        <w:t xml:space="preserve"> The coefficient did not change substantially after introducing </w:t>
      </w:r>
      <w:r w:rsidRPr="002F3A26">
        <w:t xml:space="preserve">variables capturing equity group membership in </w:t>
      </w:r>
      <w:r w:rsidR="0085550F">
        <w:t>M</w:t>
      </w:r>
      <w:r w:rsidRPr="002F3A26">
        <w:t>odel</w:t>
      </w:r>
      <w:r w:rsidR="0085550F">
        <w:t xml:space="preserve"> II</w:t>
      </w:r>
      <w:r w:rsidR="00E667C7" w:rsidRPr="002F3A26">
        <w:t xml:space="preserve">. </w:t>
      </w:r>
      <w:r w:rsidR="00377953" w:rsidRPr="002F3A26">
        <w:t>Furthermore, t</w:t>
      </w:r>
      <w:r w:rsidR="00E667C7" w:rsidRPr="002F3A26">
        <w:t xml:space="preserve">he </w:t>
      </w:r>
      <w:r w:rsidR="00E65D13" w:rsidRPr="002F3A26">
        <w:t xml:space="preserve">results from </w:t>
      </w:r>
      <w:r w:rsidR="0085550F">
        <w:t>M</w:t>
      </w:r>
      <w:r w:rsidR="00E65D13" w:rsidRPr="002F3A26">
        <w:t>odel</w:t>
      </w:r>
      <w:r w:rsidR="0085550F">
        <w:t xml:space="preserve"> II</w:t>
      </w:r>
      <w:r w:rsidR="00E65D13" w:rsidRPr="002F3A26">
        <w:t xml:space="preserve"> provide evidence of the associations between membership </w:t>
      </w:r>
      <w:r w:rsidR="00377953" w:rsidRPr="002F3A26">
        <w:t xml:space="preserve">in the current </w:t>
      </w:r>
      <w:r w:rsidR="00E61E05">
        <w:t>e</w:t>
      </w:r>
      <w:r w:rsidR="00377953" w:rsidRPr="002F3A26">
        <w:t xml:space="preserve">quity groups </w:t>
      </w:r>
      <w:r w:rsidR="00E65D13" w:rsidRPr="002F3A26">
        <w:t>and lower rates of enrolment in higher education</w:t>
      </w:r>
      <w:r w:rsidR="00EE06B3" w:rsidRPr="002F3A26">
        <w:t xml:space="preserve"> net of the effects of </w:t>
      </w:r>
      <w:r w:rsidR="00E61E05">
        <w:t>FiF</w:t>
      </w:r>
      <w:r w:rsidR="00EE06B3" w:rsidRPr="002F3A26">
        <w:t xml:space="preserve"> status.</w:t>
      </w:r>
    </w:p>
    <w:p w14:paraId="01ECC7EB" w14:textId="424C57FA" w:rsidR="00A11D9C" w:rsidRPr="002F3A26" w:rsidRDefault="002F37B3" w:rsidP="00A11D9C">
      <w:pPr>
        <w:rPr>
          <w:rFonts w:cstheme="minorHAnsi"/>
        </w:rPr>
      </w:pPr>
      <w:r>
        <w:t>Marginal predic</w:t>
      </w:r>
      <w:r w:rsidR="00A82D68">
        <w:t>t</w:t>
      </w:r>
      <w:r>
        <w:t>ions were used to</w:t>
      </w:r>
      <w:r w:rsidR="00A11D9C" w:rsidRPr="002F3A26">
        <w:t xml:space="preserve"> better compare the magnitude of</w:t>
      </w:r>
      <w:r w:rsidR="00A11D9C" w:rsidRPr="002F3A26">
        <w:rPr>
          <w:rFonts w:cstheme="minorHAnsi"/>
        </w:rPr>
        <w:t xml:space="preserve"> the </w:t>
      </w:r>
      <w:r w:rsidR="001C33D7" w:rsidRPr="002F3A26">
        <w:rPr>
          <w:rFonts w:cstheme="minorHAnsi"/>
        </w:rPr>
        <w:t>effects</w:t>
      </w:r>
      <w:r w:rsidR="00A11D9C" w:rsidRPr="002F3A26">
        <w:rPr>
          <w:rFonts w:cstheme="minorHAnsi"/>
        </w:rPr>
        <w:t xml:space="preserve"> of equity</w:t>
      </w:r>
      <w:r w:rsidR="0085550F">
        <w:rPr>
          <w:rFonts w:cstheme="minorHAnsi"/>
        </w:rPr>
        <w:t xml:space="preserve"> </w:t>
      </w:r>
      <w:r w:rsidR="00A11D9C" w:rsidRPr="002F3A26">
        <w:rPr>
          <w:rFonts w:cstheme="minorHAnsi"/>
        </w:rPr>
        <w:t xml:space="preserve">group membership and </w:t>
      </w:r>
      <w:r w:rsidR="00E61E05">
        <w:rPr>
          <w:rFonts w:cstheme="minorHAnsi"/>
        </w:rPr>
        <w:t>FiF</w:t>
      </w:r>
      <w:r w:rsidR="00A11D9C" w:rsidRPr="002F3A26">
        <w:rPr>
          <w:rFonts w:cstheme="minorHAnsi"/>
        </w:rPr>
        <w:t xml:space="preserve"> status on university enrolments. </w:t>
      </w:r>
      <w:r w:rsidR="00A11D9C" w:rsidRPr="002F3A26">
        <w:rPr>
          <w:rFonts w:cstheme="minorHAnsi"/>
        </w:rPr>
        <w:fldChar w:fldCharType="begin"/>
      </w:r>
      <w:r w:rsidR="00A11D9C" w:rsidRPr="002F3A26">
        <w:rPr>
          <w:rFonts w:cstheme="minorHAnsi"/>
        </w:rPr>
        <w:instrText xml:space="preserve"> REF _Ref187731265 \h </w:instrText>
      </w:r>
      <w:r w:rsidR="00A11D9C" w:rsidRPr="002F3A26">
        <w:rPr>
          <w:rFonts w:cstheme="minorHAnsi"/>
        </w:rPr>
      </w:r>
      <w:r w:rsidR="00A11D9C" w:rsidRPr="002F3A26">
        <w:rPr>
          <w:rFonts w:cstheme="minorHAnsi"/>
        </w:rPr>
        <w:fldChar w:fldCharType="separate"/>
      </w:r>
      <w:r w:rsidR="00627572" w:rsidRPr="002F3A26">
        <w:t xml:space="preserve">Figure </w:t>
      </w:r>
      <w:r w:rsidR="00627572">
        <w:rPr>
          <w:noProof/>
        </w:rPr>
        <w:t>5</w:t>
      </w:r>
      <w:r w:rsidR="00A11D9C" w:rsidRPr="002F3A26">
        <w:rPr>
          <w:rFonts w:cstheme="minorHAnsi"/>
        </w:rPr>
        <w:fldChar w:fldCharType="end"/>
      </w:r>
      <w:r w:rsidR="00A11D9C" w:rsidRPr="002F3A26">
        <w:rPr>
          <w:rFonts w:cstheme="minorHAnsi"/>
        </w:rPr>
        <w:t xml:space="preserve"> visualises the </w:t>
      </w:r>
      <w:r w:rsidR="00E92DFE" w:rsidRPr="002F3A26">
        <w:rPr>
          <w:rFonts w:cstheme="minorHAnsi"/>
        </w:rPr>
        <w:t xml:space="preserve">differences in </w:t>
      </w:r>
      <w:r w:rsidR="00A11D9C" w:rsidRPr="002F3A26">
        <w:rPr>
          <w:rFonts w:cstheme="minorHAnsi"/>
        </w:rPr>
        <w:t xml:space="preserve">adjusted enrolment rates </w:t>
      </w:r>
      <w:r w:rsidR="00E92DFE" w:rsidRPr="002F3A26">
        <w:rPr>
          <w:rFonts w:cstheme="minorHAnsi"/>
        </w:rPr>
        <w:t>(</w:t>
      </w:r>
      <w:r w:rsidR="001C33D7" w:rsidRPr="002F3A26">
        <w:rPr>
          <w:rFonts w:cstheme="minorHAnsi"/>
        </w:rPr>
        <w:t>predicted probabilities/</w:t>
      </w:r>
      <w:r w:rsidR="00E92DFE" w:rsidRPr="002F3A26">
        <w:rPr>
          <w:rFonts w:cstheme="minorHAnsi"/>
        </w:rPr>
        <w:t xml:space="preserve">proportions of enrolled individuals) </w:t>
      </w:r>
      <w:r w:rsidR="00A11D9C" w:rsidRPr="002F3A26">
        <w:rPr>
          <w:rFonts w:cstheme="minorHAnsi"/>
        </w:rPr>
        <w:t xml:space="preserve">between the equity groups as well as </w:t>
      </w:r>
      <w:r w:rsidR="00E61E05">
        <w:rPr>
          <w:rFonts w:cstheme="minorHAnsi"/>
        </w:rPr>
        <w:t>FiF</w:t>
      </w:r>
      <w:r w:rsidR="00A11D9C" w:rsidRPr="002F3A26">
        <w:rPr>
          <w:rFonts w:cstheme="minorHAnsi"/>
        </w:rPr>
        <w:t xml:space="preserve"> status. As expected, the magnitude of differences between students from disadvantaged backgrounds and their more advantaged counterparts shrunk compared </w:t>
      </w:r>
      <w:r w:rsidR="00E61E05">
        <w:rPr>
          <w:rFonts w:cstheme="minorHAnsi"/>
        </w:rPr>
        <w:t xml:space="preserve">to </w:t>
      </w:r>
      <w:r w:rsidR="00A11D9C" w:rsidRPr="002F3A26">
        <w:rPr>
          <w:rFonts w:cstheme="minorHAnsi"/>
        </w:rPr>
        <w:t xml:space="preserve">the unadjusted results. However, the </w:t>
      </w:r>
      <w:r w:rsidR="00210D0F" w:rsidRPr="002F3A26">
        <w:rPr>
          <w:rFonts w:cstheme="minorHAnsi"/>
        </w:rPr>
        <w:t>gaps in enrolment rates remained large</w:t>
      </w:r>
      <w:r w:rsidR="00E61E05">
        <w:rPr>
          <w:rFonts w:cstheme="minorHAnsi"/>
        </w:rPr>
        <w:t>,</w:t>
      </w:r>
      <w:r w:rsidR="001C33D7" w:rsidRPr="002F3A26">
        <w:rPr>
          <w:rFonts w:cstheme="minorHAnsi"/>
        </w:rPr>
        <w:t xml:space="preserve"> suggesting that the effects of </w:t>
      </w:r>
      <w:r w:rsidR="00E61E05">
        <w:rPr>
          <w:rFonts w:cstheme="minorHAnsi"/>
        </w:rPr>
        <w:t xml:space="preserve">various </w:t>
      </w:r>
      <w:r w:rsidR="001C33D7" w:rsidRPr="002F3A26">
        <w:rPr>
          <w:rFonts w:cstheme="minorHAnsi"/>
        </w:rPr>
        <w:t>social background characteristics are independent of each other.</w:t>
      </w:r>
      <w:r w:rsidR="00210D0F" w:rsidRPr="002F3A26">
        <w:rPr>
          <w:rFonts w:cstheme="minorHAnsi"/>
        </w:rPr>
        <w:t xml:space="preserve"> </w:t>
      </w:r>
      <w:r w:rsidR="00E61E05">
        <w:rPr>
          <w:rFonts w:cstheme="minorHAnsi"/>
        </w:rPr>
        <w:t>FiF</w:t>
      </w:r>
      <w:r w:rsidR="006F03F4" w:rsidRPr="002F3A26">
        <w:rPr>
          <w:rFonts w:cstheme="minorHAnsi"/>
        </w:rPr>
        <w:t xml:space="preserve"> status </w:t>
      </w:r>
      <w:r w:rsidR="0010322D" w:rsidRPr="002F3A26">
        <w:rPr>
          <w:rFonts w:cstheme="minorHAnsi"/>
        </w:rPr>
        <w:t>was</w:t>
      </w:r>
      <w:r w:rsidR="006F03F4" w:rsidRPr="002F3A26">
        <w:rPr>
          <w:rFonts w:cstheme="minorHAnsi"/>
        </w:rPr>
        <w:t xml:space="preserve"> associated with one of the largest gaps. The adjusted enrolment rate </w:t>
      </w:r>
      <w:r w:rsidR="0010322D" w:rsidRPr="002F3A26">
        <w:rPr>
          <w:rFonts w:cstheme="minorHAnsi"/>
        </w:rPr>
        <w:t xml:space="preserve">among </w:t>
      </w:r>
      <w:r w:rsidR="00E61E05">
        <w:rPr>
          <w:rFonts w:cstheme="minorHAnsi"/>
        </w:rPr>
        <w:t>the FiF</w:t>
      </w:r>
      <w:r w:rsidR="0010322D" w:rsidRPr="002F3A26">
        <w:rPr>
          <w:rFonts w:cstheme="minorHAnsi"/>
        </w:rPr>
        <w:t xml:space="preserve"> category was 3</w:t>
      </w:r>
      <w:r w:rsidR="004D0B66" w:rsidRPr="002F3A26">
        <w:rPr>
          <w:rFonts w:cstheme="minorHAnsi"/>
        </w:rPr>
        <w:t>5</w:t>
      </w:r>
      <w:r w:rsidR="0010322D" w:rsidRPr="002F3A26">
        <w:rPr>
          <w:rFonts w:cstheme="minorHAnsi"/>
        </w:rPr>
        <w:t>.</w:t>
      </w:r>
      <w:r w:rsidR="004D0B66" w:rsidRPr="002F3A26">
        <w:rPr>
          <w:rFonts w:cstheme="minorHAnsi"/>
        </w:rPr>
        <w:t>7</w:t>
      </w:r>
      <w:r w:rsidR="0010322D" w:rsidRPr="002F3A26">
        <w:rPr>
          <w:rFonts w:cstheme="minorHAnsi"/>
        </w:rPr>
        <w:t xml:space="preserve">%, which was </w:t>
      </w:r>
      <w:r w:rsidR="00E92DFE" w:rsidRPr="002F3A26">
        <w:rPr>
          <w:rFonts w:cstheme="minorHAnsi"/>
        </w:rPr>
        <w:t>over</w:t>
      </w:r>
      <w:r w:rsidR="0010322D" w:rsidRPr="002F3A26">
        <w:rPr>
          <w:rFonts w:cstheme="minorHAnsi"/>
        </w:rPr>
        <w:t xml:space="preserve"> </w:t>
      </w:r>
      <w:r w:rsidR="00E92DFE" w:rsidRPr="002F3A26">
        <w:rPr>
          <w:rFonts w:cstheme="minorHAnsi"/>
        </w:rPr>
        <w:t>2</w:t>
      </w:r>
      <w:r w:rsidR="004D0B66" w:rsidRPr="002F3A26">
        <w:rPr>
          <w:rFonts w:cstheme="minorHAnsi"/>
        </w:rPr>
        <w:t>3.0</w:t>
      </w:r>
      <w:r w:rsidR="0010322D" w:rsidRPr="002F3A26">
        <w:rPr>
          <w:rFonts w:cstheme="minorHAnsi"/>
        </w:rPr>
        <w:t xml:space="preserve"> pp less than among those with university-educated parents.</w:t>
      </w:r>
      <w:r w:rsidR="00E92DFE" w:rsidRPr="002F3A26">
        <w:rPr>
          <w:rFonts w:cstheme="minorHAnsi"/>
        </w:rPr>
        <w:t xml:space="preserve"> Only for people with disability was the gap in adjusted proportions larger</w:t>
      </w:r>
      <w:r w:rsidR="00AF3E82">
        <w:rPr>
          <w:rFonts w:cstheme="minorHAnsi"/>
        </w:rPr>
        <w:t>—</w:t>
      </w:r>
      <w:r w:rsidR="00FB71B8" w:rsidRPr="002F3A26">
        <w:rPr>
          <w:rFonts w:cstheme="minorHAnsi"/>
        </w:rPr>
        <w:t>30</w:t>
      </w:r>
      <w:r w:rsidR="004D0B66" w:rsidRPr="002F3A26">
        <w:rPr>
          <w:rFonts w:cstheme="minorHAnsi"/>
        </w:rPr>
        <w:t>.7</w:t>
      </w:r>
      <w:r w:rsidR="00FB71B8" w:rsidRPr="002F3A26">
        <w:rPr>
          <w:rFonts w:cstheme="minorHAnsi"/>
        </w:rPr>
        <w:t xml:space="preserve"> pp.</w:t>
      </w:r>
      <w:r w:rsidR="000C3E8A" w:rsidRPr="002F3A26">
        <w:rPr>
          <w:rFonts w:cstheme="minorHAnsi"/>
        </w:rPr>
        <w:t xml:space="preserve"> The gaps for Indigenous young people, those from </w:t>
      </w:r>
      <w:r w:rsidR="009F5FEC">
        <w:rPr>
          <w:rFonts w:cstheme="minorHAnsi"/>
        </w:rPr>
        <w:t>RR</w:t>
      </w:r>
      <w:r w:rsidR="000C3E8A" w:rsidRPr="002F3A26">
        <w:rPr>
          <w:rFonts w:cstheme="minorHAnsi"/>
        </w:rPr>
        <w:t xml:space="preserve"> and low SES areas</w:t>
      </w:r>
      <w:r w:rsidR="00E61E05">
        <w:rPr>
          <w:rFonts w:cstheme="minorHAnsi"/>
        </w:rPr>
        <w:t>,</w:t>
      </w:r>
      <w:r w:rsidR="000C3E8A" w:rsidRPr="002F3A26">
        <w:rPr>
          <w:rFonts w:cstheme="minorHAnsi"/>
        </w:rPr>
        <w:t xml:space="preserve"> were smaller</w:t>
      </w:r>
      <w:r w:rsidR="00AF3E82">
        <w:rPr>
          <w:rFonts w:cstheme="minorHAnsi"/>
        </w:rPr>
        <w:t>—</w:t>
      </w:r>
      <w:r w:rsidR="000C3E8A" w:rsidRPr="002F3A26">
        <w:rPr>
          <w:rFonts w:cstheme="minorHAnsi"/>
        </w:rPr>
        <w:t>1</w:t>
      </w:r>
      <w:r w:rsidR="004D0B66" w:rsidRPr="002F3A26">
        <w:rPr>
          <w:rFonts w:cstheme="minorHAnsi"/>
        </w:rPr>
        <w:t>8</w:t>
      </w:r>
      <w:r w:rsidR="000C3E8A" w:rsidRPr="002F3A26">
        <w:rPr>
          <w:rFonts w:cstheme="minorHAnsi"/>
        </w:rPr>
        <w:t>.</w:t>
      </w:r>
      <w:r w:rsidR="004D0B66" w:rsidRPr="002F3A26">
        <w:rPr>
          <w:rFonts w:cstheme="minorHAnsi"/>
        </w:rPr>
        <w:t>8</w:t>
      </w:r>
      <w:r w:rsidR="000C3E8A" w:rsidRPr="002F3A26">
        <w:rPr>
          <w:rFonts w:cstheme="minorHAnsi"/>
        </w:rPr>
        <w:t xml:space="preserve"> pp, 1</w:t>
      </w:r>
      <w:r w:rsidR="004D0B66" w:rsidRPr="002F3A26">
        <w:rPr>
          <w:rFonts w:cstheme="minorHAnsi"/>
        </w:rPr>
        <w:t>5</w:t>
      </w:r>
      <w:r w:rsidR="000C3E8A" w:rsidRPr="002F3A26">
        <w:rPr>
          <w:rFonts w:cstheme="minorHAnsi"/>
        </w:rPr>
        <w:t>.</w:t>
      </w:r>
      <w:r w:rsidR="004D0B66" w:rsidRPr="002F3A26">
        <w:rPr>
          <w:rFonts w:cstheme="minorHAnsi"/>
        </w:rPr>
        <w:t>4</w:t>
      </w:r>
      <w:r w:rsidR="000C3E8A" w:rsidRPr="002F3A26">
        <w:rPr>
          <w:rFonts w:cstheme="minorHAnsi"/>
        </w:rPr>
        <w:t xml:space="preserve"> pp, and </w:t>
      </w:r>
      <w:r w:rsidR="004D0B66" w:rsidRPr="002F3A26">
        <w:rPr>
          <w:rFonts w:cstheme="minorHAnsi"/>
        </w:rPr>
        <w:t>8</w:t>
      </w:r>
      <w:r w:rsidR="000C3E8A" w:rsidRPr="002F3A26">
        <w:rPr>
          <w:rFonts w:cstheme="minorHAnsi"/>
        </w:rPr>
        <w:t>.</w:t>
      </w:r>
      <w:r w:rsidR="004D0B66" w:rsidRPr="002F3A26">
        <w:rPr>
          <w:rFonts w:cstheme="minorHAnsi"/>
        </w:rPr>
        <w:t>1</w:t>
      </w:r>
      <w:r w:rsidR="000C3E8A" w:rsidRPr="002F3A26">
        <w:rPr>
          <w:rFonts w:cstheme="minorHAnsi"/>
        </w:rPr>
        <w:t xml:space="preserve"> pp</w:t>
      </w:r>
      <w:r w:rsidR="00E61E05">
        <w:rPr>
          <w:rFonts w:cstheme="minorHAnsi"/>
        </w:rPr>
        <w:t>,</w:t>
      </w:r>
      <w:r w:rsidR="000C3E8A" w:rsidRPr="002F3A26">
        <w:rPr>
          <w:rFonts w:cstheme="minorHAnsi"/>
        </w:rPr>
        <w:t xml:space="preserve"> respectively.</w:t>
      </w:r>
    </w:p>
    <w:p w14:paraId="033858AD" w14:textId="2ABA734E" w:rsidR="00A11D9C" w:rsidRPr="002F3A26" w:rsidRDefault="000C3E8A" w:rsidP="004D0B66">
      <w:r w:rsidRPr="002F3A26">
        <w:rPr>
          <w:rFonts w:cstheme="minorHAnsi"/>
        </w:rPr>
        <w:t>Furthermore, the model results show that after introducing various controls</w:t>
      </w:r>
      <w:r w:rsidR="00E61E05">
        <w:rPr>
          <w:rFonts w:cstheme="minorHAnsi"/>
        </w:rPr>
        <w:t>,</w:t>
      </w:r>
      <w:r w:rsidRPr="002F3A26">
        <w:rPr>
          <w:rFonts w:cstheme="minorHAnsi"/>
        </w:rPr>
        <w:t xml:space="preserve"> the advantage in enrolment rates of NESB </w:t>
      </w:r>
      <w:r w:rsidR="004D0B66" w:rsidRPr="002F3A26">
        <w:rPr>
          <w:rFonts w:cstheme="minorHAnsi"/>
        </w:rPr>
        <w:t>individuals was reduced to 1.8 pp</w:t>
      </w:r>
      <w:r w:rsidRPr="002F3A26">
        <w:rPr>
          <w:rFonts w:cstheme="minorHAnsi"/>
        </w:rPr>
        <w:t xml:space="preserve">. </w:t>
      </w:r>
      <w:r w:rsidR="004D0B66" w:rsidRPr="002F3A26">
        <w:rPr>
          <w:rFonts w:cstheme="minorHAnsi"/>
        </w:rPr>
        <w:t xml:space="preserve">However, women with an </w:t>
      </w:r>
      <w:r w:rsidRPr="002F3A26">
        <w:rPr>
          <w:rFonts w:cstheme="minorHAnsi"/>
        </w:rPr>
        <w:t xml:space="preserve">adjusted enrolment rate </w:t>
      </w:r>
      <w:r w:rsidR="004D0B66" w:rsidRPr="002F3A26">
        <w:rPr>
          <w:rFonts w:cstheme="minorHAnsi"/>
        </w:rPr>
        <w:t>of</w:t>
      </w:r>
      <w:r w:rsidRPr="002F3A26">
        <w:rPr>
          <w:rFonts w:cstheme="minorHAnsi"/>
        </w:rPr>
        <w:t xml:space="preserve"> 50.5%</w:t>
      </w:r>
      <w:r w:rsidR="004D0B66" w:rsidRPr="002F3A26">
        <w:rPr>
          <w:rFonts w:cstheme="minorHAnsi"/>
        </w:rPr>
        <w:t xml:space="preserve"> retained their advantage over men whose adjusted enrolment rate stood at</w:t>
      </w:r>
      <w:r w:rsidRPr="002F3A26">
        <w:rPr>
          <w:rFonts w:cstheme="minorHAnsi"/>
        </w:rPr>
        <w:t xml:space="preserve"> 36.</w:t>
      </w:r>
      <w:r w:rsidR="0074063A" w:rsidRPr="002F3A26">
        <w:rPr>
          <w:rFonts w:cstheme="minorHAnsi"/>
        </w:rPr>
        <w:t>8</w:t>
      </w:r>
      <w:r w:rsidRPr="002F3A26">
        <w:rPr>
          <w:rFonts w:cstheme="minorHAnsi"/>
        </w:rPr>
        <w:t xml:space="preserve">%. </w:t>
      </w:r>
    </w:p>
    <w:p w14:paraId="2241E1DA" w14:textId="58057616" w:rsidR="00E65D13" w:rsidRDefault="00E65D13" w:rsidP="00D23949">
      <w:pPr>
        <w:pStyle w:val="Caption"/>
      </w:pPr>
      <w:bookmarkStart w:id="49" w:name="_Ref187731265"/>
      <w:bookmarkStart w:id="50" w:name="_Toc201760810"/>
      <w:r w:rsidRPr="002F3A26">
        <w:t xml:space="preserve">Figure </w:t>
      </w:r>
      <w:fldSimple w:instr=" SEQ Figure \* ARABIC ">
        <w:r w:rsidR="00627572">
          <w:rPr>
            <w:noProof/>
          </w:rPr>
          <w:t>5</w:t>
        </w:r>
      </w:fldSimple>
      <w:bookmarkEnd w:id="49"/>
      <w:r w:rsidR="00AF3E82">
        <w:rPr>
          <w:noProof/>
        </w:rPr>
        <w:t>:</w:t>
      </w:r>
      <w:r w:rsidRPr="002F3A26">
        <w:t xml:space="preserve"> </w:t>
      </w:r>
      <w:r w:rsidR="007670CF" w:rsidRPr="002F3A26">
        <w:t>Adjusted p</w:t>
      </w:r>
      <w:r w:rsidRPr="002F3A26">
        <w:t>roportion of individuals enrolling in higher</w:t>
      </w:r>
      <w:r w:rsidR="00545655" w:rsidRPr="002F3A26">
        <w:t xml:space="preserve"> education</w:t>
      </w:r>
      <w:r w:rsidRPr="002F3A26">
        <w:t xml:space="preserve"> by equity-group membership and </w:t>
      </w:r>
      <w:r w:rsidR="00E61E05">
        <w:t>First-in-Family</w:t>
      </w:r>
      <w:r w:rsidRPr="002F3A26">
        <w:t xml:space="preserve"> status</w:t>
      </w:r>
      <w:bookmarkEnd w:id="50"/>
    </w:p>
    <w:p w14:paraId="68169954" w14:textId="3BC602EA" w:rsidR="002C1496" w:rsidRPr="002C1496" w:rsidRDefault="00D72F84" w:rsidP="002C1496">
      <w:r>
        <w:rPr>
          <w:noProof/>
          <w14:ligatures w14:val="standardContextual"/>
        </w:rPr>
        <w:drawing>
          <wp:inline distT="0" distB="0" distL="0" distR="0" wp14:anchorId="1E3EC90D" wp14:editId="38FCFA8D">
            <wp:extent cx="5731510" cy="2859405"/>
            <wp:effectExtent l="0" t="0" r="0" b="0"/>
            <wp:docPr id="379909578" name="Picture 5" descr="Figure 5 shows the adjusted percentage of individuals enrolled in higher education by equity-group membership. Across most groups, those not in equity groups have higher enrolment rates. The largest gap appears for people with disability (13.6% vs. 44.3%). However, women and non-English speaking background (NESB) individuals show higher or similar enrolment rates compared to their counter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09578" name="Picture 5" descr="Figure 5 shows the adjusted percentage of individuals enrolled in higher education by equity-group membership. Across most groups, those not in equity groups have higher enrolment rates. The largest gap appears for people with disability (13.6% vs. 44.3%). However, women and non-English speaking background (NESB) individuals show higher or similar enrolment rates compared to their counterpart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859405"/>
                    </a:xfrm>
                    <a:prstGeom prst="rect">
                      <a:avLst/>
                    </a:prstGeom>
                  </pic:spPr>
                </pic:pic>
              </a:graphicData>
            </a:graphic>
          </wp:inline>
        </w:drawing>
      </w:r>
    </w:p>
    <w:p w14:paraId="00101E63" w14:textId="0640D1D4" w:rsidR="007670CF" w:rsidRPr="002F3A26" w:rsidRDefault="00E65D13" w:rsidP="007670CF">
      <w:pPr>
        <w:pStyle w:val="Notes"/>
        <w:rPr>
          <w:rFonts w:cstheme="minorHAnsi"/>
        </w:rPr>
      </w:pPr>
      <w:r w:rsidRPr="002F3A26">
        <w:t xml:space="preserve">Notes: Data from PLIDA.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007670CF" w:rsidRPr="002F3A26">
        <w:t xml:space="preserve">Predicted probabilities based on the model results </w:t>
      </w:r>
      <w:r w:rsidR="007670CF" w:rsidRPr="00500DF0">
        <w:t xml:space="preserve">presented </w:t>
      </w:r>
      <w:r w:rsidR="007670CF" w:rsidRPr="00500DF0">
        <w:rPr>
          <w:rFonts w:cstheme="minorHAnsi"/>
        </w:rPr>
        <w:t xml:space="preserve">in </w:t>
      </w:r>
      <w:r w:rsidR="00500DF0">
        <w:rPr>
          <w:rFonts w:cstheme="minorHAnsi"/>
        </w:rPr>
        <w:t>c</w:t>
      </w:r>
      <w:r w:rsidR="007670CF" w:rsidRPr="00500DF0">
        <w:rPr>
          <w:rFonts w:cstheme="minorHAnsi"/>
        </w:rPr>
        <w:t xml:space="preserve">olumn </w:t>
      </w:r>
      <w:r w:rsidR="00500DF0" w:rsidRPr="00500DF0">
        <w:rPr>
          <w:rFonts w:cstheme="minorHAnsi"/>
        </w:rPr>
        <w:t>I</w:t>
      </w:r>
      <w:r w:rsidR="007670CF" w:rsidRPr="00500DF0">
        <w:rPr>
          <w:rFonts w:cstheme="minorHAnsi"/>
        </w:rPr>
        <w:t xml:space="preserve">I of </w:t>
      </w:r>
      <w:r w:rsidR="00500DF0" w:rsidRPr="00500DF0">
        <w:fldChar w:fldCharType="begin"/>
      </w:r>
      <w:r w:rsidR="00500DF0" w:rsidRPr="00500DF0">
        <w:instrText xml:space="preserve"> REF _Ref191462263 \h </w:instrText>
      </w:r>
      <w:r w:rsidR="00500DF0">
        <w:instrText xml:space="preserve"> \* MERGEFORMAT </w:instrText>
      </w:r>
      <w:r w:rsidR="00500DF0" w:rsidRPr="00500DF0">
        <w:fldChar w:fldCharType="separate"/>
      </w:r>
      <w:r w:rsidR="00627572">
        <w:rPr>
          <w:noProof/>
        </w:rPr>
        <w:t>Table</w:t>
      </w:r>
      <w:r w:rsidR="00627572">
        <w:t xml:space="preserve"> </w:t>
      </w:r>
      <w:r w:rsidR="00627572">
        <w:rPr>
          <w:noProof/>
        </w:rPr>
        <w:t>B</w:t>
      </w:r>
      <w:r w:rsidR="00627572">
        <w:rPr>
          <w:noProof/>
        </w:rPr>
        <w:noBreakHyphen/>
        <w:t>2</w:t>
      </w:r>
      <w:r w:rsidR="00500DF0" w:rsidRPr="00500DF0">
        <w:fldChar w:fldCharType="end"/>
      </w:r>
      <w:r w:rsidR="00500DF0" w:rsidRPr="00500DF0">
        <w:rPr>
          <w:rFonts w:cstheme="minorHAnsi"/>
        </w:rPr>
        <w:t xml:space="preserve"> </w:t>
      </w:r>
      <w:r w:rsidR="00500DF0" w:rsidRPr="00500DF0">
        <w:t xml:space="preserve">in </w:t>
      </w:r>
      <w:r w:rsidR="00500DF0" w:rsidRPr="00500DF0">
        <w:fldChar w:fldCharType="begin"/>
      </w:r>
      <w:r w:rsidR="00500DF0" w:rsidRPr="00500DF0">
        <w:instrText xml:space="preserve"> REF _Ref191461978 \n \h </w:instrText>
      </w:r>
      <w:r w:rsidR="00500DF0">
        <w:instrText xml:space="preserve"> \* MERGEFORMAT </w:instrText>
      </w:r>
      <w:r w:rsidR="00500DF0" w:rsidRPr="00500DF0">
        <w:fldChar w:fldCharType="separate"/>
      </w:r>
      <w:r w:rsidR="00627572">
        <w:t>Appendix B</w:t>
      </w:r>
      <w:r w:rsidR="00500DF0" w:rsidRPr="00500DF0">
        <w:fldChar w:fldCharType="end"/>
      </w:r>
    </w:p>
    <w:p w14:paraId="0C31CF43" w14:textId="77EA82F7" w:rsidR="00234075" w:rsidRPr="002F3A26" w:rsidRDefault="00AD2612" w:rsidP="00AD2612">
      <w:pPr>
        <w:rPr>
          <w:rFonts w:cstheme="minorHAnsi"/>
        </w:rPr>
      </w:pPr>
      <w:r w:rsidRPr="002F3A26">
        <w:lastRenderedPageBreak/>
        <w:t xml:space="preserve">The </w:t>
      </w:r>
      <w:r w:rsidR="00E13767" w:rsidRPr="002F3A26">
        <w:t xml:space="preserve">third </w:t>
      </w:r>
      <w:r w:rsidRPr="002F3A26">
        <w:t>model</w:t>
      </w:r>
      <w:r w:rsidR="00E13767" w:rsidRPr="002F3A26">
        <w:rPr>
          <w:rFonts w:cstheme="minorHAnsi"/>
        </w:rPr>
        <w:t xml:space="preserve">, presented in </w:t>
      </w:r>
      <w:r w:rsidR="00E13767" w:rsidRPr="002F3A26">
        <w:t xml:space="preserve">the last column in </w:t>
      </w:r>
      <w:r w:rsidR="00E13767" w:rsidRPr="002F3A26">
        <w:fldChar w:fldCharType="begin"/>
      </w:r>
      <w:r w:rsidR="00E13767" w:rsidRPr="002F3A26">
        <w:instrText xml:space="preserve"> REF _Ref187816169 \h </w:instrText>
      </w:r>
      <w:r w:rsidR="00E13767" w:rsidRPr="002F3A26">
        <w:fldChar w:fldCharType="separate"/>
      </w:r>
      <w:r w:rsidR="00627572" w:rsidRPr="002F3A26">
        <w:t xml:space="preserve">Table </w:t>
      </w:r>
      <w:r w:rsidR="00627572">
        <w:rPr>
          <w:noProof/>
        </w:rPr>
        <w:t>1</w:t>
      </w:r>
      <w:r w:rsidR="00E13767" w:rsidRPr="002F3A26">
        <w:fldChar w:fldCharType="end"/>
      </w:r>
      <w:r w:rsidR="00E13767" w:rsidRPr="002F3A26">
        <w:t>,</w:t>
      </w:r>
      <w:r w:rsidRPr="002F3A26">
        <w:t xml:space="preserve"> included interaction terms between </w:t>
      </w:r>
      <w:r w:rsidR="00E61E05">
        <w:t>FiF</w:t>
      </w:r>
      <w:r w:rsidRPr="002F3A26">
        <w:t xml:space="preserve"> status </w:t>
      </w:r>
      <w:r w:rsidR="0061788A" w:rsidRPr="002F3A26">
        <w:t>and equity group membership</w:t>
      </w:r>
      <w:r w:rsidR="00E61E05">
        <w:t>,</w:t>
      </w:r>
      <w:r w:rsidR="0061788A" w:rsidRPr="002F3A26">
        <w:t xml:space="preserve"> which allowed </w:t>
      </w:r>
      <w:r w:rsidR="00E61E05">
        <w:t xml:space="preserve">us </w:t>
      </w:r>
      <w:r w:rsidR="0061788A" w:rsidRPr="002F3A26">
        <w:t xml:space="preserve">to investigate whether </w:t>
      </w:r>
      <w:r w:rsidR="00701F5F" w:rsidRPr="002F3A26">
        <w:t xml:space="preserve">the effects of the </w:t>
      </w:r>
      <w:r w:rsidR="00E61E05">
        <w:t>FiF</w:t>
      </w:r>
      <w:r w:rsidR="00701F5F" w:rsidRPr="002F3A26">
        <w:t xml:space="preserve"> status on the enrolment rate varied between individuals belonging to equity groups and their counterparts.</w:t>
      </w:r>
      <w:r w:rsidR="00E13767" w:rsidRPr="002F3A26">
        <w:t xml:space="preserve"> </w:t>
      </w:r>
      <w:r w:rsidR="00E13767" w:rsidRPr="002F3A26">
        <w:fldChar w:fldCharType="begin"/>
      </w:r>
      <w:r w:rsidR="00E13767" w:rsidRPr="002F3A26">
        <w:instrText xml:space="preserve"> REF _Ref187814907 \h </w:instrText>
      </w:r>
      <w:r w:rsidR="00E13767" w:rsidRPr="002F3A26">
        <w:fldChar w:fldCharType="separate"/>
      </w:r>
      <w:r w:rsidR="00627572" w:rsidRPr="002F3A26">
        <w:t xml:space="preserve">Figure </w:t>
      </w:r>
      <w:r w:rsidR="00627572">
        <w:rPr>
          <w:noProof/>
        </w:rPr>
        <w:t>6</w:t>
      </w:r>
      <w:r w:rsidR="00E13767" w:rsidRPr="002F3A26">
        <w:fldChar w:fldCharType="end"/>
      </w:r>
      <w:r w:rsidR="00E13767" w:rsidRPr="002F3A26">
        <w:t xml:space="preserve"> </w:t>
      </w:r>
      <w:r w:rsidR="00E13767" w:rsidRPr="002F3A26">
        <w:rPr>
          <w:rFonts w:cstheme="minorHAnsi"/>
        </w:rPr>
        <w:t xml:space="preserve">presents the </w:t>
      </w:r>
      <w:r w:rsidR="004D0B66" w:rsidRPr="002F3A26">
        <w:rPr>
          <w:rFonts w:cstheme="minorHAnsi"/>
        </w:rPr>
        <w:t xml:space="preserve">predictions based on the model results calculated for categories resulting from intersecting </w:t>
      </w:r>
      <w:r w:rsidR="00E61E05">
        <w:rPr>
          <w:rFonts w:cstheme="minorHAnsi"/>
        </w:rPr>
        <w:t>FiF</w:t>
      </w:r>
      <w:r w:rsidR="004D0B66" w:rsidRPr="002F3A26">
        <w:rPr>
          <w:rFonts w:cstheme="minorHAnsi"/>
        </w:rPr>
        <w:t xml:space="preserve"> status and equity group membership. </w:t>
      </w:r>
      <w:r w:rsidR="00275483" w:rsidRPr="002F3A26">
        <w:rPr>
          <w:rFonts w:cstheme="minorHAnsi"/>
        </w:rPr>
        <w:t xml:space="preserve">It shows that </w:t>
      </w:r>
      <w:r w:rsidR="00E61E05">
        <w:rPr>
          <w:rFonts w:cstheme="minorHAnsi"/>
        </w:rPr>
        <w:t>FiF</w:t>
      </w:r>
      <w:r w:rsidR="00275483" w:rsidRPr="002F3A26">
        <w:rPr>
          <w:rFonts w:cstheme="minorHAnsi"/>
        </w:rPr>
        <w:t xml:space="preserve"> status was always associated with lower chances of enrolling in higher education. As a result, individuals who belonged to a disadvantaged group and did not have university-educated parents were least likely to commence university studies. For example, the adjusted or predicted enrolment rate for </w:t>
      </w:r>
      <w:r w:rsidR="00E61E05">
        <w:rPr>
          <w:rFonts w:cstheme="minorHAnsi"/>
        </w:rPr>
        <w:t>FiF</w:t>
      </w:r>
      <w:r w:rsidR="00275483" w:rsidRPr="002F3A26">
        <w:rPr>
          <w:rFonts w:cstheme="minorHAnsi"/>
        </w:rPr>
        <w:t xml:space="preserve"> individuals from low</w:t>
      </w:r>
      <w:r w:rsidR="00AF3E82">
        <w:rPr>
          <w:rFonts w:cstheme="minorHAnsi"/>
        </w:rPr>
        <w:t xml:space="preserve"> </w:t>
      </w:r>
      <w:r w:rsidR="00275483" w:rsidRPr="002F3A26">
        <w:rPr>
          <w:rFonts w:cstheme="minorHAnsi"/>
        </w:rPr>
        <w:t xml:space="preserve">SES areas was 28.8% compared to 52% for those </w:t>
      </w:r>
      <w:r w:rsidR="00B25994" w:rsidRPr="002F3A26">
        <w:rPr>
          <w:rFonts w:cstheme="minorHAnsi"/>
        </w:rPr>
        <w:t>from low</w:t>
      </w:r>
      <w:r w:rsidR="00AF3E82">
        <w:rPr>
          <w:rFonts w:cstheme="minorHAnsi"/>
        </w:rPr>
        <w:t xml:space="preserve"> </w:t>
      </w:r>
      <w:r w:rsidR="00B25994" w:rsidRPr="002F3A26">
        <w:rPr>
          <w:rFonts w:cstheme="minorHAnsi"/>
        </w:rPr>
        <w:t xml:space="preserve">SES areas who were not </w:t>
      </w:r>
      <w:r w:rsidR="00E61E05">
        <w:rPr>
          <w:rFonts w:cstheme="minorHAnsi"/>
        </w:rPr>
        <w:t>FiF</w:t>
      </w:r>
      <w:r w:rsidR="00B25994" w:rsidRPr="002F3A26">
        <w:rPr>
          <w:rFonts w:cstheme="minorHAnsi"/>
        </w:rPr>
        <w:t xml:space="preserve">, 37.0% for those who were </w:t>
      </w:r>
      <w:r w:rsidR="00E61E05">
        <w:rPr>
          <w:rFonts w:cstheme="minorHAnsi"/>
        </w:rPr>
        <w:t>FiF</w:t>
      </w:r>
      <w:r w:rsidR="00B25994" w:rsidRPr="002F3A26">
        <w:rPr>
          <w:rFonts w:cstheme="minorHAnsi"/>
        </w:rPr>
        <w:t xml:space="preserve"> but lived in higher SES areas, and 60.1% for those</w:t>
      </w:r>
      <w:r w:rsidR="00234075" w:rsidRPr="002F3A26">
        <w:rPr>
          <w:rFonts w:cstheme="minorHAnsi"/>
        </w:rPr>
        <w:t xml:space="preserve"> who were not </w:t>
      </w:r>
      <w:r w:rsidR="00E61E05">
        <w:rPr>
          <w:rFonts w:cstheme="minorHAnsi"/>
        </w:rPr>
        <w:t>FiF</w:t>
      </w:r>
      <w:r w:rsidR="00234075" w:rsidRPr="002F3A26">
        <w:rPr>
          <w:rFonts w:cstheme="minorHAnsi"/>
        </w:rPr>
        <w:t xml:space="preserve"> and did not live in a low</w:t>
      </w:r>
      <w:r w:rsidR="00AF3E82">
        <w:rPr>
          <w:rFonts w:cstheme="minorHAnsi"/>
        </w:rPr>
        <w:t xml:space="preserve"> </w:t>
      </w:r>
      <w:r w:rsidR="00234075" w:rsidRPr="002F3A26">
        <w:rPr>
          <w:rFonts w:cstheme="minorHAnsi"/>
        </w:rPr>
        <w:t>SES area.</w:t>
      </w:r>
    </w:p>
    <w:p w14:paraId="2A89E7C3" w14:textId="4D43888E" w:rsidR="00AD2612" w:rsidRDefault="00AD2612" w:rsidP="00D23949">
      <w:pPr>
        <w:pStyle w:val="Caption"/>
      </w:pPr>
      <w:bookmarkStart w:id="51" w:name="_Ref187814907"/>
      <w:bookmarkStart w:id="52" w:name="_Toc201760811"/>
      <w:r w:rsidRPr="002F3A26">
        <w:t xml:space="preserve">Figure </w:t>
      </w:r>
      <w:fldSimple w:instr=" SEQ Figure \* ARABIC ">
        <w:r w:rsidR="00627572">
          <w:rPr>
            <w:noProof/>
          </w:rPr>
          <w:t>6</w:t>
        </w:r>
      </w:fldSimple>
      <w:bookmarkEnd w:id="51"/>
      <w:r w:rsidR="00AF3E82">
        <w:rPr>
          <w:noProof/>
        </w:rPr>
        <w:t>:</w:t>
      </w:r>
      <w:r w:rsidRPr="002F3A26">
        <w:t xml:space="preserve"> Adjusted proportion of individuals enrolling in higher</w:t>
      </w:r>
      <w:r w:rsidR="00545655" w:rsidRPr="002F3A26">
        <w:t xml:space="preserve"> education</w:t>
      </w:r>
      <w:r w:rsidRPr="002F3A26">
        <w:t xml:space="preserve"> by</w:t>
      </w:r>
      <w:r w:rsidR="000E1E4D" w:rsidRPr="002F3A26">
        <w:t xml:space="preserve"> interacted</w:t>
      </w:r>
      <w:r w:rsidRPr="002F3A26">
        <w:t xml:space="preserve"> equity-group membership and </w:t>
      </w:r>
      <w:r w:rsidR="00E61E05">
        <w:t>First-in-Family</w:t>
      </w:r>
      <w:r w:rsidRPr="002F3A26">
        <w:t xml:space="preserve"> status</w:t>
      </w:r>
      <w:bookmarkEnd w:id="52"/>
    </w:p>
    <w:p w14:paraId="07D3DA1B" w14:textId="044B3492" w:rsidR="00D72F84" w:rsidRPr="002F3A26" w:rsidRDefault="004F523D" w:rsidP="00AD2612">
      <w:r>
        <w:rPr>
          <w:noProof/>
          <w14:ligatures w14:val="standardContextual"/>
        </w:rPr>
        <w:drawing>
          <wp:inline distT="0" distB="0" distL="0" distR="0" wp14:anchorId="542C761E" wp14:editId="6D0D798D">
            <wp:extent cx="5731510" cy="2859405"/>
            <wp:effectExtent l="0" t="0" r="0" b="0"/>
            <wp:docPr id="1880313561" name="Picture 6" descr="Figure 6 shows adjusted higher education enrolment rates across equity groups, broken down by both First-in-Family (FiF) and equity group (EG) status. In all categories, individuals who are both FiF and in an equity group have the lowest enrolment rates, while those who are neither FiF nor in an equity group have the highest. This highlights the compounded disadvantage faced by students who belong to both group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13561" name="Picture 6" descr="Figure 6 shows adjusted higher education enrolment rates across equity groups, broken down by both First-in-Family (FiF) and equity group (EG) status. In all categories, individuals who are both FiF and in an equity group have the lowest enrolment rates, while those who are neither FiF nor in an equity group have the highest. This highlights the compounded disadvantage faced by students who belong to both groups.&#10;&#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859405"/>
                    </a:xfrm>
                    <a:prstGeom prst="rect">
                      <a:avLst/>
                    </a:prstGeom>
                  </pic:spPr>
                </pic:pic>
              </a:graphicData>
            </a:graphic>
          </wp:inline>
        </w:drawing>
      </w:r>
    </w:p>
    <w:p w14:paraId="078CE9E7" w14:textId="0784DD10" w:rsidR="00AD2612" w:rsidRPr="002F3A26" w:rsidRDefault="00AD2612" w:rsidP="00AD2612">
      <w:pPr>
        <w:pStyle w:val="Notes"/>
        <w:rPr>
          <w:rFonts w:cstheme="minorHAnsi"/>
        </w:rPr>
      </w:pPr>
      <w:r w:rsidRPr="002F3A26">
        <w:t>Notes: Data from PLIDA.</w:t>
      </w:r>
      <w:r w:rsidR="00AF3E82">
        <w:t xml:space="preserve"> EG: equity group.</w:t>
      </w:r>
      <w:r w:rsidRPr="002F3A26">
        <w:t xml:space="preserve">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Pr="002F3A26">
        <w:rPr>
          <w:rFonts w:cstheme="minorHAnsi"/>
        </w:rPr>
        <w:t>in</w:t>
      </w:r>
      <w:r w:rsidR="00500DF0">
        <w:rPr>
          <w:rFonts w:cstheme="minorHAnsi"/>
        </w:rPr>
        <w:t xml:space="preserve"> c</w:t>
      </w:r>
      <w:r w:rsidR="00500DF0" w:rsidRPr="00500DF0">
        <w:rPr>
          <w:rFonts w:cstheme="minorHAnsi"/>
        </w:rPr>
        <w:t>olumn II</w:t>
      </w:r>
      <w:r w:rsidR="00500DF0">
        <w:rPr>
          <w:rFonts w:cstheme="minorHAnsi"/>
        </w:rPr>
        <w:t>I in</w:t>
      </w:r>
      <w:r w:rsidRPr="002F3A26">
        <w:rPr>
          <w:rFonts w:cstheme="minorHAnsi"/>
        </w:rPr>
        <w:t xml:space="preserve"> </w:t>
      </w:r>
      <w:r w:rsidR="00500DF0" w:rsidRPr="00500DF0">
        <w:fldChar w:fldCharType="begin"/>
      </w:r>
      <w:r w:rsidR="00500DF0" w:rsidRPr="00500DF0">
        <w:instrText xml:space="preserve"> REF _Ref191462263 \h </w:instrText>
      </w:r>
      <w:r w:rsidR="00500DF0">
        <w:instrText xml:space="preserve"> \* MERGEFORMAT </w:instrText>
      </w:r>
      <w:r w:rsidR="00500DF0" w:rsidRPr="00500DF0">
        <w:fldChar w:fldCharType="separate"/>
      </w:r>
      <w:r w:rsidR="00627572">
        <w:rPr>
          <w:noProof/>
        </w:rPr>
        <w:t>Table</w:t>
      </w:r>
      <w:r w:rsidR="00627572">
        <w:t xml:space="preserve"> </w:t>
      </w:r>
      <w:r w:rsidR="00627572">
        <w:rPr>
          <w:noProof/>
        </w:rPr>
        <w:t>B</w:t>
      </w:r>
      <w:r w:rsidR="00627572">
        <w:rPr>
          <w:noProof/>
        </w:rPr>
        <w:noBreakHyphen/>
        <w:t>2</w:t>
      </w:r>
      <w:r w:rsidR="00500DF0" w:rsidRPr="00500DF0">
        <w:fldChar w:fldCharType="end"/>
      </w:r>
      <w:r w:rsidR="00500DF0">
        <w:t xml:space="preserve"> in </w:t>
      </w:r>
      <w:r w:rsidR="00500DF0">
        <w:rPr>
          <w:highlight w:val="yellow"/>
        </w:rPr>
        <w:fldChar w:fldCharType="begin"/>
      </w:r>
      <w:r w:rsidR="00500DF0">
        <w:instrText xml:space="preserve"> REF _Ref191461978 \n \h </w:instrText>
      </w:r>
      <w:r w:rsidR="00500DF0">
        <w:rPr>
          <w:highlight w:val="yellow"/>
        </w:rPr>
      </w:r>
      <w:r w:rsidR="00500DF0">
        <w:rPr>
          <w:highlight w:val="yellow"/>
        </w:rPr>
        <w:fldChar w:fldCharType="separate"/>
      </w:r>
      <w:r w:rsidR="00627572">
        <w:t>Appendix B</w:t>
      </w:r>
      <w:r w:rsidR="00500DF0">
        <w:rPr>
          <w:highlight w:val="yellow"/>
        </w:rPr>
        <w:fldChar w:fldCharType="end"/>
      </w:r>
      <w:r w:rsidR="00AF3E82">
        <w:t>.</w:t>
      </w:r>
    </w:p>
    <w:p w14:paraId="70FBE219" w14:textId="44C2196D" w:rsidR="00234075" w:rsidRPr="002F3A26" w:rsidRDefault="00234075" w:rsidP="00234075">
      <w:r w:rsidRPr="002F3A26">
        <w:rPr>
          <w:rFonts w:cstheme="minorHAnsi"/>
        </w:rPr>
        <w:t xml:space="preserve">To facilitate the analysis of the moderating effects, average marginal effects (AMEs) were estimated using the results from </w:t>
      </w:r>
      <w:r w:rsidR="00E61E05">
        <w:rPr>
          <w:rFonts w:cstheme="minorHAnsi"/>
        </w:rPr>
        <w:t xml:space="preserve">the </w:t>
      </w:r>
      <w:r w:rsidRPr="002F3A26">
        <w:rPr>
          <w:rFonts w:cstheme="minorHAnsi"/>
        </w:rPr>
        <w:t>third model</w:t>
      </w:r>
      <w:r w:rsidRPr="002F3A26">
        <w:t xml:space="preserve">. </w:t>
      </w:r>
      <w:r w:rsidRPr="002F3A26">
        <w:fldChar w:fldCharType="begin"/>
      </w:r>
      <w:r w:rsidRPr="002F3A26">
        <w:instrText xml:space="preserve"> REF _Ref189640557 \h </w:instrText>
      </w:r>
      <w:r w:rsidRPr="002F3A26">
        <w:fldChar w:fldCharType="separate"/>
      </w:r>
      <w:r w:rsidR="00627572" w:rsidRPr="002F3A26">
        <w:t xml:space="preserve">Figure </w:t>
      </w:r>
      <w:r w:rsidR="00627572">
        <w:rPr>
          <w:noProof/>
        </w:rPr>
        <w:t>7</w:t>
      </w:r>
      <w:r w:rsidRPr="002F3A26">
        <w:fldChar w:fldCharType="end"/>
      </w:r>
      <w:r w:rsidRPr="002F3A26">
        <w:t xml:space="preserve"> represents the AMEs, </w:t>
      </w:r>
      <w:r w:rsidR="00E61E05">
        <w:t>which</w:t>
      </w:r>
      <w:r w:rsidRPr="002F3A26">
        <w:t xml:space="preserve"> </w:t>
      </w:r>
      <w:r w:rsidR="00E61E05">
        <w:t>are</w:t>
      </w:r>
      <w:r w:rsidRPr="002F3A26">
        <w:t xml:space="preserve"> the differences in enrolment rates associated with </w:t>
      </w:r>
      <w:r w:rsidR="00E61E05">
        <w:t>FiF</w:t>
      </w:r>
      <w:r w:rsidRPr="002F3A26">
        <w:t xml:space="preserve"> status calculated for those who belong to an equity group and their non-equity</w:t>
      </w:r>
      <w:r w:rsidR="00AF3E82">
        <w:t xml:space="preserve"> </w:t>
      </w:r>
      <w:r w:rsidRPr="002F3A26">
        <w:t xml:space="preserve">group counterparts. For example, the first bar shows that </w:t>
      </w:r>
      <w:r w:rsidR="00E61E05">
        <w:t>FiF</w:t>
      </w:r>
      <w:r w:rsidRPr="002F3A26">
        <w:t xml:space="preserve"> individuals from low SES areas had </w:t>
      </w:r>
      <w:r w:rsidR="00E61E05">
        <w:t xml:space="preserve">a </w:t>
      </w:r>
      <w:r w:rsidRPr="002F3A26">
        <w:t xml:space="preserve">23.2 pp lower enrolment rate than </w:t>
      </w:r>
      <w:r w:rsidR="00EC07B8" w:rsidRPr="002F3A26">
        <w:t>non-</w:t>
      </w:r>
      <w:r w:rsidR="00E61E05">
        <w:t>FiF</w:t>
      </w:r>
      <w:r w:rsidRPr="002F3A26">
        <w:t xml:space="preserve"> individuals from low SES areas. </w:t>
      </w:r>
      <w:r w:rsidR="00EC07B8" w:rsidRPr="002F3A26">
        <w:t xml:space="preserve">The second bar shows that the average change in the chance of enrolling in higher education associated with being </w:t>
      </w:r>
      <w:r w:rsidR="00E61E05">
        <w:t>FiF</w:t>
      </w:r>
      <w:r w:rsidR="00EC07B8" w:rsidRPr="002F3A26">
        <w:t xml:space="preserve"> was also </w:t>
      </w:r>
      <w:r w:rsidR="004F65E9" w:rsidRPr="002F3A26">
        <w:t>-</w:t>
      </w:r>
      <w:r w:rsidR="00EC07B8" w:rsidRPr="002F3A26">
        <w:t xml:space="preserve">23.2 pp. </w:t>
      </w:r>
      <w:r w:rsidRPr="002F3A26">
        <w:t>This suggests that the</w:t>
      </w:r>
      <w:r w:rsidR="00AF3E82">
        <w:t>re</w:t>
      </w:r>
      <w:r w:rsidRPr="002F3A26">
        <w:t xml:space="preserve"> was no moderation of the effect of </w:t>
      </w:r>
      <w:r w:rsidR="00E61E05">
        <w:t>FiF</w:t>
      </w:r>
      <w:r w:rsidRPr="002F3A26">
        <w:t xml:space="preserve"> status by low SES background. </w:t>
      </w:r>
      <w:r w:rsidR="00EC07B8" w:rsidRPr="002F3A26">
        <w:t>NESB individuals are the other group for which moderation effects are small and statistically non-significant.</w:t>
      </w:r>
    </w:p>
    <w:p w14:paraId="5C81DF5F" w14:textId="503839D4" w:rsidR="00EC07B8" w:rsidRPr="002F3A26" w:rsidRDefault="00EC07B8" w:rsidP="00234075">
      <w:pPr>
        <w:rPr>
          <w:rFonts w:cstheme="minorBidi"/>
        </w:rPr>
      </w:pPr>
      <w:r w:rsidRPr="002F3A26">
        <w:t xml:space="preserve">There was some evidence of moderation in the case of </w:t>
      </w:r>
      <w:r w:rsidR="009F5FEC">
        <w:t>RR</w:t>
      </w:r>
      <w:r w:rsidR="00E61E05">
        <w:t>,</w:t>
      </w:r>
      <w:r w:rsidRPr="002F3A26">
        <w:t xml:space="preserve"> Indigenous</w:t>
      </w:r>
      <w:r w:rsidR="00490A80" w:rsidRPr="002F3A26">
        <w:t xml:space="preserve"> background</w:t>
      </w:r>
      <w:r w:rsidR="00E61E05">
        <w:t>,</w:t>
      </w:r>
      <w:r w:rsidR="00490A80" w:rsidRPr="002F3A26">
        <w:t xml:space="preserve"> </w:t>
      </w:r>
      <w:r w:rsidR="00E61E05">
        <w:t>and</w:t>
      </w:r>
      <w:r w:rsidR="00A80E99" w:rsidRPr="002F3A26">
        <w:t xml:space="preserve"> gender</w:t>
      </w:r>
      <w:r w:rsidR="00490A80" w:rsidRPr="002F3A26">
        <w:t xml:space="preserve">. However, the differences in </w:t>
      </w:r>
      <w:r w:rsidR="00E61E05">
        <w:t>AME,</w:t>
      </w:r>
      <w:r w:rsidR="00490A80" w:rsidRPr="002F3A26">
        <w:t xml:space="preserve"> while statistically significant</w:t>
      </w:r>
      <w:r w:rsidR="00E61E05">
        <w:t>,</w:t>
      </w:r>
      <w:r w:rsidR="00490A80" w:rsidRPr="002F3A26">
        <w:t xml:space="preserve"> were not very large in magnitude, up to </w:t>
      </w:r>
      <w:r w:rsidR="004F65E9" w:rsidRPr="002F3A26">
        <w:t>-</w:t>
      </w:r>
      <w:r w:rsidR="00490A80" w:rsidRPr="002F3A26">
        <w:t>4.3 pp</w:t>
      </w:r>
      <w:r w:rsidR="003A543A" w:rsidRPr="002F3A26">
        <w:t>, compared to the actual AMEs</w:t>
      </w:r>
      <w:r w:rsidR="00490A80" w:rsidRPr="002F3A26">
        <w:t>.</w:t>
      </w:r>
      <w:r w:rsidR="003A543A" w:rsidRPr="002F3A26">
        <w:t xml:space="preserve"> Disability was the only exception. </w:t>
      </w:r>
      <w:r w:rsidR="003A543A" w:rsidRPr="002F3A26">
        <w:lastRenderedPageBreak/>
        <w:t>Amon</w:t>
      </w:r>
      <w:r w:rsidR="00A873E2" w:rsidRPr="002F3A26">
        <w:t>g</w:t>
      </w:r>
      <w:r w:rsidR="003A543A" w:rsidRPr="002F3A26">
        <w:t xml:space="preserve"> people with disability, </w:t>
      </w:r>
      <w:r w:rsidR="00E61E05">
        <w:t>FiF</w:t>
      </w:r>
      <w:r w:rsidR="003A543A" w:rsidRPr="002F3A26">
        <w:t xml:space="preserve"> status had a much smaller effect on predicted enrolment rates than among people without disability.</w:t>
      </w:r>
      <w:r w:rsidR="00490A80" w:rsidRPr="002F3A26">
        <w:t xml:space="preserve"> </w:t>
      </w:r>
    </w:p>
    <w:p w14:paraId="4B194BF3" w14:textId="15969AA5" w:rsidR="00234075" w:rsidRDefault="00234075" w:rsidP="00D23949">
      <w:pPr>
        <w:pStyle w:val="Caption"/>
      </w:pPr>
      <w:bookmarkStart w:id="53" w:name="_Ref189640557"/>
      <w:bookmarkStart w:id="54" w:name="_Toc201760812"/>
      <w:r w:rsidRPr="002F3A26">
        <w:t xml:space="preserve">Figure </w:t>
      </w:r>
      <w:fldSimple w:instr=" SEQ Figure \* ARABIC ">
        <w:r w:rsidR="00627572">
          <w:rPr>
            <w:noProof/>
          </w:rPr>
          <w:t>7</w:t>
        </w:r>
      </w:fldSimple>
      <w:bookmarkEnd w:id="53"/>
      <w:r w:rsidR="00AF3E82">
        <w:rPr>
          <w:noProof/>
        </w:rPr>
        <w:t>:</w:t>
      </w:r>
      <w:r w:rsidRPr="002F3A26">
        <w:t xml:space="preserve"> </w:t>
      </w:r>
      <w:r w:rsidR="000E1E4D" w:rsidRPr="002F3A26">
        <w:t xml:space="preserve">Average marginal effects of </w:t>
      </w:r>
      <w:r w:rsidR="00E61E05">
        <w:t>First-in-Family</w:t>
      </w:r>
      <w:r w:rsidR="000E1E4D" w:rsidRPr="002F3A26">
        <w:t xml:space="preserve"> status on enrolments</w:t>
      </w:r>
      <w:r w:rsidRPr="002F3A26">
        <w:t xml:space="preserve"> in higher education by equity</w:t>
      </w:r>
      <w:r w:rsidR="00AF3E82">
        <w:t xml:space="preserve"> </w:t>
      </w:r>
      <w:r w:rsidRPr="002F3A26">
        <w:t>group membership</w:t>
      </w:r>
      <w:bookmarkEnd w:id="54"/>
    </w:p>
    <w:p w14:paraId="24837A21" w14:textId="15A55199" w:rsidR="00234075" w:rsidRPr="002F3A26" w:rsidRDefault="004F523D" w:rsidP="00234075">
      <w:r>
        <w:rPr>
          <w:noProof/>
          <w14:ligatures w14:val="standardContextual"/>
        </w:rPr>
        <w:drawing>
          <wp:inline distT="0" distB="0" distL="0" distR="0" wp14:anchorId="0E0EE3CD" wp14:editId="193A4FA0">
            <wp:extent cx="5731510" cy="2859405"/>
            <wp:effectExtent l="0" t="0" r="0" b="0"/>
            <wp:docPr id="802796973" name="Picture 7" descr="Figure 7 shows the average marginal effect of being First-in-Family (FiF) on higher education enrolment across different equity groups. In all categories, FiF status is linked to a lower likelihood of enrolment. The effect is generally similar between equity group (EG) and non-EG individuals, except for the Disability group, where the negative impact is much smaller for individuals with disability (-8.0 pp) compared to individuals without disability (-23.5 pp)—indicating a notable difference in how FiF status affects these equity groups differen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96973" name="Picture 7" descr="Figure 7 shows the average marginal effect of being First-in-Family (FiF) on higher education enrolment across different equity groups. In all categories, FiF status is linked to a lower likelihood of enrolment. The effect is generally similar between equity group (EG) and non-EG individuals, except for the Disability group, where the negative impact is much smaller for individuals with disability (-8.0 pp) compared to individuals without disability (-23.5 pp)—indicating a notable difference in how FiF status affects these equity groups differentl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859405"/>
                    </a:xfrm>
                    <a:prstGeom prst="rect">
                      <a:avLst/>
                    </a:prstGeom>
                  </pic:spPr>
                </pic:pic>
              </a:graphicData>
            </a:graphic>
          </wp:inline>
        </w:drawing>
      </w:r>
    </w:p>
    <w:p w14:paraId="043AA00D" w14:textId="4971572D" w:rsidR="00275483" w:rsidRPr="002F3A26" w:rsidRDefault="00234075" w:rsidP="00AD2612">
      <w:pPr>
        <w:pStyle w:val="Notes"/>
        <w:rPr>
          <w:rFonts w:cstheme="minorHAnsi"/>
        </w:rPr>
      </w:pPr>
      <w:r w:rsidRPr="002F3A26">
        <w:t xml:space="preserve">Notes: Data from PLIDA. </w:t>
      </w:r>
      <w:r w:rsidR="00AF3E82">
        <w:t xml:space="preserve">EG: equity group.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00500DF0" w:rsidRPr="002F3A26">
        <w:rPr>
          <w:rFonts w:cstheme="minorHAnsi"/>
        </w:rPr>
        <w:t>in</w:t>
      </w:r>
      <w:r w:rsidR="00500DF0">
        <w:rPr>
          <w:rFonts w:cstheme="minorHAnsi"/>
        </w:rPr>
        <w:t xml:space="preserve"> c</w:t>
      </w:r>
      <w:r w:rsidR="00500DF0" w:rsidRPr="00500DF0">
        <w:rPr>
          <w:rFonts w:cstheme="minorHAnsi"/>
        </w:rPr>
        <w:t>olumn II</w:t>
      </w:r>
      <w:r w:rsidR="00500DF0">
        <w:rPr>
          <w:rFonts w:cstheme="minorHAnsi"/>
        </w:rPr>
        <w:t>I in</w:t>
      </w:r>
      <w:r w:rsidR="00500DF0" w:rsidRPr="002F3A26">
        <w:rPr>
          <w:rFonts w:cstheme="minorHAnsi"/>
        </w:rPr>
        <w:t xml:space="preserve"> </w:t>
      </w:r>
      <w:r w:rsidR="00500DF0" w:rsidRPr="00500DF0">
        <w:fldChar w:fldCharType="begin"/>
      </w:r>
      <w:r w:rsidR="00500DF0" w:rsidRPr="00500DF0">
        <w:instrText xml:space="preserve"> REF _Ref191462263 \h </w:instrText>
      </w:r>
      <w:r w:rsidR="00500DF0">
        <w:instrText xml:space="preserve"> \* MERGEFORMAT </w:instrText>
      </w:r>
      <w:r w:rsidR="00500DF0" w:rsidRPr="00500DF0">
        <w:fldChar w:fldCharType="separate"/>
      </w:r>
      <w:r w:rsidR="00627572">
        <w:rPr>
          <w:noProof/>
        </w:rPr>
        <w:t>Table</w:t>
      </w:r>
      <w:r w:rsidR="00627572">
        <w:t xml:space="preserve"> </w:t>
      </w:r>
      <w:r w:rsidR="00627572">
        <w:rPr>
          <w:noProof/>
        </w:rPr>
        <w:t>B</w:t>
      </w:r>
      <w:r w:rsidR="00627572">
        <w:rPr>
          <w:noProof/>
        </w:rPr>
        <w:noBreakHyphen/>
        <w:t>2</w:t>
      </w:r>
      <w:r w:rsidR="00500DF0" w:rsidRPr="00500DF0">
        <w:fldChar w:fldCharType="end"/>
      </w:r>
      <w:r w:rsidR="00500DF0">
        <w:t xml:space="preserve"> in </w:t>
      </w:r>
      <w:r w:rsidR="00500DF0">
        <w:rPr>
          <w:highlight w:val="yellow"/>
        </w:rPr>
        <w:fldChar w:fldCharType="begin"/>
      </w:r>
      <w:r w:rsidR="00500DF0">
        <w:instrText xml:space="preserve"> REF _Ref191461978 \n \h </w:instrText>
      </w:r>
      <w:r w:rsidR="00500DF0">
        <w:rPr>
          <w:highlight w:val="yellow"/>
        </w:rPr>
      </w:r>
      <w:r w:rsidR="00500DF0">
        <w:rPr>
          <w:highlight w:val="yellow"/>
        </w:rPr>
        <w:fldChar w:fldCharType="separate"/>
      </w:r>
      <w:r w:rsidR="00627572">
        <w:t>Appendix B</w:t>
      </w:r>
      <w:r w:rsidR="00500DF0">
        <w:rPr>
          <w:highlight w:val="yellow"/>
        </w:rPr>
        <w:fldChar w:fldCharType="end"/>
      </w:r>
      <w:r w:rsidR="00AF3E82">
        <w:t>.</w:t>
      </w:r>
    </w:p>
    <w:p w14:paraId="46AA6DD0" w14:textId="1F41CB8D" w:rsidR="00EE06B3" w:rsidRPr="002F3A26" w:rsidRDefault="00EE06B3" w:rsidP="004F64B4">
      <w:pPr>
        <w:pStyle w:val="Heading3"/>
      </w:pPr>
      <w:bookmarkStart w:id="55" w:name="_Toc202791806"/>
      <w:r w:rsidRPr="002F3A26">
        <w:t>Enrolment in selective institution</w:t>
      </w:r>
      <w:r w:rsidR="00E61E05">
        <w:t>s</w:t>
      </w:r>
      <w:bookmarkEnd w:id="55"/>
    </w:p>
    <w:p w14:paraId="6AC43C02" w14:textId="2C20F39E" w:rsidR="006610A1" w:rsidRDefault="003A543A" w:rsidP="003A543A">
      <w:r w:rsidRPr="002F3A26">
        <w:t xml:space="preserve">The next set of models, results from which are presented in </w:t>
      </w:r>
      <w:r w:rsidRPr="002F3A26">
        <w:fldChar w:fldCharType="begin"/>
      </w:r>
      <w:r w:rsidRPr="002F3A26">
        <w:instrText xml:space="preserve"> REF _Ref189643090 \h </w:instrText>
      </w:r>
      <w:r w:rsidRPr="002F3A26">
        <w:fldChar w:fldCharType="separate"/>
      </w:r>
      <w:r w:rsidR="00627572" w:rsidRPr="002F3A26">
        <w:t xml:space="preserve">Table </w:t>
      </w:r>
      <w:r w:rsidR="00627572">
        <w:rPr>
          <w:noProof/>
        </w:rPr>
        <w:t>2</w:t>
      </w:r>
      <w:r w:rsidRPr="002F3A26">
        <w:fldChar w:fldCharType="end"/>
      </w:r>
      <w:r w:rsidRPr="002F3A26">
        <w:t xml:space="preserve">, investigated how social background characteristics </w:t>
      </w:r>
      <w:r w:rsidR="00F6387D" w:rsidRPr="002F3A26">
        <w:t xml:space="preserve">were related to enrolments in the most selective institutions. The </w:t>
      </w:r>
      <w:r w:rsidR="006B6D8C" w:rsidRPr="002F3A26">
        <w:t xml:space="preserve">steps in the analysis were </w:t>
      </w:r>
      <w:r w:rsidR="00DB0B7F" w:rsidRPr="002F3A26">
        <w:t>like</w:t>
      </w:r>
      <w:r w:rsidR="006B6D8C" w:rsidRPr="002F3A26">
        <w:t xml:space="preserve"> the analysis of university enrolments</w:t>
      </w:r>
      <w:r w:rsidR="00E61E05">
        <w:t>;</w:t>
      </w:r>
      <w:r w:rsidR="006B6D8C" w:rsidRPr="002F3A26">
        <w:t xml:space="preserve"> however</w:t>
      </w:r>
      <w:r w:rsidR="00E61E05">
        <w:t>, the</w:t>
      </w:r>
      <w:r w:rsidR="006B6D8C" w:rsidRPr="002F3A26">
        <w:t xml:space="preserve"> sample</w:t>
      </w:r>
      <w:r w:rsidR="00F6387D" w:rsidRPr="002F3A26">
        <w:t xml:space="preserve"> was restricted to those who enrolled in higher education</w:t>
      </w:r>
      <w:r w:rsidR="006B6D8C" w:rsidRPr="002F3A26">
        <w:t>. This allowed</w:t>
      </w:r>
      <w:r w:rsidR="00F6387D" w:rsidRPr="002F3A26">
        <w:t xml:space="preserve"> </w:t>
      </w:r>
      <w:r w:rsidR="006B6D8C" w:rsidRPr="002F3A26">
        <w:t>us to study</w:t>
      </w:r>
      <w:r w:rsidR="00FB413A" w:rsidRPr="002F3A26">
        <w:t xml:space="preserve"> the relationships separately from the effects that social background had on university enrolments in general. Results from </w:t>
      </w:r>
      <w:r w:rsidR="00AF3E82">
        <w:t>M</w:t>
      </w:r>
      <w:r w:rsidR="00FB413A" w:rsidRPr="002F3A26">
        <w:t xml:space="preserve">odel IV suggest that </w:t>
      </w:r>
      <w:r w:rsidR="00E61E05">
        <w:t>FiF</w:t>
      </w:r>
      <w:r w:rsidR="00FB413A" w:rsidRPr="002F3A26">
        <w:t xml:space="preserve"> status was again significantly and strongly associated with the outcome variable with OR at 0.</w:t>
      </w:r>
      <w:r w:rsidR="00255A67" w:rsidRPr="002F3A26">
        <w:t>5</w:t>
      </w:r>
      <w:r w:rsidR="00FB413A" w:rsidRPr="002F3A26">
        <w:t xml:space="preserve">1 (p&lt;0.001). As in the case of university enrolments, the effect of </w:t>
      </w:r>
      <w:r w:rsidR="00E61E05">
        <w:t>FiF</w:t>
      </w:r>
      <w:r w:rsidR="00FB413A" w:rsidRPr="002F3A26">
        <w:t xml:space="preserve"> status did not diminish by much after equity group membership was introduced to the model (</w:t>
      </w:r>
      <w:r w:rsidR="00AF3E82">
        <w:t>M</w:t>
      </w:r>
      <w:r w:rsidR="00FB413A" w:rsidRPr="002F3A26">
        <w:t>odel V).</w:t>
      </w:r>
      <w:r w:rsidR="00255A67" w:rsidRPr="002F3A26">
        <w:t xml:space="preserve"> Again, despite the overlaps between </w:t>
      </w:r>
      <w:r w:rsidR="00E61E05">
        <w:t>FiF</w:t>
      </w:r>
      <w:r w:rsidR="00255A67" w:rsidRPr="002F3A26">
        <w:t xml:space="preserve"> and membership in some equity groups</w:t>
      </w:r>
      <w:r w:rsidR="00E61E05">
        <w:t>,</w:t>
      </w:r>
      <w:r w:rsidR="00255A67" w:rsidRPr="002F3A26">
        <w:t xml:space="preserve"> all variables are significantly associated with the outcome variable.</w:t>
      </w:r>
    </w:p>
    <w:p w14:paraId="0E3A7C2B" w14:textId="77777777" w:rsidR="004C7FF2" w:rsidRDefault="004C7FF2" w:rsidP="003A543A"/>
    <w:p w14:paraId="298994C2" w14:textId="77777777" w:rsidR="004C7FF2" w:rsidRDefault="004C7FF2" w:rsidP="003A543A"/>
    <w:p w14:paraId="63757111" w14:textId="77777777" w:rsidR="004C7FF2" w:rsidRDefault="004C7FF2" w:rsidP="003A543A"/>
    <w:p w14:paraId="250E109B" w14:textId="77777777" w:rsidR="004C7FF2" w:rsidRPr="002F3A26" w:rsidRDefault="004C7FF2" w:rsidP="003A543A"/>
    <w:p w14:paraId="1A22C84D" w14:textId="77777777" w:rsidR="00B24DFD" w:rsidRDefault="00B24DFD">
      <w:pPr>
        <w:spacing w:line="259" w:lineRule="auto"/>
        <w:rPr>
          <w:i/>
          <w:iCs/>
          <w:color w:val="351C26" w:themeColor="text2"/>
          <w:szCs w:val="22"/>
        </w:rPr>
      </w:pPr>
      <w:bookmarkStart w:id="56" w:name="_Ref189643090"/>
      <w:bookmarkStart w:id="57" w:name="_Toc200108751"/>
      <w:r>
        <w:br w:type="page"/>
      </w:r>
    </w:p>
    <w:p w14:paraId="713E453D" w14:textId="1C2A343D" w:rsidR="00EE06B3" w:rsidRPr="002F3A26" w:rsidRDefault="00EE06B3" w:rsidP="00D23949">
      <w:pPr>
        <w:pStyle w:val="Caption"/>
      </w:pPr>
      <w:r w:rsidRPr="002F3A26">
        <w:lastRenderedPageBreak/>
        <w:t xml:space="preserve">Table </w:t>
      </w:r>
      <w:fldSimple w:instr=" SEQ Table \* ARABIC ">
        <w:r w:rsidR="00627572">
          <w:rPr>
            <w:noProof/>
          </w:rPr>
          <w:t>2</w:t>
        </w:r>
      </w:fldSimple>
      <w:bookmarkEnd w:id="56"/>
      <w:r w:rsidR="00AF3E82">
        <w:rPr>
          <w:noProof/>
        </w:rPr>
        <w:t>:</w:t>
      </w:r>
      <w:r w:rsidRPr="002F3A26">
        <w:t xml:space="preserve"> Selected model coefficients (odds ratios) from logistic regression models of enrolment in a selective institution</w:t>
      </w:r>
      <w:bookmarkEnd w:id="57"/>
    </w:p>
    <w:tbl>
      <w:tblPr>
        <w:tblStyle w:val="ACSEStable"/>
        <w:tblW w:w="0" w:type="auto"/>
        <w:tblCellMar>
          <w:top w:w="28" w:type="dxa"/>
          <w:left w:w="28" w:type="dxa"/>
          <w:bottom w:w="28" w:type="dxa"/>
          <w:right w:w="28" w:type="dxa"/>
        </w:tblCellMar>
        <w:tblLook w:val="04A0" w:firstRow="1" w:lastRow="0" w:firstColumn="1" w:lastColumn="0" w:noHBand="0" w:noVBand="1"/>
      </w:tblPr>
      <w:tblGrid>
        <w:gridCol w:w="5124"/>
        <w:gridCol w:w="1139"/>
        <w:gridCol w:w="1282"/>
        <w:gridCol w:w="1332"/>
      </w:tblGrid>
      <w:tr w:rsidR="00EE06B3" w:rsidRPr="002F3A26" w14:paraId="4694DF95" w14:textId="77777777" w:rsidTr="00D17B28">
        <w:trPr>
          <w:cnfStyle w:val="100000000000" w:firstRow="1" w:lastRow="0" w:firstColumn="0" w:lastColumn="0" w:oddVBand="0" w:evenVBand="0" w:oddHBand="0" w:evenHBand="0" w:firstRowFirstColumn="0" w:firstRowLastColumn="0" w:lastRowFirstColumn="0" w:lastRowLastColumn="0"/>
          <w:trHeight w:val="230"/>
        </w:trPr>
        <w:tc>
          <w:tcPr>
            <w:tcW w:w="5124" w:type="dxa"/>
          </w:tcPr>
          <w:p w14:paraId="7CF32A92" w14:textId="77777777" w:rsidR="00EE06B3" w:rsidRPr="002F3A26" w:rsidRDefault="00EE06B3" w:rsidP="004B6AFE">
            <w:pPr>
              <w:pStyle w:val="TOCHeading"/>
              <w:rPr>
                <w:b/>
              </w:rPr>
            </w:pPr>
            <w:r w:rsidRPr="002F3A26">
              <w:rPr>
                <w:b/>
              </w:rPr>
              <w:t>Model number</w:t>
            </w:r>
          </w:p>
        </w:tc>
        <w:tc>
          <w:tcPr>
            <w:tcW w:w="1139" w:type="dxa"/>
          </w:tcPr>
          <w:p w14:paraId="17B51528" w14:textId="0668C28C" w:rsidR="00EE06B3" w:rsidRPr="002F3A26" w:rsidRDefault="00EE06B3" w:rsidP="004B6AFE">
            <w:pPr>
              <w:pStyle w:val="TOCHeading"/>
              <w:rPr>
                <w:b/>
              </w:rPr>
            </w:pPr>
            <w:r w:rsidRPr="002F3A26">
              <w:rPr>
                <w:b/>
              </w:rPr>
              <w:t>I</w:t>
            </w:r>
            <w:r w:rsidR="00FB413A" w:rsidRPr="002F3A26">
              <w:rPr>
                <w:b/>
              </w:rPr>
              <w:t>V</w:t>
            </w:r>
          </w:p>
        </w:tc>
        <w:tc>
          <w:tcPr>
            <w:tcW w:w="1282" w:type="dxa"/>
          </w:tcPr>
          <w:p w14:paraId="18F96B96" w14:textId="09789274" w:rsidR="00EE06B3" w:rsidRPr="002F3A26" w:rsidRDefault="00FB413A" w:rsidP="004B6AFE">
            <w:pPr>
              <w:pStyle w:val="TOCHeading"/>
              <w:rPr>
                <w:b/>
              </w:rPr>
            </w:pPr>
            <w:r w:rsidRPr="002F3A26">
              <w:rPr>
                <w:b/>
              </w:rPr>
              <w:t>V</w:t>
            </w:r>
          </w:p>
        </w:tc>
        <w:tc>
          <w:tcPr>
            <w:tcW w:w="1332" w:type="dxa"/>
          </w:tcPr>
          <w:p w14:paraId="33A11AFB" w14:textId="3C800F67" w:rsidR="00EE06B3" w:rsidRPr="002F3A26" w:rsidRDefault="00FB413A" w:rsidP="004B6AFE">
            <w:pPr>
              <w:pStyle w:val="TOCHeading"/>
              <w:rPr>
                <w:b/>
              </w:rPr>
            </w:pPr>
            <w:r w:rsidRPr="002F3A26">
              <w:rPr>
                <w:b/>
              </w:rPr>
              <w:t>VI</w:t>
            </w:r>
          </w:p>
        </w:tc>
      </w:tr>
      <w:tr w:rsidR="00EE06B3" w:rsidRPr="002F3A26" w14:paraId="56172959" w14:textId="77777777" w:rsidTr="00D17B28">
        <w:trPr>
          <w:trHeight w:val="145"/>
        </w:trPr>
        <w:tc>
          <w:tcPr>
            <w:tcW w:w="5124" w:type="dxa"/>
            <w:shd w:val="clear" w:color="auto" w:fill="78DED9" w:themeFill="accent1"/>
          </w:tcPr>
          <w:p w14:paraId="58522D25" w14:textId="77777777" w:rsidR="00EE06B3" w:rsidRPr="002F3A26" w:rsidRDefault="00EE06B3" w:rsidP="004B6AFE">
            <w:pPr>
              <w:pStyle w:val="TOCHeading"/>
            </w:pPr>
            <w:r w:rsidRPr="002F3A26">
              <w:t>Model title</w:t>
            </w:r>
          </w:p>
        </w:tc>
        <w:tc>
          <w:tcPr>
            <w:tcW w:w="1139" w:type="dxa"/>
            <w:shd w:val="clear" w:color="auto" w:fill="78DED9" w:themeFill="accent1"/>
          </w:tcPr>
          <w:p w14:paraId="639AD25C" w14:textId="77777777" w:rsidR="00EE06B3" w:rsidRPr="002F3A26" w:rsidRDefault="00EE06B3" w:rsidP="004B6AFE">
            <w:pPr>
              <w:pStyle w:val="TOCHeading"/>
            </w:pPr>
            <w:r w:rsidRPr="002F3A26">
              <w:t>FiF</w:t>
            </w:r>
          </w:p>
        </w:tc>
        <w:tc>
          <w:tcPr>
            <w:tcW w:w="1282" w:type="dxa"/>
            <w:shd w:val="clear" w:color="auto" w:fill="78DED9" w:themeFill="accent1"/>
          </w:tcPr>
          <w:p w14:paraId="4584FF2B" w14:textId="77777777" w:rsidR="00EE06B3" w:rsidRPr="002F3A26" w:rsidRDefault="00EE06B3" w:rsidP="004B6AFE">
            <w:pPr>
              <w:pStyle w:val="TOCHeading"/>
            </w:pPr>
            <w:r w:rsidRPr="002F3A26">
              <w:t>FiF+EG</w:t>
            </w:r>
          </w:p>
        </w:tc>
        <w:tc>
          <w:tcPr>
            <w:tcW w:w="1332" w:type="dxa"/>
            <w:shd w:val="clear" w:color="auto" w:fill="78DED9" w:themeFill="accent1"/>
          </w:tcPr>
          <w:p w14:paraId="1A3DF61B" w14:textId="77777777" w:rsidR="00EE06B3" w:rsidRPr="002F3A26" w:rsidRDefault="00EE06B3" w:rsidP="004B6AFE">
            <w:pPr>
              <w:pStyle w:val="TOCHeading"/>
            </w:pPr>
            <w:r w:rsidRPr="002F3A26">
              <w:t>FiFxEG</w:t>
            </w:r>
          </w:p>
        </w:tc>
      </w:tr>
      <w:tr w:rsidR="00A56952" w:rsidRPr="002F3A26" w14:paraId="0331C187" w14:textId="77777777" w:rsidTr="00D17B28">
        <w:trPr>
          <w:trHeight w:val="230"/>
        </w:trPr>
        <w:tc>
          <w:tcPr>
            <w:tcW w:w="5124" w:type="dxa"/>
          </w:tcPr>
          <w:p w14:paraId="519A165F" w14:textId="01478A59" w:rsidR="00A56952" w:rsidRPr="002F3A26" w:rsidRDefault="00A56952" w:rsidP="004B6AFE">
            <w:pPr>
              <w:pStyle w:val="TableParagraph"/>
            </w:pPr>
            <w:r w:rsidRPr="002F3A26">
              <w:t>FiF</w:t>
            </w:r>
          </w:p>
        </w:tc>
        <w:tc>
          <w:tcPr>
            <w:tcW w:w="1139" w:type="dxa"/>
          </w:tcPr>
          <w:p w14:paraId="1F590897" w14:textId="12EC798D" w:rsidR="00A56952" w:rsidRPr="002F3A26" w:rsidRDefault="00A56952" w:rsidP="004B6AFE">
            <w:pPr>
              <w:pStyle w:val="TableParagraph"/>
            </w:pPr>
            <w:r w:rsidRPr="002F3A26">
              <w:t>0.51***</w:t>
            </w:r>
          </w:p>
        </w:tc>
        <w:tc>
          <w:tcPr>
            <w:tcW w:w="1282" w:type="dxa"/>
          </w:tcPr>
          <w:p w14:paraId="35AB46AC" w14:textId="363CAEEE" w:rsidR="00A56952" w:rsidRPr="002F3A26" w:rsidRDefault="00A56952" w:rsidP="004B6AFE">
            <w:pPr>
              <w:pStyle w:val="TableParagraph"/>
            </w:pPr>
            <w:r w:rsidRPr="002F3A26">
              <w:t>0.56***</w:t>
            </w:r>
          </w:p>
        </w:tc>
        <w:tc>
          <w:tcPr>
            <w:tcW w:w="1332" w:type="dxa"/>
          </w:tcPr>
          <w:p w14:paraId="06C308B5" w14:textId="61FDDE11" w:rsidR="00A56952" w:rsidRPr="002F3A26" w:rsidRDefault="00A56952" w:rsidP="004B6AFE">
            <w:pPr>
              <w:pStyle w:val="TableParagraph"/>
            </w:pPr>
            <w:r w:rsidRPr="002F3A26">
              <w:t>0.56***</w:t>
            </w:r>
          </w:p>
        </w:tc>
      </w:tr>
      <w:tr w:rsidR="00A56952" w:rsidRPr="002F3A26" w14:paraId="2C071461" w14:textId="77777777" w:rsidTr="00D17B28">
        <w:trPr>
          <w:trHeight w:val="218"/>
        </w:trPr>
        <w:tc>
          <w:tcPr>
            <w:tcW w:w="5124" w:type="dxa"/>
          </w:tcPr>
          <w:p w14:paraId="4D0169DC" w14:textId="5B593D7B" w:rsidR="00A56952" w:rsidRPr="002F3A26" w:rsidRDefault="00A56952" w:rsidP="004B6AFE">
            <w:pPr>
              <w:pStyle w:val="TableParagraph"/>
            </w:pPr>
            <w:r w:rsidRPr="002F3A26">
              <w:t>Low SES</w:t>
            </w:r>
          </w:p>
        </w:tc>
        <w:tc>
          <w:tcPr>
            <w:tcW w:w="1139" w:type="dxa"/>
          </w:tcPr>
          <w:p w14:paraId="4A46F077" w14:textId="77777777" w:rsidR="00A56952" w:rsidRPr="002F3A26" w:rsidRDefault="00A56952" w:rsidP="004B6AFE">
            <w:pPr>
              <w:pStyle w:val="TableParagraph"/>
            </w:pPr>
          </w:p>
        </w:tc>
        <w:tc>
          <w:tcPr>
            <w:tcW w:w="1282" w:type="dxa"/>
          </w:tcPr>
          <w:p w14:paraId="1E83F361" w14:textId="5C498BBC" w:rsidR="00A56952" w:rsidRPr="002F3A26" w:rsidRDefault="00A56952" w:rsidP="004B6AFE">
            <w:pPr>
              <w:pStyle w:val="TableParagraph"/>
            </w:pPr>
            <w:r w:rsidRPr="002F3A26">
              <w:t>0.77***</w:t>
            </w:r>
          </w:p>
        </w:tc>
        <w:tc>
          <w:tcPr>
            <w:tcW w:w="1332" w:type="dxa"/>
          </w:tcPr>
          <w:p w14:paraId="471C842A" w14:textId="05D0062D" w:rsidR="00A56952" w:rsidRPr="002F3A26" w:rsidRDefault="00A56952" w:rsidP="004B6AFE">
            <w:pPr>
              <w:pStyle w:val="TableParagraph"/>
            </w:pPr>
            <w:r w:rsidRPr="002F3A26">
              <w:t>0.66***</w:t>
            </w:r>
          </w:p>
        </w:tc>
      </w:tr>
      <w:tr w:rsidR="00A56952" w:rsidRPr="002F3A26" w14:paraId="6D30160A" w14:textId="77777777" w:rsidTr="00D17B28">
        <w:trPr>
          <w:trHeight w:val="16"/>
        </w:trPr>
        <w:tc>
          <w:tcPr>
            <w:tcW w:w="5124" w:type="dxa"/>
          </w:tcPr>
          <w:p w14:paraId="26A58DE7" w14:textId="1D955B4E" w:rsidR="00A56952" w:rsidRPr="002F3A26" w:rsidRDefault="009F5FEC" w:rsidP="004B6AFE">
            <w:pPr>
              <w:pStyle w:val="TableParagraph"/>
            </w:pPr>
            <w:r>
              <w:t>RR</w:t>
            </w:r>
          </w:p>
        </w:tc>
        <w:tc>
          <w:tcPr>
            <w:tcW w:w="1139" w:type="dxa"/>
          </w:tcPr>
          <w:p w14:paraId="3841A764" w14:textId="77777777" w:rsidR="00A56952" w:rsidRPr="002F3A26" w:rsidRDefault="00A56952" w:rsidP="004B6AFE">
            <w:pPr>
              <w:pStyle w:val="TableParagraph"/>
            </w:pPr>
          </w:p>
        </w:tc>
        <w:tc>
          <w:tcPr>
            <w:tcW w:w="1282" w:type="dxa"/>
          </w:tcPr>
          <w:p w14:paraId="49BF8450" w14:textId="728E95C7" w:rsidR="00A56952" w:rsidRPr="002F3A26" w:rsidRDefault="00A56952" w:rsidP="004B6AFE">
            <w:pPr>
              <w:pStyle w:val="TableParagraph"/>
            </w:pPr>
            <w:r w:rsidRPr="002F3A26">
              <w:t>0.36***</w:t>
            </w:r>
          </w:p>
        </w:tc>
        <w:tc>
          <w:tcPr>
            <w:tcW w:w="1332" w:type="dxa"/>
          </w:tcPr>
          <w:p w14:paraId="5343DADC" w14:textId="35F93EDF" w:rsidR="00A56952" w:rsidRPr="002F3A26" w:rsidRDefault="00A56952" w:rsidP="004B6AFE">
            <w:pPr>
              <w:pStyle w:val="TableParagraph"/>
            </w:pPr>
            <w:r w:rsidRPr="002F3A26">
              <w:t>0.33***</w:t>
            </w:r>
          </w:p>
        </w:tc>
      </w:tr>
      <w:tr w:rsidR="00A56952" w:rsidRPr="002F3A26" w14:paraId="489469B4" w14:textId="77777777" w:rsidTr="00D17B28">
        <w:trPr>
          <w:trHeight w:val="218"/>
        </w:trPr>
        <w:tc>
          <w:tcPr>
            <w:tcW w:w="5124" w:type="dxa"/>
          </w:tcPr>
          <w:p w14:paraId="68CA81F4" w14:textId="53D77853" w:rsidR="00A56952" w:rsidRPr="002F3A26" w:rsidRDefault="00A56952" w:rsidP="004B6AFE">
            <w:pPr>
              <w:pStyle w:val="TableParagraph"/>
            </w:pPr>
            <w:r w:rsidRPr="002F3A26">
              <w:t>Indigenous</w:t>
            </w:r>
          </w:p>
        </w:tc>
        <w:tc>
          <w:tcPr>
            <w:tcW w:w="1139" w:type="dxa"/>
          </w:tcPr>
          <w:p w14:paraId="3BE8654D" w14:textId="77777777" w:rsidR="00A56952" w:rsidRPr="002F3A26" w:rsidRDefault="00A56952" w:rsidP="004B6AFE">
            <w:pPr>
              <w:pStyle w:val="TableParagraph"/>
            </w:pPr>
          </w:p>
        </w:tc>
        <w:tc>
          <w:tcPr>
            <w:tcW w:w="1282" w:type="dxa"/>
          </w:tcPr>
          <w:p w14:paraId="5D8317E2" w14:textId="7AF6E81E" w:rsidR="00A56952" w:rsidRPr="002F3A26" w:rsidRDefault="00A56952" w:rsidP="004B6AFE">
            <w:pPr>
              <w:pStyle w:val="TableParagraph"/>
            </w:pPr>
            <w:r w:rsidRPr="002F3A26">
              <w:t>0.75***</w:t>
            </w:r>
          </w:p>
        </w:tc>
        <w:tc>
          <w:tcPr>
            <w:tcW w:w="1332" w:type="dxa"/>
          </w:tcPr>
          <w:p w14:paraId="09381BF0" w14:textId="77E2912C" w:rsidR="00A56952" w:rsidRPr="002F3A26" w:rsidRDefault="00A56952" w:rsidP="004B6AFE">
            <w:pPr>
              <w:pStyle w:val="TableParagraph"/>
            </w:pPr>
            <w:r w:rsidRPr="002F3A26">
              <w:t>0.66***</w:t>
            </w:r>
          </w:p>
        </w:tc>
      </w:tr>
      <w:tr w:rsidR="00A56952" w:rsidRPr="002F3A26" w14:paraId="38579088" w14:textId="77777777" w:rsidTr="00D17B28">
        <w:trPr>
          <w:trHeight w:val="218"/>
        </w:trPr>
        <w:tc>
          <w:tcPr>
            <w:tcW w:w="5124" w:type="dxa"/>
          </w:tcPr>
          <w:p w14:paraId="00A7FBFB" w14:textId="230949F1" w:rsidR="00A56952" w:rsidRPr="002F3A26" w:rsidRDefault="00A56952" w:rsidP="004B6AFE">
            <w:pPr>
              <w:pStyle w:val="TableParagraph"/>
            </w:pPr>
            <w:r w:rsidRPr="002F3A26">
              <w:t>NESB</w:t>
            </w:r>
          </w:p>
        </w:tc>
        <w:tc>
          <w:tcPr>
            <w:tcW w:w="1139" w:type="dxa"/>
          </w:tcPr>
          <w:p w14:paraId="477A7AA4" w14:textId="77777777" w:rsidR="00A56952" w:rsidRPr="002F3A26" w:rsidRDefault="00A56952" w:rsidP="004B6AFE">
            <w:pPr>
              <w:pStyle w:val="TableParagraph"/>
            </w:pPr>
          </w:p>
        </w:tc>
        <w:tc>
          <w:tcPr>
            <w:tcW w:w="1282" w:type="dxa"/>
          </w:tcPr>
          <w:p w14:paraId="40BFB0BC" w14:textId="6E3A599D" w:rsidR="00A56952" w:rsidRPr="002F3A26" w:rsidRDefault="00A56952" w:rsidP="004B6AFE">
            <w:pPr>
              <w:pStyle w:val="TableParagraph"/>
            </w:pPr>
            <w:r w:rsidRPr="002F3A26">
              <w:t>1.43***</w:t>
            </w:r>
          </w:p>
        </w:tc>
        <w:tc>
          <w:tcPr>
            <w:tcW w:w="1332" w:type="dxa"/>
          </w:tcPr>
          <w:p w14:paraId="14EBE25C" w14:textId="681556E9" w:rsidR="00A56952" w:rsidRPr="002F3A26" w:rsidRDefault="00A56952" w:rsidP="004B6AFE">
            <w:pPr>
              <w:pStyle w:val="TableParagraph"/>
            </w:pPr>
            <w:r w:rsidRPr="002F3A26">
              <w:t>1.32***</w:t>
            </w:r>
          </w:p>
        </w:tc>
      </w:tr>
      <w:tr w:rsidR="00A56952" w:rsidRPr="002F3A26" w14:paraId="45A358E3" w14:textId="77777777" w:rsidTr="00D17B28">
        <w:trPr>
          <w:trHeight w:val="218"/>
        </w:trPr>
        <w:tc>
          <w:tcPr>
            <w:tcW w:w="5124" w:type="dxa"/>
          </w:tcPr>
          <w:p w14:paraId="12507239" w14:textId="0FAE7454" w:rsidR="00A56952" w:rsidRPr="002F3A26" w:rsidRDefault="00A56952" w:rsidP="004B6AFE">
            <w:pPr>
              <w:pStyle w:val="TableParagraph"/>
            </w:pPr>
            <w:r w:rsidRPr="002F3A26">
              <w:t>Women</w:t>
            </w:r>
          </w:p>
        </w:tc>
        <w:tc>
          <w:tcPr>
            <w:tcW w:w="1139" w:type="dxa"/>
          </w:tcPr>
          <w:p w14:paraId="333AACC1" w14:textId="77777777" w:rsidR="00A56952" w:rsidRPr="002F3A26" w:rsidRDefault="00A56952" w:rsidP="004B6AFE">
            <w:pPr>
              <w:pStyle w:val="TableParagraph"/>
            </w:pPr>
          </w:p>
        </w:tc>
        <w:tc>
          <w:tcPr>
            <w:tcW w:w="1282" w:type="dxa"/>
          </w:tcPr>
          <w:p w14:paraId="6D023CDB" w14:textId="38AD1FBE" w:rsidR="00A56952" w:rsidRPr="002F3A26" w:rsidRDefault="00A56952" w:rsidP="004B6AFE">
            <w:pPr>
              <w:pStyle w:val="TableParagraph"/>
            </w:pPr>
            <w:r w:rsidRPr="002F3A26">
              <w:t>0.88***</w:t>
            </w:r>
          </w:p>
        </w:tc>
        <w:tc>
          <w:tcPr>
            <w:tcW w:w="1332" w:type="dxa"/>
          </w:tcPr>
          <w:p w14:paraId="09E5881C" w14:textId="09DA0BBB" w:rsidR="00A56952" w:rsidRPr="002F3A26" w:rsidRDefault="00A56952" w:rsidP="004B6AFE">
            <w:pPr>
              <w:pStyle w:val="TableParagraph"/>
            </w:pPr>
            <w:r w:rsidRPr="002F3A26">
              <w:t>0.92***</w:t>
            </w:r>
          </w:p>
        </w:tc>
      </w:tr>
      <w:tr w:rsidR="00A56952" w:rsidRPr="002F3A26" w14:paraId="1B4FF3BA" w14:textId="77777777" w:rsidTr="00D17B28">
        <w:trPr>
          <w:trHeight w:val="218"/>
        </w:trPr>
        <w:tc>
          <w:tcPr>
            <w:tcW w:w="5124" w:type="dxa"/>
          </w:tcPr>
          <w:p w14:paraId="2695D794" w14:textId="5E567E1B" w:rsidR="00A56952" w:rsidRPr="002F3A26" w:rsidRDefault="00A56952" w:rsidP="004B6AFE">
            <w:pPr>
              <w:pStyle w:val="TableParagraph"/>
            </w:pPr>
            <w:r w:rsidRPr="002F3A26">
              <w:t>Disability</w:t>
            </w:r>
          </w:p>
        </w:tc>
        <w:tc>
          <w:tcPr>
            <w:tcW w:w="1139" w:type="dxa"/>
          </w:tcPr>
          <w:p w14:paraId="5D7C1DCF" w14:textId="77777777" w:rsidR="00A56952" w:rsidRPr="002F3A26" w:rsidRDefault="00A56952" w:rsidP="004B6AFE">
            <w:pPr>
              <w:pStyle w:val="TableParagraph"/>
            </w:pPr>
          </w:p>
        </w:tc>
        <w:tc>
          <w:tcPr>
            <w:tcW w:w="1282" w:type="dxa"/>
          </w:tcPr>
          <w:p w14:paraId="7D906E41" w14:textId="70F9F6F1" w:rsidR="00A56952" w:rsidRPr="002F3A26" w:rsidRDefault="00A56952" w:rsidP="004B6AFE">
            <w:pPr>
              <w:pStyle w:val="TableParagraph"/>
            </w:pPr>
            <w:r w:rsidRPr="002F3A26">
              <w:t>0.54***</w:t>
            </w:r>
          </w:p>
        </w:tc>
        <w:tc>
          <w:tcPr>
            <w:tcW w:w="1332" w:type="dxa"/>
          </w:tcPr>
          <w:p w14:paraId="28E2AE93" w14:textId="0D15E4F9" w:rsidR="00A56952" w:rsidRPr="002F3A26" w:rsidRDefault="00A56952" w:rsidP="004B6AFE">
            <w:pPr>
              <w:pStyle w:val="TableParagraph"/>
            </w:pPr>
            <w:r w:rsidRPr="002F3A26">
              <w:t>0.50***</w:t>
            </w:r>
          </w:p>
        </w:tc>
      </w:tr>
      <w:tr w:rsidR="00A56952" w:rsidRPr="002F3A26" w14:paraId="745F1FBF" w14:textId="77777777" w:rsidTr="00D17B28">
        <w:trPr>
          <w:trHeight w:val="20"/>
        </w:trPr>
        <w:tc>
          <w:tcPr>
            <w:tcW w:w="5124" w:type="dxa"/>
          </w:tcPr>
          <w:p w14:paraId="6545F47E" w14:textId="6166AEC7" w:rsidR="00A56952" w:rsidRPr="002F3A26" w:rsidRDefault="00A56952" w:rsidP="004B6AFE">
            <w:pPr>
              <w:pStyle w:val="TableParagraph"/>
            </w:pPr>
            <w:r w:rsidRPr="002F3A26">
              <w:t>FiF # Low SES</w:t>
            </w:r>
          </w:p>
        </w:tc>
        <w:tc>
          <w:tcPr>
            <w:tcW w:w="1139" w:type="dxa"/>
          </w:tcPr>
          <w:p w14:paraId="47C18261" w14:textId="77777777" w:rsidR="00A56952" w:rsidRPr="002F3A26" w:rsidRDefault="00A56952" w:rsidP="004B6AFE">
            <w:pPr>
              <w:pStyle w:val="TableParagraph"/>
            </w:pPr>
          </w:p>
        </w:tc>
        <w:tc>
          <w:tcPr>
            <w:tcW w:w="1282" w:type="dxa"/>
          </w:tcPr>
          <w:p w14:paraId="65B39FB3" w14:textId="77777777" w:rsidR="00A56952" w:rsidRPr="002F3A26" w:rsidRDefault="00A56952" w:rsidP="004B6AFE">
            <w:pPr>
              <w:pStyle w:val="TableParagraph"/>
            </w:pPr>
          </w:p>
        </w:tc>
        <w:tc>
          <w:tcPr>
            <w:tcW w:w="1332" w:type="dxa"/>
          </w:tcPr>
          <w:p w14:paraId="37027569" w14:textId="74C1D873" w:rsidR="00A56952" w:rsidRPr="002F3A26" w:rsidRDefault="00A56952" w:rsidP="004B6AFE">
            <w:pPr>
              <w:pStyle w:val="TableParagraph"/>
            </w:pPr>
            <w:r w:rsidRPr="002F3A26">
              <w:t>1.24***</w:t>
            </w:r>
          </w:p>
        </w:tc>
      </w:tr>
      <w:tr w:rsidR="00A56952" w:rsidRPr="002F3A26" w14:paraId="25BE17BB" w14:textId="77777777" w:rsidTr="00D17B28">
        <w:trPr>
          <w:trHeight w:val="218"/>
        </w:trPr>
        <w:tc>
          <w:tcPr>
            <w:tcW w:w="5124" w:type="dxa"/>
          </w:tcPr>
          <w:p w14:paraId="0051E418" w14:textId="76249C1C" w:rsidR="00A56952" w:rsidRPr="002F3A26" w:rsidRDefault="00A56952" w:rsidP="004B6AFE">
            <w:pPr>
              <w:pStyle w:val="TableParagraph"/>
            </w:pPr>
            <w:r w:rsidRPr="002F3A26">
              <w:t xml:space="preserve">FiF # </w:t>
            </w:r>
            <w:r w:rsidR="009F5FEC">
              <w:t>RR</w:t>
            </w:r>
          </w:p>
        </w:tc>
        <w:tc>
          <w:tcPr>
            <w:tcW w:w="1139" w:type="dxa"/>
          </w:tcPr>
          <w:p w14:paraId="60A80A04" w14:textId="77777777" w:rsidR="00A56952" w:rsidRPr="002F3A26" w:rsidRDefault="00A56952" w:rsidP="004B6AFE">
            <w:pPr>
              <w:pStyle w:val="TableParagraph"/>
            </w:pPr>
          </w:p>
        </w:tc>
        <w:tc>
          <w:tcPr>
            <w:tcW w:w="1282" w:type="dxa"/>
          </w:tcPr>
          <w:p w14:paraId="2995161F" w14:textId="77777777" w:rsidR="00A56952" w:rsidRPr="002F3A26" w:rsidRDefault="00A56952" w:rsidP="004B6AFE">
            <w:pPr>
              <w:pStyle w:val="TableParagraph"/>
            </w:pPr>
          </w:p>
        </w:tc>
        <w:tc>
          <w:tcPr>
            <w:tcW w:w="1332" w:type="dxa"/>
          </w:tcPr>
          <w:p w14:paraId="577E5CE1" w14:textId="6172632D" w:rsidR="00A56952" w:rsidRPr="002F3A26" w:rsidRDefault="00A56952" w:rsidP="004B6AFE">
            <w:pPr>
              <w:pStyle w:val="TableParagraph"/>
            </w:pPr>
            <w:r w:rsidRPr="002F3A26">
              <w:t>1.18***</w:t>
            </w:r>
          </w:p>
        </w:tc>
      </w:tr>
      <w:tr w:rsidR="00A56952" w:rsidRPr="002F3A26" w14:paraId="76799D5D" w14:textId="77777777" w:rsidTr="00D17B28">
        <w:trPr>
          <w:trHeight w:val="218"/>
        </w:trPr>
        <w:tc>
          <w:tcPr>
            <w:tcW w:w="5124" w:type="dxa"/>
          </w:tcPr>
          <w:p w14:paraId="08A11B4E" w14:textId="53173718" w:rsidR="00A56952" w:rsidRPr="002F3A26" w:rsidRDefault="00A56952" w:rsidP="004B6AFE">
            <w:pPr>
              <w:pStyle w:val="TableParagraph"/>
            </w:pPr>
            <w:r w:rsidRPr="002F3A26">
              <w:t>FiF # Indigenous</w:t>
            </w:r>
          </w:p>
        </w:tc>
        <w:tc>
          <w:tcPr>
            <w:tcW w:w="1139" w:type="dxa"/>
          </w:tcPr>
          <w:p w14:paraId="27A145EC" w14:textId="77777777" w:rsidR="00A56952" w:rsidRPr="002F3A26" w:rsidRDefault="00A56952" w:rsidP="004B6AFE">
            <w:pPr>
              <w:pStyle w:val="TableParagraph"/>
            </w:pPr>
          </w:p>
        </w:tc>
        <w:tc>
          <w:tcPr>
            <w:tcW w:w="1282" w:type="dxa"/>
          </w:tcPr>
          <w:p w14:paraId="71042641" w14:textId="77777777" w:rsidR="00A56952" w:rsidRPr="002F3A26" w:rsidRDefault="00A56952" w:rsidP="004B6AFE">
            <w:pPr>
              <w:pStyle w:val="TableParagraph"/>
            </w:pPr>
          </w:p>
        </w:tc>
        <w:tc>
          <w:tcPr>
            <w:tcW w:w="1332" w:type="dxa"/>
          </w:tcPr>
          <w:p w14:paraId="473C7C4E" w14:textId="2CF6929E" w:rsidR="00A56952" w:rsidRPr="002F3A26" w:rsidRDefault="00A56952" w:rsidP="004B6AFE">
            <w:pPr>
              <w:pStyle w:val="TableParagraph"/>
            </w:pPr>
            <w:r w:rsidRPr="002F3A26">
              <w:t>1.21*</w:t>
            </w:r>
          </w:p>
        </w:tc>
      </w:tr>
      <w:tr w:rsidR="00A56952" w:rsidRPr="002F3A26" w14:paraId="7C241FAE" w14:textId="77777777" w:rsidTr="00D17B28">
        <w:trPr>
          <w:trHeight w:val="218"/>
        </w:trPr>
        <w:tc>
          <w:tcPr>
            <w:tcW w:w="5124" w:type="dxa"/>
          </w:tcPr>
          <w:p w14:paraId="3297019B" w14:textId="4AF0F7B7" w:rsidR="00A56952" w:rsidRPr="002F3A26" w:rsidRDefault="00A56952" w:rsidP="004B6AFE">
            <w:pPr>
              <w:pStyle w:val="TableParagraph"/>
            </w:pPr>
            <w:r w:rsidRPr="002F3A26">
              <w:t>FiF # NESB</w:t>
            </w:r>
          </w:p>
        </w:tc>
        <w:tc>
          <w:tcPr>
            <w:tcW w:w="1139" w:type="dxa"/>
          </w:tcPr>
          <w:p w14:paraId="662564B5" w14:textId="77777777" w:rsidR="00A56952" w:rsidRPr="002F3A26" w:rsidRDefault="00A56952" w:rsidP="004B6AFE">
            <w:pPr>
              <w:pStyle w:val="TableParagraph"/>
            </w:pPr>
          </w:p>
        </w:tc>
        <w:tc>
          <w:tcPr>
            <w:tcW w:w="1282" w:type="dxa"/>
          </w:tcPr>
          <w:p w14:paraId="439565F2" w14:textId="77777777" w:rsidR="00A56952" w:rsidRPr="002F3A26" w:rsidRDefault="00A56952" w:rsidP="004B6AFE">
            <w:pPr>
              <w:pStyle w:val="TableParagraph"/>
            </w:pPr>
          </w:p>
        </w:tc>
        <w:tc>
          <w:tcPr>
            <w:tcW w:w="1332" w:type="dxa"/>
          </w:tcPr>
          <w:p w14:paraId="5574C7DC" w14:textId="294BDCE2" w:rsidR="00A56952" w:rsidRPr="002F3A26" w:rsidRDefault="00A56952" w:rsidP="004B6AFE">
            <w:pPr>
              <w:pStyle w:val="TableParagraph"/>
            </w:pPr>
            <w:r w:rsidRPr="002F3A26">
              <w:t>1.19***</w:t>
            </w:r>
          </w:p>
        </w:tc>
      </w:tr>
      <w:tr w:rsidR="00A56952" w:rsidRPr="002F3A26" w14:paraId="6A544B15" w14:textId="77777777" w:rsidTr="00D17B28">
        <w:trPr>
          <w:trHeight w:val="218"/>
        </w:trPr>
        <w:tc>
          <w:tcPr>
            <w:tcW w:w="5124" w:type="dxa"/>
          </w:tcPr>
          <w:p w14:paraId="10E05179" w14:textId="7B0748CF" w:rsidR="00A56952" w:rsidRPr="002F3A26" w:rsidRDefault="00A56952" w:rsidP="004B6AFE">
            <w:pPr>
              <w:pStyle w:val="TableParagraph"/>
            </w:pPr>
            <w:r w:rsidRPr="002F3A26">
              <w:t>FiF # Women</w:t>
            </w:r>
          </w:p>
        </w:tc>
        <w:tc>
          <w:tcPr>
            <w:tcW w:w="1139" w:type="dxa"/>
          </w:tcPr>
          <w:p w14:paraId="08A23ACB" w14:textId="77777777" w:rsidR="00A56952" w:rsidRPr="002F3A26" w:rsidRDefault="00A56952" w:rsidP="004B6AFE">
            <w:pPr>
              <w:pStyle w:val="TableParagraph"/>
            </w:pPr>
          </w:p>
        </w:tc>
        <w:tc>
          <w:tcPr>
            <w:tcW w:w="1282" w:type="dxa"/>
          </w:tcPr>
          <w:p w14:paraId="52B63B30" w14:textId="77777777" w:rsidR="00A56952" w:rsidRPr="002F3A26" w:rsidRDefault="00A56952" w:rsidP="004B6AFE">
            <w:pPr>
              <w:pStyle w:val="TableParagraph"/>
            </w:pPr>
          </w:p>
        </w:tc>
        <w:tc>
          <w:tcPr>
            <w:tcW w:w="1332" w:type="dxa"/>
          </w:tcPr>
          <w:p w14:paraId="3409782E" w14:textId="7C94231E" w:rsidR="00A56952" w:rsidRPr="002F3A26" w:rsidRDefault="00A56952" w:rsidP="004B6AFE">
            <w:pPr>
              <w:pStyle w:val="TableParagraph"/>
            </w:pPr>
            <w:r w:rsidRPr="002F3A26">
              <w:t>0.90***</w:t>
            </w:r>
          </w:p>
        </w:tc>
      </w:tr>
      <w:tr w:rsidR="00A56952" w:rsidRPr="002F3A26" w14:paraId="18B7BBDC" w14:textId="77777777" w:rsidTr="00D17B28">
        <w:trPr>
          <w:trHeight w:val="218"/>
        </w:trPr>
        <w:tc>
          <w:tcPr>
            <w:tcW w:w="5124" w:type="dxa"/>
          </w:tcPr>
          <w:p w14:paraId="3ED164AF" w14:textId="33A93ABD" w:rsidR="00A56952" w:rsidRPr="002F3A26" w:rsidRDefault="00A56952" w:rsidP="004B6AFE">
            <w:pPr>
              <w:pStyle w:val="TableParagraph"/>
            </w:pPr>
            <w:r w:rsidRPr="002F3A26">
              <w:t>FiF # Disability</w:t>
            </w:r>
          </w:p>
        </w:tc>
        <w:tc>
          <w:tcPr>
            <w:tcW w:w="1139" w:type="dxa"/>
          </w:tcPr>
          <w:p w14:paraId="02105150" w14:textId="77777777" w:rsidR="00A56952" w:rsidRPr="002F3A26" w:rsidRDefault="00A56952" w:rsidP="004B6AFE">
            <w:pPr>
              <w:pStyle w:val="TableParagraph"/>
            </w:pPr>
          </w:p>
        </w:tc>
        <w:tc>
          <w:tcPr>
            <w:tcW w:w="1282" w:type="dxa"/>
          </w:tcPr>
          <w:p w14:paraId="470C2555" w14:textId="77777777" w:rsidR="00A56952" w:rsidRPr="002F3A26" w:rsidRDefault="00A56952" w:rsidP="004B6AFE">
            <w:pPr>
              <w:pStyle w:val="TableParagraph"/>
            </w:pPr>
          </w:p>
        </w:tc>
        <w:tc>
          <w:tcPr>
            <w:tcW w:w="1332" w:type="dxa"/>
          </w:tcPr>
          <w:p w14:paraId="3800FB5C" w14:textId="51083C3F" w:rsidR="00A56952" w:rsidRPr="002F3A26" w:rsidRDefault="00A56952" w:rsidP="004B6AFE">
            <w:pPr>
              <w:pStyle w:val="TableParagraph"/>
            </w:pPr>
            <w:r w:rsidRPr="002F3A26">
              <w:t>1.17</w:t>
            </w:r>
          </w:p>
        </w:tc>
      </w:tr>
      <w:tr w:rsidR="00A56952" w:rsidRPr="002F3A26" w14:paraId="0D39B89A" w14:textId="77777777" w:rsidTr="00D17B28">
        <w:trPr>
          <w:trHeight w:val="218"/>
        </w:trPr>
        <w:tc>
          <w:tcPr>
            <w:tcW w:w="5124" w:type="dxa"/>
          </w:tcPr>
          <w:p w14:paraId="30EDB65C" w14:textId="74432DB7" w:rsidR="00A56952" w:rsidRPr="002F3A26" w:rsidRDefault="00A56952" w:rsidP="004B6AFE">
            <w:pPr>
              <w:pStyle w:val="TableParagraph"/>
            </w:pPr>
            <w:r w:rsidRPr="002F3A26">
              <w:t>Controls</w:t>
            </w:r>
          </w:p>
        </w:tc>
        <w:tc>
          <w:tcPr>
            <w:tcW w:w="1139" w:type="dxa"/>
          </w:tcPr>
          <w:p w14:paraId="2A79A337" w14:textId="7222E431" w:rsidR="00A56952" w:rsidRPr="002F3A26" w:rsidRDefault="00A56952" w:rsidP="004B6AFE">
            <w:pPr>
              <w:pStyle w:val="TableParagraph"/>
            </w:pPr>
            <w:r w:rsidRPr="002F3A26">
              <w:t>Yes</w:t>
            </w:r>
          </w:p>
        </w:tc>
        <w:tc>
          <w:tcPr>
            <w:tcW w:w="1282" w:type="dxa"/>
          </w:tcPr>
          <w:p w14:paraId="17774CE0" w14:textId="6B4B3FD0" w:rsidR="00A56952" w:rsidRPr="002F3A26" w:rsidRDefault="00A56952" w:rsidP="004B6AFE">
            <w:pPr>
              <w:pStyle w:val="TableParagraph"/>
            </w:pPr>
            <w:r w:rsidRPr="002F3A26">
              <w:t>Yes</w:t>
            </w:r>
          </w:p>
        </w:tc>
        <w:tc>
          <w:tcPr>
            <w:tcW w:w="1332" w:type="dxa"/>
          </w:tcPr>
          <w:p w14:paraId="56CCE353" w14:textId="21F1C201" w:rsidR="00A56952" w:rsidRPr="002F3A26" w:rsidRDefault="00A56952" w:rsidP="004B6AFE">
            <w:pPr>
              <w:pStyle w:val="TableParagraph"/>
            </w:pPr>
            <w:r w:rsidRPr="002F3A26">
              <w:t>Yes</w:t>
            </w:r>
          </w:p>
        </w:tc>
      </w:tr>
      <w:tr w:rsidR="00A56952" w:rsidRPr="002F3A26" w14:paraId="1B0CAC02" w14:textId="77777777" w:rsidTr="00D17B28">
        <w:trPr>
          <w:trHeight w:val="225"/>
        </w:trPr>
        <w:tc>
          <w:tcPr>
            <w:tcW w:w="5124" w:type="dxa"/>
          </w:tcPr>
          <w:p w14:paraId="5BAEACAE" w14:textId="2CF7DDD1" w:rsidR="00A56952" w:rsidRPr="002F3A26" w:rsidRDefault="00A56952" w:rsidP="004B6AFE">
            <w:pPr>
              <w:pStyle w:val="TableParagraph"/>
            </w:pPr>
            <w:r w:rsidRPr="002F3A26">
              <w:t>Observations</w:t>
            </w:r>
          </w:p>
        </w:tc>
        <w:tc>
          <w:tcPr>
            <w:tcW w:w="1139" w:type="dxa"/>
          </w:tcPr>
          <w:p w14:paraId="57236D2C" w14:textId="3C8466C4" w:rsidR="00A56952" w:rsidRPr="002F3A26" w:rsidRDefault="00A56952" w:rsidP="004B6AFE">
            <w:pPr>
              <w:pStyle w:val="TableParagraph"/>
            </w:pPr>
            <w:r w:rsidRPr="002F3A26">
              <w:t>192995</w:t>
            </w:r>
          </w:p>
        </w:tc>
        <w:tc>
          <w:tcPr>
            <w:tcW w:w="1282" w:type="dxa"/>
          </w:tcPr>
          <w:p w14:paraId="05200249" w14:textId="17770CB4" w:rsidR="00A56952" w:rsidRPr="002F3A26" w:rsidRDefault="00A56952" w:rsidP="004B6AFE">
            <w:pPr>
              <w:pStyle w:val="TableParagraph"/>
            </w:pPr>
            <w:r w:rsidRPr="002F3A26">
              <w:t>192995</w:t>
            </w:r>
          </w:p>
        </w:tc>
        <w:tc>
          <w:tcPr>
            <w:tcW w:w="1332" w:type="dxa"/>
          </w:tcPr>
          <w:p w14:paraId="38046111" w14:textId="1FE164EB" w:rsidR="00A56952" w:rsidRPr="002F3A26" w:rsidRDefault="00A56952" w:rsidP="004B6AFE">
            <w:pPr>
              <w:pStyle w:val="TableParagraph"/>
            </w:pPr>
            <w:r w:rsidRPr="002F3A26">
              <w:t>192995</w:t>
            </w:r>
          </w:p>
        </w:tc>
      </w:tr>
      <w:tr w:rsidR="00A56952" w:rsidRPr="002F3A26" w14:paraId="706D2C7A" w14:textId="77777777" w:rsidTr="00D17B28">
        <w:trPr>
          <w:trHeight w:val="218"/>
        </w:trPr>
        <w:tc>
          <w:tcPr>
            <w:tcW w:w="5124" w:type="dxa"/>
          </w:tcPr>
          <w:p w14:paraId="502F929B" w14:textId="382C7713" w:rsidR="00A56952" w:rsidRPr="002F3A26" w:rsidRDefault="00A56952" w:rsidP="004B6AFE">
            <w:pPr>
              <w:pStyle w:val="TableParagraph"/>
            </w:pPr>
            <w:r w:rsidRPr="002F3A26">
              <w:t>Pseudo R2</w:t>
            </w:r>
          </w:p>
        </w:tc>
        <w:tc>
          <w:tcPr>
            <w:tcW w:w="1139" w:type="dxa"/>
          </w:tcPr>
          <w:p w14:paraId="4C1821E5" w14:textId="25CBDD99" w:rsidR="00A56952" w:rsidRPr="002F3A26" w:rsidRDefault="00A56952" w:rsidP="004B6AFE">
            <w:pPr>
              <w:pStyle w:val="TableParagraph"/>
            </w:pPr>
            <w:r w:rsidRPr="002F3A26">
              <w:t>0.027</w:t>
            </w:r>
          </w:p>
        </w:tc>
        <w:tc>
          <w:tcPr>
            <w:tcW w:w="1282" w:type="dxa"/>
          </w:tcPr>
          <w:p w14:paraId="54D92302" w14:textId="54EEDE4C" w:rsidR="00A56952" w:rsidRPr="002F3A26" w:rsidRDefault="00A56952" w:rsidP="004B6AFE">
            <w:pPr>
              <w:pStyle w:val="TableParagraph"/>
            </w:pPr>
            <w:r w:rsidRPr="002F3A26">
              <w:t>0.056</w:t>
            </w:r>
          </w:p>
        </w:tc>
        <w:tc>
          <w:tcPr>
            <w:tcW w:w="1332" w:type="dxa"/>
          </w:tcPr>
          <w:p w14:paraId="2920F53F" w14:textId="3B68F68A" w:rsidR="00A56952" w:rsidRPr="002F3A26" w:rsidRDefault="00A56952" w:rsidP="004B6AFE">
            <w:pPr>
              <w:pStyle w:val="TableParagraph"/>
            </w:pPr>
            <w:r w:rsidRPr="002F3A26">
              <w:t>0.057</w:t>
            </w:r>
          </w:p>
        </w:tc>
      </w:tr>
    </w:tbl>
    <w:p w14:paraId="2750462C" w14:textId="70813FFD" w:rsidR="00EE06B3" w:rsidRPr="002F3A26" w:rsidRDefault="00EE06B3" w:rsidP="00EE06B3">
      <w:pPr>
        <w:pStyle w:val="Notes"/>
      </w:pPr>
      <w:r w:rsidRPr="002F3A26">
        <w:t xml:space="preserve">Notes: Data from PLIDA. </w:t>
      </w:r>
      <w:r w:rsidR="00AF3E82">
        <w:t xml:space="preserve">EG: equity group.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Pr="002F3A26">
        <w:t xml:space="preserve">Full sets of model results are available in </w:t>
      </w:r>
      <w:r w:rsidR="00926015">
        <w:rPr>
          <w:highlight w:val="yellow"/>
        </w:rPr>
        <w:fldChar w:fldCharType="begin"/>
      </w:r>
      <w:r w:rsidR="00926015">
        <w:instrText xml:space="preserve"> REF _Ref191462348 \h </w:instrText>
      </w:r>
      <w:r w:rsidR="00926015">
        <w:rPr>
          <w:highlight w:val="yellow"/>
        </w:rPr>
      </w:r>
      <w:r w:rsidR="00926015">
        <w:rPr>
          <w:highlight w:val="yellow"/>
        </w:rPr>
        <w:fldChar w:fldCharType="separate"/>
      </w:r>
      <w:r w:rsidR="00627572">
        <w:t xml:space="preserve">Table </w:t>
      </w:r>
      <w:r w:rsidR="00627572">
        <w:rPr>
          <w:noProof/>
        </w:rPr>
        <w:t>B</w:t>
      </w:r>
      <w:r w:rsidR="00627572">
        <w:noBreakHyphen/>
      </w:r>
      <w:r w:rsidR="00627572">
        <w:rPr>
          <w:noProof/>
        </w:rPr>
        <w:t>3</w:t>
      </w:r>
      <w:r w:rsidR="00926015">
        <w:rPr>
          <w:highlight w:val="yellow"/>
        </w:rPr>
        <w:fldChar w:fldCharType="end"/>
      </w:r>
      <w:r w:rsidR="00500DF0">
        <w:t xml:space="preserve"> </w:t>
      </w:r>
      <w:r w:rsidR="00500DF0" w:rsidRPr="00926015">
        <w:t xml:space="preserve">in </w:t>
      </w:r>
      <w:r w:rsidR="00500DF0">
        <w:rPr>
          <w:highlight w:val="yellow"/>
        </w:rPr>
        <w:fldChar w:fldCharType="begin"/>
      </w:r>
      <w:r w:rsidR="00500DF0">
        <w:instrText xml:space="preserve"> REF _Ref191461978 \n \h </w:instrText>
      </w:r>
      <w:r w:rsidR="00500DF0">
        <w:rPr>
          <w:highlight w:val="yellow"/>
        </w:rPr>
      </w:r>
      <w:r w:rsidR="00500DF0">
        <w:rPr>
          <w:highlight w:val="yellow"/>
        </w:rPr>
        <w:fldChar w:fldCharType="separate"/>
      </w:r>
      <w:r w:rsidR="00627572">
        <w:t>Appendix B</w:t>
      </w:r>
      <w:r w:rsidR="00500DF0">
        <w:rPr>
          <w:highlight w:val="yellow"/>
        </w:rPr>
        <w:fldChar w:fldCharType="end"/>
      </w:r>
      <w:r w:rsidRPr="002F3A26">
        <w:t>. Statistical significance: * p &lt; 0.05, ** p &lt; 0.01, *** p &lt; 0.001.</w:t>
      </w:r>
    </w:p>
    <w:p w14:paraId="3ED6E078" w14:textId="2C048D8B" w:rsidR="00986D4C" w:rsidRPr="002F3A26" w:rsidRDefault="00F07656" w:rsidP="00FB413A">
      <w:r w:rsidRPr="002F3A26">
        <w:t xml:space="preserve">Again, the results from the models were used to calculate predicted or adjusted proportions of students enrolled in a selective institution. </w:t>
      </w:r>
      <w:r w:rsidRPr="002F3A26">
        <w:fldChar w:fldCharType="begin"/>
      </w:r>
      <w:r w:rsidRPr="002F3A26">
        <w:instrText xml:space="preserve"> REF _Ref189647929 \h </w:instrText>
      </w:r>
      <w:r w:rsidRPr="002F3A26">
        <w:fldChar w:fldCharType="separate"/>
      </w:r>
      <w:r w:rsidR="00627572" w:rsidRPr="002F3A26">
        <w:t xml:space="preserve">Figure </w:t>
      </w:r>
      <w:r w:rsidR="00627572">
        <w:rPr>
          <w:noProof/>
        </w:rPr>
        <w:t>8</w:t>
      </w:r>
      <w:r w:rsidRPr="002F3A26">
        <w:fldChar w:fldCharType="end"/>
      </w:r>
      <w:r w:rsidRPr="002F3A26">
        <w:t xml:space="preserve"> presents such adjusted results based on </w:t>
      </w:r>
      <w:r w:rsidR="00535DE7">
        <w:t>M</w:t>
      </w:r>
      <w:r w:rsidRPr="002F3A26">
        <w:t>odel V</w:t>
      </w:r>
      <w:r w:rsidR="00535DE7">
        <w:t xml:space="preserve">, which </w:t>
      </w:r>
      <w:r w:rsidR="000E1E4D" w:rsidRPr="002F3A26">
        <w:t>includes variables capturing equity group membership</w:t>
      </w:r>
      <w:r w:rsidRPr="002F3A26">
        <w:t xml:space="preserve">. It shows that </w:t>
      </w:r>
      <w:r w:rsidR="00535DE7">
        <w:t>FiF</w:t>
      </w:r>
      <w:r w:rsidR="00986D4C" w:rsidRPr="002F3A26">
        <w:t xml:space="preserve"> students</w:t>
      </w:r>
      <w:r w:rsidR="00535DE7">
        <w:t>,</w:t>
      </w:r>
      <w:r w:rsidR="00986D4C" w:rsidRPr="002F3A26">
        <w:t xml:space="preserve"> with a proportion of 39.3%</w:t>
      </w:r>
      <w:r w:rsidR="00535DE7">
        <w:t>,</w:t>
      </w:r>
      <w:r w:rsidR="00986D4C" w:rsidRPr="002F3A26">
        <w:t xml:space="preserve"> were markedly </w:t>
      </w:r>
      <w:r w:rsidR="004D1D42">
        <w:t xml:space="preserve">less </w:t>
      </w:r>
      <w:r w:rsidR="00986D4C" w:rsidRPr="002F3A26">
        <w:t xml:space="preserve">likely to study at a selective institution than their counterparts with university-educated parents, of whom over half </w:t>
      </w:r>
      <w:r w:rsidR="00BA62B1" w:rsidRPr="002F3A26">
        <w:t>studied at a selective institution</w:t>
      </w:r>
      <w:r w:rsidR="00986D4C" w:rsidRPr="002F3A26">
        <w:t>. Th</w:t>
      </w:r>
      <w:r w:rsidR="00BA62B1" w:rsidRPr="002F3A26">
        <w:t xml:space="preserve">e </w:t>
      </w:r>
      <w:r w:rsidR="00986D4C" w:rsidRPr="002F3A26">
        <w:t>difference between the estimated proportions was 13.8 pp</w:t>
      </w:r>
      <w:r w:rsidR="00BA62B1" w:rsidRPr="002F3A26">
        <w:t>.</w:t>
      </w:r>
    </w:p>
    <w:p w14:paraId="1DFA037E" w14:textId="2EAF98BB" w:rsidR="00255A67" w:rsidRPr="002F3A26" w:rsidRDefault="00F07656" w:rsidP="00FB413A">
      <w:r w:rsidRPr="002F3A26">
        <w:t xml:space="preserve">NESB students were the only group included in this study that </w:t>
      </w:r>
      <w:r w:rsidR="00535DE7">
        <w:t>had</w:t>
      </w:r>
      <w:r w:rsidRPr="002F3A26">
        <w:t xml:space="preserve"> a higher proportion of students enrolled </w:t>
      </w:r>
      <w:r w:rsidR="00986D4C" w:rsidRPr="002F3A26">
        <w:t xml:space="preserve">in selective institutions </w:t>
      </w:r>
      <w:r w:rsidR="00535DE7">
        <w:t>than</w:t>
      </w:r>
      <w:r w:rsidR="00986D4C" w:rsidRPr="002F3A26">
        <w:t xml:space="preserve"> their non-equity group counterparts</w:t>
      </w:r>
      <w:r w:rsidR="00807B56">
        <w:t>—</w:t>
      </w:r>
      <w:r w:rsidR="00986D4C" w:rsidRPr="002F3A26">
        <w:t xml:space="preserve">54.3% compared to 46.1%. Belonging to all other </w:t>
      </w:r>
      <w:r w:rsidR="00AB0620" w:rsidRPr="002F3A26">
        <w:t>groups</w:t>
      </w:r>
      <w:r w:rsidR="00986D4C" w:rsidRPr="002F3A26">
        <w:t xml:space="preserve"> was associated with a lower chance of enrolling in a selective institution. </w:t>
      </w:r>
      <w:r w:rsidR="00AB0620" w:rsidRPr="002F3A26">
        <w:t xml:space="preserve">The gap varied from a relatively small difference between women and men </w:t>
      </w:r>
      <w:r w:rsidR="006B6D8C" w:rsidRPr="002F3A26">
        <w:t>(</w:t>
      </w:r>
      <w:r w:rsidR="00AB0620" w:rsidRPr="002F3A26">
        <w:t>3.0 pp</w:t>
      </w:r>
      <w:r w:rsidR="006B6D8C" w:rsidRPr="002F3A26">
        <w:t xml:space="preserve">) to a 23.0 pp difference between </w:t>
      </w:r>
      <w:r w:rsidR="009F5FEC">
        <w:t>RR</w:t>
      </w:r>
      <w:r w:rsidR="006B6D8C" w:rsidRPr="002F3A26">
        <w:t xml:space="preserve"> students and their peers from major cities. </w:t>
      </w:r>
    </w:p>
    <w:p w14:paraId="4B746C85" w14:textId="32693A40" w:rsidR="00255A67" w:rsidRDefault="00255A67" w:rsidP="00D23949">
      <w:pPr>
        <w:pStyle w:val="Caption"/>
      </w:pPr>
      <w:bookmarkStart w:id="58" w:name="_Ref189647929"/>
      <w:bookmarkStart w:id="59" w:name="_Toc201760813"/>
      <w:r w:rsidRPr="002F3A26">
        <w:lastRenderedPageBreak/>
        <w:t xml:space="preserve">Figure </w:t>
      </w:r>
      <w:fldSimple w:instr=" SEQ Figure \* ARABIC ">
        <w:r w:rsidR="00627572">
          <w:rPr>
            <w:noProof/>
          </w:rPr>
          <w:t>8</w:t>
        </w:r>
      </w:fldSimple>
      <w:bookmarkEnd w:id="58"/>
      <w:r w:rsidR="00807B56">
        <w:rPr>
          <w:noProof/>
        </w:rPr>
        <w:t>:</w:t>
      </w:r>
      <w:r w:rsidRPr="002F3A26">
        <w:t xml:space="preserve"> Adjusted proportion of students enrolled in a selective </w:t>
      </w:r>
      <w:r w:rsidR="00F07656" w:rsidRPr="002F3A26">
        <w:t>institution</w:t>
      </w:r>
      <w:r w:rsidRPr="002F3A26">
        <w:t xml:space="preserve"> by equity</w:t>
      </w:r>
      <w:r w:rsidR="00807B56">
        <w:t xml:space="preserve"> </w:t>
      </w:r>
      <w:r w:rsidRPr="002F3A26">
        <w:t xml:space="preserve">group membership and </w:t>
      </w:r>
      <w:r w:rsidR="00E61E05">
        <w:t>First-in-Family</w:t>
      </w:r>
      <w:r w:rsidRPr="002F3A26">
        <w:t xml:space="preserve"> status</w:t>
      </w:r>
      <w:bookmarkEnd w:id="59"/>
    </w:p>
    <w:p w14:paraId="658B80E4" w14:textId="3CC19B36" w:rsidR="004F523D" w:rsidRPr="002F3A26" w:rsidRDefault="004F523D" w:rsidP="00255A67">
      <w:r>
        <w:rPr>
          <w:noProof/>
          <w14:ligatures w14:val="standardContextual"/>
        </w:rPr>
        <w:drawing>
          <wp:inline distT="0" distB="0" distL="0" distR="0" wp14:anchorId="6A6C3E48" wp14:editId="13615D05">
            <wp:extent cx="5731510" cy="2859405"/>
            <wp:effectExtent l="0" t="0" r="0" b="0"/>
            <wp:docPr id="807717875" name="Picture 8" descr="Figure 8 shows the adjusted percentage of students enrolled in selective higher education institutions, broken down by equity-group membership. In most categories, students not in equity groups have higher enrolment rates. However, students from non-English speaking backgrounds (NESB) are an exception, with the highest enrolment rate (54.3%), exceeding that of their non-NESB p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17875" name="Picture 8" descr="Figure 8 shows the adjusted percentage of students enrolled in selective higher education institutions, broken down by equity-group membership. In most categories, students not in equity groups have higher enrolment rates. However, students from non-English speaking backgrounds (NESB) are an exception, with the highest enrolment rate (54.3%), exceeding that of their non-NESB peer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859405"/>
                    </a:xfrm>
                    <a:prstGeom prst="rect">
                      <a:avLst/>
                    </a:prstGeom>
                  </pic:spPr>
                </pic:pic>
              </a:graphicData>
            </a:graphic>
          </wp:inline>
        </w:drawing>
      </w:r>
    </w:p>
    <w:p w14:paraId="4C740BDF" w14:textId="493ED1D7" w:rsidR="00255A67" w:rsidRPr="002F3A26" w:rsidRDefault="00255A67" w:rsidP="00255A67">
      <w:pPr>
        <w:pStyle w:val="Notes"/>
        <w:rPr>
          <w:rFonts w:cstheme="minorHAnsi"/>
        </w:rPr>
      </w:pPr>
      <w:r w:rsidRPr="002F3A26">
        <w:t xml:space="preserve">Notes: Data from PLIDA.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Pr="002F3A26">
        <w:t xml:space="preserve">Predicted probabilities based on the model results </w:t>
      </w:r>
      <w:r w:rsidRPr="00D90B76">
        <w:t xml:space="preserve">presented </w:t>
      </w:r>
      <w:r w:rsidRPr="00D90B76">
        <w:rPr>
          <w:rFonts w:cstheme="minorHAnsi"/>
        </w:rPr>
        <w:t xml:space="preserve">in Column </w:t>
      </w:r>
      <w:r w:rsidR="00D90B76" w:rsidRPr="00D90B76">
        <w:rPr>
          <w:rFonts w:cstheme="minorHAnsi"/>
        </w:rPr>
        <w:t xml:space="preserve">II </w:t>
      </w:r>
      <w:r w:rsidRPr="00D90B76">
        <w:rPr>
          <w:rFonts w:cstheme="minorHAnsi"/>
        </w:rPr>
        <w:t xml:space="preserve">of </w:t>
      </w:r>
      <w:r w:rsidR="00D90B76" w:rsidRPr="00D90B76">
        <w:fldChar w:fldCharType="begin"/>
      </w:r>
      <w:r w:rsidR="00D90B76" w:rsidRPr="00D90B76">
        <w:instrText xml:space="preserve"> REF _Ref191462348 \h </w:instrText>
      </w:r>
      <w:r w:rsidR="00D90B76">
        <w:instrText xml:space="preserve"> \* MERGEFORMAT </w:instrText>
      </w:r>
      <w:r w:rsidR="00D90B76" w:rsidRPr="00D90B76">
        <w:fldChar w:fldCharType="separate"/>
      </w:r>
      <w:r w:rsidR="00627572">
        <w:rPr>
          <w:noProof/>
        </w:rPr>
        <w:t>Table</w:t>
      </w:r>
      <w:r w:rsidR="00627572">
        <w:t xml:space="preserve"> </w:t>
      </w:r>
      <w:r w:rsidR="00627572">
        <w:rPr>
          <w:noProof/>
        </w:rPr>
        <w:t>B</w:t>
      </w:r>
      <w:r w:rsidR="00627572">
        <w:rPr>
          <w:noProof/>
        </w:rPr>
        <w:noBreakHyphen/>
        <w:t>3</w:t>
      </w:r>
      <w:r w:rsidR="00D90B76" w:rsidRPr="00D90B76">
        <w:fldChar w:fldCharType="end"/>
      </w:r>
      <w:r w:rsidR="00500DF0" w:rsidRPr="00D90B76">
        <w:t xml:space="preserve"> in </w:t>
      </w:r>
      <w:r w:rsidR="00500DF0" w:rsidRPr="00D90B76">
        <w:fldChar w:fldCharType="begin"/>
      </w:r>
      <w:r w:rsidR="00500DF0" w:rsidRPr="00D90B76">
        <w:instrText xml:space="preserve"> REF _Ref191461978 \n \h </w:instrText>
      </w:r>
      <w:r w:rsidR="00D90B76">
        <w:instrText xml:space="preserve"> \* MERGEFORMAT </w:instrText>
      </w:r>
      <w:r w:rsidR="00500DF0" w:rsidRPr="00D90B76">
        <w:fldChar w:fldCharType="separate"/>
      </w:r>
      <w:r w:rsidR="00627572">
        <w:t>Appendix B</w:t>
      </w:r>
      <w:r w:rsidR="00500DF0" w:rsidRPr="00D90B76">
        <w:fldChar w:fldCharType="end"/>
      </w:r>
      <w:r w:rsidR="00807B56">
        <w:t>.</w:t>
      </w:r>
    </w:p>
    <w:p w14:paraId="04A8850A" w14:textId="39C3CFAC" w:rsidR="008D1BE1" w:rsidRPr="002F3A26" w:rsidRDefault="000E1E4D" w:rsidP="00FB413A">
      <w:r w:rsidRPr="002F3A26">
        <w:fldChar w:fldCharType="begin"/>
      </w:r>
      <w:r w:rsidRPr="002F3A26">
        <w:instrText xml:space="preserve"> REF _Ref189652374 \h </w:instrText>
      </w:r>
      <w:r w:rsidRPr="002F3A26">
        <w:fldChar w:fldCharType="separate"/>
      </w:r>
      <w:r w:rsidR="00627572" w:rsidRPr="002F3A26">
        <w:t xml:space="preserve">Figure </w:t>
      </w:r>
      <w:r w:rsidR="00627572">
        <w:rPr>
          <w:noProof/>
        </w:rPr>
        <w:t>9</w:t>
      </w:r>
      <w:r w:rsidRPr="002F3A26">
        <w:fldChar w:fldCharType="end"/>
      </w:r>
      <w:r w:rsidRPr="002F3A26">
        <w:t xml:space="preserve"> presents the predicted proportions of students enrolled in a </w:t>
      </w:r>
      <w:r w:rsidR="00561A33" w:rsidRPr="002F3A26">
        <w:t>selective institution</w:t>
      </w:r>
      <w:r w:rsidRPr="002F3A26">
        <w:t xml:space="preserve"> based on the results from </w:t>
      </w:r>
      <w:r w:rsidR="00535DE7">
        <w:t>M</w:t>
      </w:r>
      <w:r w:rsidRPr="002F3A26">
        <w:t>odel VI</w:t>
      </w:r>
      <w:r w:rsidR="00535DE7">
        <w:t>,</w:t>
      </w:r>
      <w:r w:rsidRPr="002F3A26">
        <w:t xml:space="preserve"> which includes interaction terms between </w:t>
      </w:r>
      <w:r w:rsidR="00535DE7">
        <w:t>FiF</w:t>
      </w:r>
      <w:r w:rsidRPr="002F3A26">
        <w:t xml:space="preserve"> status and equity group membership. </w:t>
      </w:r>
      <w:r w:rsidR="00073484" w:rsidRPr="002F3A26">
        <w:t xml:space="preserve">Similarly to enrolment in any higher education institution, the association between </w:t>
      </w:r>
      <w:r w:rsidR="00535DE7">
        <w:t>FiF</w:t>
      </w:r>
      <w:r w:rsidR="00073484" w:rsidRPr="002F3A26">
        <w:t xml:space="preserve"> status and lower chances of enrolment in a selective institution could be observed across all groups. This le</w:t>
      </w:r>
      <w:r w:rsidR="00863063" w:rsidRPr="002F3A26">
        <w:t>d</w:t>
      </w:r>
      <w:r w:rsidR="00073484" w:rsidRPr="002F3A26">
        <w:t xml:space="preserve"> to </w:t>
      </w:r>
      <w:r w:rsidR="00535DE7">
        <w:t xml:space="preserve">the </w:t>
      </w:r>
      <w:r w:rsidR="00073484" w:rsidRPr="002F3A26">
        <w:t>lowest adjusted proportions of students enrolled in selective institutions among those who belonged to a disadvantaged group and did not have university-educated parents</w:t>
      </w:r>
      <w:r w:rsidR="000B11F7" w:rsidRPr="002F3A26">
        <w:t>.</w:t>
      </w:r>
      <w:r w:rsidR="008D1BE1" w:rsidRPr="002F3A26">
        <w:t xml:space="preserve"> For example,</w:t>
      </w:r>
      <w:r w:rsidR="00B05FF2" w:rsidRPr="002F3A26">
        <w:t xml:space="preserve"> only 22.9% of students who were </w:t>
      </w:r>
      <w:r w:rsidR="00535DE7">
        <w:t>FiF</w:t>
      </w:r>
      <w:r w:rsidR="00B05FF2" w:rsidRPr="002F3A26">
        <w:t xml:space="preserve"> and lived in </w:t>
      </w:r>
      <w:r w:rsidR="009F5FEC">
        <w:t>RR</w:t>
      </w:r>
      <w:r w:rsidR="00B05FF2" w:rsidRPr="002F3A26">
        <w:t xml:space="preserve"> areas started studies at selective institutions, compared to 31.6% among people from </w:t>
      </w:r>
      <w:r w:rsidR="009F5FEC">
        <w:t>RR</w:t>
      </w:r>
      <w:r w:rsidR="00B05FF2" w:rsidRPr="002F3A26">
        <w:t xml:space="preserve"> areas who were not </w:t>
      </w:r>
      <w:r w:rsidR="00535DE7">
        <w:t>FiF</w:t>
      </w:r>
      <w:r w:rsidR="00B05FF2" w:rsidRPr="002F3A26">
        <w:t xml:space="preserve">. Similarly, among students coming from major cities </w:t>
      </w:r>
      <w:r w:rsidR="00561A33" w:rsidRPr="002F3A26">
        <w:t xml:space="preserve">and </w:t>
      </w:r>
      <w:r w:rsidR="00535DE7">
        <w:t xml:space="preserve">who </w:t>
      </w:r>
      <w:r w:rsidR="00561A33" w:rsidRPr="002F3A26">
        <w:t xml:space="preserve">were </w:t>
      </w:r>
      <w:r w:rsidR="00535DE7">
        <w:t>FiF,</w:t>
      </w:r>
      <w:r w:rsidR="00561A33" w:rsidRPr="002F3A26">
        <w:t xml:space="preserve"> 43.0% studied at a selective institution, while the share among those who were not </w:t>
      </w:r>
      <w:r w:rsidR="00535DE7">
        <w:t>FiF</w:t>
      </w:r>
      <w:r w:rsidR="00561A33" w:rsidRPr="002F3A26">
        <w:t xml:space="preserve"> was 57.9%.</w:t>
      </w:r>
    </w:p>
    <w:p w14:paraId="7700FB99" w14:textId="78B7C1E9" w:rsidR="000E1E4D" w:rsidRDefault="000E1E4D" w:rsidP="00D23949">
      <w:pPr>
        <w:pStyle w:val="Caption"/>
      </w:pPr>
      <w:bookmarkStart w:id="60" w:name="_Ref189652374"/>
      <w:bookmarkStart w:id="61" w:name="_Toc201760814"/>
      <w:r w:rsidRPr="002F3A26">
        <w:lastRenderedPageBreak/>
        <w:t xml:space="preserve">Figure </w:t>
      </w:r>
      <w:fldSimple w:instr=" SEQ Figure \* ARABIC ">
        <w:r w:rsidR="00627572">
          <w:rPr>
            <w:noProof/>
          </w:rPr>
          <w:t>9</w:t>
        </w:r>
      </w:fldSimple>
      <w:bookmarkEnd w:id="60"/>
      <w:r w:rsidR="00807B56">
        <w:rPr>
          <w:noProof/>
        </w:rPr>
        <w:t>:</w:t>
      </w:r>
      <w:r w:rsidRPr="002F3A26">
        <w:t xml:space="preserve"> Adjusted proportion of students enrolled in a selective institution by interacted equity</w:t>
      </w:r>
      <w:r w:rsidR="00807B56">
        <w:t xml:space="preserve"> </w:t>
      </w:r>
      <w:r w:rsidRPr="002F3A26">
        <w:t xml:space="preserve">group membership and </w:t>
      </w:r>
      <w:r w:rsidR="00E61E05">
        <w:t>First-in-Family</w:t>
      </w:r>
      <w:r w:rsidRPr="002F3A26">
        <w:t xml:space="preserve"> status</w:t>
      </w:r>
      <w:bookmarkEnd w:id="61"/>
    </w:p>
    <w:p w14:paraId="16991D67" w14:textId="114471A1" w:rsidR="00B72874" w:rsidRPr="002F3A26" w:rsidRDefault="00B72874" w:rsidP="000E1E4D">
      <w:r>
        <w:rPr>
          <w:noProof/>
          <w14:ligatures w14:val="standardContextual"/>
        </w:rPr>
        <w:drawing>
          <wp:inline distT="0" distB="0" distL="0" distR="0" wp14:anchorId="09C7DDE5" wp14:editId="68CCC9AA">
            <wp:extent cx="5731510" cy="2859405"/>
            <wp:effectExtent l="0" t="0" r="0" b="0"/>
            <wp:docPr id="1222256643" name="Picture 9" descr="Figure 9 shows adjusted higher education enrolment rates across equity groups, broken down by First-in-Family (FiF) and equity group (EG) status. In all categories, individuals who are neither FiF nor in an equity group have the highest enrolment rates, while those who are both FiF and in an equity group have the lowest. This pattern highlights the compounding disadvantage faced by students who belong to both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256643" name="Picture 9" descr="Figure 9 shows adjusted higher education enrolment rates across equity groups, broken down by First-in-Family (FiF) and equity group (EG) status. In all categories, individuals who are neither FiF nor in an equity group have the highest enrolment rates, while those who are both FiF and in an equity group have the lowest. This pattern highlights the compounding disadvantage faced by students who belong to both group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859405"/>
                    </a:xfrm>
                    <a:prstGeom prst="rect">
                      <a:avLst/>
                    </a:prstGeom>
                  </pic:spPr>
                </pic:pic>
              </a:graphicData>
            </a:graphic>
          </wp:inline>
        </w:drawing>
      </w:r>
    </w:p>
    <w:p w14:paraId="7BC10AF3" w14:textId="3F57AB74" w:rsidR="000E1E4D" w:rsidRPr="002F3A26" w:rsidRDefault="000E1E4D" w:rsidP="000E1E4D">
      <w:pPr>
        <w:pStyle w:val="Notes"/>
        <w:rPr>
          <w:rFonts w:cstheme="minorHAnsi"/>
        </w:rPr>
      </w:pPr>
      <w:r w:rsidRPr="002F3A26">
        <w:t xml:space="preserve">Notes: Data from PLIDA. </w:t>
      </w:r>
      <w:r w:rsidR="00807B56">
        <w:t xml:space="preserve">EG: equity group.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Pr="002F3A26">
        <w:rPr>
          <w:rFonts w:cstheme="minorHAnsi"/>
        </w:rPr>
        <w:t xml:space="preserve">in </w:t>
      </w:r>
      <w:r w:rsidR="00D90B76" w:rsidRPr="00D90B76">
        <w:rPr>
          <w:rFonts w:cstheme="minorHAnsi"/>
        </w:rPr>
        <w:t>Column II</w:t>
      </w:r>
      <w:r w:rsidR="00D90B76">
        <w:rPr>
          <w:rFonts w:cstheme="minorHAnsi"/>
        </w:rPr>
        <w:t>I</w:t>
      </w:r>
      <w:r w:rsidR="00D90B76" w:rsidRPr="00D90B76">
        <w:rPr>
          <w:rFonts w:cstheme="minorHAnsi"/>
        </w:rPr>
        <w:t xml:space="preserve"> of </w:t>
      </w:r>
      <w:r w:rsidR="00D90B76" w:rsidRPr="00D90B76">
        <w:fldChar w:fldCharType="begin"/>
      </w:r>
      <w:r w:rsidR="00D90B76" w:rsidRPr="00D90B76">
        <w:instrText xml:space="preserve"> REF _Ref191462348 \h </w:instrText>
      </w:r>
      <w:r w:rsidR="00D90B76">
        <w:instrText xml:space="preserve"> \* MERGEFORMAT </w:instrText>
      </w:r>
      <w:r w:rsidR="00D90B76" w:rsidRPr="00D90B76">
        <w:fldChar w:fldCharType="separate"/>
      </w:r>
      <w:r w:rsidR="00627572">
        <w:rPr>
          <w:noProof/>
        </w:rPr>
        <w:t>Table</w:t>
      </w:r>
      <w:r w:rsidR="00627572">
        <w:t xml:space="preserve"> </w:t>
      </w:r>
      <w:r w:rsidR="00627572">
        <w:rPr>
          <w:noProof/>
        </w:rPr>
        <w:t>B</w:t>
      </w:r>
      <w:r w:rsidR="00627572">
        <w:rPr>
          <w:noProof/>
        </w:rPr>
        <w:noBreakHyphen/>
        <w:t>3</w:t>
      </w:r>
      <w:r w:rsidR="00D90B76" w:rsidRPr="00D90B76">
        <w:fldChar w:fldCharType="end"/>
      </w:r>
      <w:r w:rsidR="00D90B76" w:rsidRPr="00D90B76">
        <w:t xml:space="preserve"> in </w:t>
      </w:r>
      <w:r w:rsidR="00D90B76" w:rsidRPr="00D90B76">
        <w:fldChar w:fldCharType="begin"/>
      </w:r>
      <w:r w:rsidR="00D90B76" w:rsidRPr="00D90B76">
        <w:instrText xml:space="preserve"> REF _Ref191461978 \n \h </w:instrText>
      </w:r>
      <w:r w:rsidR="00D90B76">
        <w:instrText xml:space="preserve"> \* MERGEFORMAT </w:instrText>
      </w:r>
      <w:r w:rsidR="00D90B76" w:rsidRPr="00D90B76">
        <w:fldChar w:fldCharType="separate"/>
      </w:r>
      <w:r w:rsidR="00627572">
        <w:t>Appendix B</w:t>
      </w:r>
      <w:r w:rsidR="00D90B76" w:rsidRPr="00D90B76">
        <w:fldChar w:fldCharType="end"/>
      </w:r>
      <w:r w:rsidR="00807B56">
        <w:t>.</w:t>
      </w:r>
    </w:p>
    <w:p w14:paraId="495752BF" w14:textId="0355AA2E" w:rsidR="00561A33" w:rsidRPr="002F3A26" w:rsidRDefault="00561A33" w:rsidP="000E1E4D">
      <w:pPr>
        <w:rPr>
          <w:rFonts w:cstheme="minorHAnsi"/>
        </w:rPr>
      </w:pPr>
      <w:r w:rsidRPr="002F3A26">
        <w:rPr>
          <w:rFonts w:cstheme="minorHAnsi"/>
        </w:rPr>
        <w:fldChar w:fldCharType="begin"/>
      </w:r>
      <w:r w:rsidRPr="002F3A26">
        <w:rPr>
          <w:rFonts w:cstheme="minorHAnsi"/>
        </w:rPr>
        <w:instrText xml:space="preserve"> REF _Ref189660170 \h </w:instrText>
      </w:r>
      <w:r w:rsidRPr="002F3A26">
        <w:rPr>
          <w:rFonts w:cstheme="minorHAnsi"/>
        </w:rPr>
      </w:r>
      <w:r w:rsidRPr="002F3A26">
        <w:rPr>
          <w:rFonts w:cstheme="minorHAnsi"/>
        </w:rPr>
        <w:fldChar w:fldCharType="separate"/>
      </w:r>
      <w:r w:rsidR="00627572" w:rsidRPr="002F3A26">
        <w:t xml:space="preserve">Figure </w:t>
      </w:r>
      <w:r w:rsidR="00627572">
        <w:rPr>
          <w:noProof/>
        </w:rPr>
        <w:t>10</w:t>
      </w:r>
      <w:r w:rsidRPr="002F3A26">
        <w:rPr>
          <w:rFonts w:cstheme="minorHAnsi"/>
        </w:rPr>
        <w:fldChar w:fldCharType="end"/>
      </w:r>
      <w:r w:rsidRPr="002F3A26">
        <w:rPr>
          <w:rFonts w:cstheme="minorHAnsi"/>
        </w:rPr>
        <w:t xml:space="preserve"> presents the AMEs calculated using the results from </w:t>
      </w:r>
      <w:r w:rsidR="00807B56">
        <w:rPr>
          <w:rFonts w:cstheme="minorHAnsi"/>
        </w:rPr>
        <w:t>M</w:t>
      </w:r>
      <w:r w:rsidRPr="002F3A26">
        <w:rPr>
          <w:rFonts w:cstheme="minorHAnsi"/>
        </w:rPr>
        <w:t xml:space="preserve">odel </w:t>
      </w:r>
      <w:r w:rsidR="00807B56">
        <w:rPr>
          <w:rFonts w:cstheme="minorHAnsi"/>
        </w:rPr>
        <w:t>VI</w:t>
      </w:r>
      <w:r w:rsidR="00DC206B" w:rsidRPr="002F3A26">
        <w:rPr>
          <w:rFonts w:cstheme="minorHAnsi"/>
        </w:rPr>
        <w:t xml:space="preserve"> that illustrate the differences in the magnitude of the effect of </w:t>
      </w:r>
      <w:r w:rsidR="00535DE7">
        <w:rPr>
          <w:rFonts w:cstheme="minorHAnsi"/>
        </w:rPr>
        <w:t>FiF</w:t>
      </w:r>
      <w:r w:rsidR="00DC206B" w:rsidRPr="002F3A26">
        <w:rPr>
          <w:rFonts w:cstheme="minorHAnsi"/>
        </w:rPr>
        <w:t xml:space="preserve"> status on enrolments in selective institutions across various groups. The results </w:t>
      </w:r>
      <w:r w:rsidR="003C5A68" w:rsidRPr="002F3A26">
        <w:rPr>
          <w:rFonts w:cstheme="minorHAnsi"/>
        </w:rPr>
        <w:t>were</w:t>
      </w:r>
      <w:r w:rsidR="00DC206B" w:rsidRPr="002F3A26">
        <w:rPr>
          <w:rFonts w:cstheme="minorHAnsi"/>
        </w:rPr>
        <w:t xml:space="preserve"> similar for students from low SES and </w:t>
      </w:r>
      <w:r w:rsidR="009F5FEC">
        <w:rPr>
          <w:rFonts w:cstheme="minorHAnsi"/>
        </w:rPr>
        <w:t>RR</w:t>
      </w:r>
      <w:r w:rsidR="00DC206B" w:rsidRPr="002F3A26">
        <w:rPr>
          <w:rFonts w:cstheme="minorHAnsi"/>
        </w:rPr>
        <w:t xml:space="preserve"> areas, those of Indigenous background, and </w:t>
      </w:r>
      <w:r w:rsidR="00535DE7">
        <w:rPr>
          <w:rFonts w:cstheme="minorHAnsi"/>
        </w:rPr>
        <w:t xml:space="preserve">those </w:t>
      </w:r>
      <w:r w:rsidR="00DC206B" w:rsidRPr="002F3A26">
        <w:rPr>
          <w:rFonts w:cstheme="minorHAnsi"/>
        </w:rPr>
        <w:t xml:space="preserve">with disability. For those groups, the effects of </w:t>
      </w:r>
      <w:r w:rsidR="00535DE7">
        <w:rPr>
          <w:rFonts w:cstheme="minorHAnsi"/>
        </w:rPr>
        <w:t>FiF</w:t>
      </w:r>
      <w:r w:rsidR="00DC206B" w:rsidRPr="002F3A26">
        <w:rPr>
          <w:rFonts w:cstheme="minorHAnsi"/>
        </w:rPr>
        <w:t xml:space="preserve"> status </w:t>
      </w:r>
      <w:r w:rsidR="003C5A68" w:rsidRPr="002F3A26">
        <w:rPr>
          <w:rFonts w:cstheme="minorHAnsi"/>
        </w:rPr>
        <w:t>were</w:t>
      </w:r>
      <w:r w:rsidR="00DC206B" w:rsidRPr="002F3A26">
        <w:rPr>
          <w:rFonts w:cstheme="minorHAnsi"/>
        </w:rPr>
        <w:t xml:space="preserve"> quite similar</w:t>
      </w:r>
      <w:r w:rsidR="00535DE7">
        <w:rPr>
          <w:rFonts w:cstheme="minorHAnsi"/>
        </w:rPr>
        <w:t>,</w:t>
      </w:r>
      <w:r w:rsidR="00DC206B" w:rsidRPr="002F3A26">
        <w:rPr>
          <w:rFonts w:cstheme="minorHAnsi"/>
        </w:rPr>
        <w:t xml:space="preserve"> with AMEs ranging from </w:t>
      </w:r>
      <w:r w:rsidR="00836A8A" w:rsidRPr="002F3A26">
        <w:rPr>
          <w:rFonts w:cstheme="minorHAnsi"/>
        </w:rPr>
        <w:t>-</w:t>
      </w:r>
      <w:r w:rsidR="00DC206B" w:rsidRPr="002F3A26">
        <w:rPr>
          <w:rFonts w:cstheme="minorHAnsi"/>
        </w:rPr>
        <w:t xml:space="preserve">8.7 pp to </w:t>
      </w:r>
      <w:r w:rsidR="00836A8A" w:rsidRPr="002F3A26">
        <w:rPr>
          <w:rFonts w:cstheme="minorHAnsi"/>
        </w:rPr>
        <w:t>-</w:t>
      </w:r>
      <w:r w:rsidR="00DC206B" w:rsidRPr="002F3A26">
        <w:rPr>
          <w:rFonts w:cstheme="minorHAnsi"/>
        </w:rPr>
        <w:t xml:space="preserve">9.1 pp. Furthermore, those effects </w:t>
      </w:r>
      <w:r w:rsidR="003C5A68" w:rsidRPr="002F3A26">
        <w:rPr>
          <w:rFonts w:cstheme="minorHAnsi"/>
        </w:rPr>
        <w:t>were</w:t>
      </w:r>
      <w:r w:rsidR="00DC206B" w:rsidRPr="002F3A26">
        <w:rPr>
          <w:rFonts w:cstheme="minorHAnsi"/>
        </w:rPr>
        <w:t xml:space="preserve"> smaller than f</w:t>
      </w:r>
      <w:r w:rsidR="00E05A18" w:rsidRPr="002F3A26">
        <w:rPr>
          <w:rFonts w:cstheme="minorHAnsi"/>
        </w:rPr>
        <w:t>or their peers from more privileged backgrounds</w:t>
      </w:r>
      <w:r w:rsidR="003C5A68" w:rsidRPr="002F3A26">
        <w:rPr>
          <w:rFonts w:cstheme="minorHAnsi"/>
        </w:rPr>
        <w:t>.</w:t>
      </w:r>
      <w:r w:rsidR="00CC1F5B" w:rsidRPr="002F3A26">
        <w:rPr>
          <w:rFonts w:cstheme="minorHAnsi"/>
        </w:rPr>
        <w:t xml:space="preserve"> </w:t>
      </w:r>
    </w:p>
    <w:p w14:paraId="3FE0BEE3" w14:textId="52003451" w:rsidR="006C56DF" w:rsidRPr="002F3A26" w:rsidRDefault="00CC1F5B" w:rsidP="000E1E4D">
      <w:pPr>
        <w:rPr>
          <w:rFonts w:cstheme="minorHAnsi"/>
        </w:rPr>
      </w:pPr>
      <w:r w:rsidRPr="002F3A26">
        <w:rPr>
          <w:rFonts w:cstheme="minorHAnsi"/>
        </w:rPr>
        <w:t xml:space="preserve">The results were different for women and NESB students. Women were the only group that was less likely to enrol in selective institutions and had a higher AME for </w:t>
      </w:r>
      <w:r w:rsidR="00535DE7">
        <w:rPr>
          <w:rFonts w:cstheme="minorHAnsi"/>
        </w:rPr>
        <w:t>FiF</w:t>
      </w:r>
      <w:r w:rsidRPr="002F3A26">
        <w:rPr>
          <w:rFonts w:cstheme="minorHAnsi"/>
        </w:rPr>
        <w:t xml:space="preserve"> status </w:t>
      </w:r>
      <w:r w:rsidR="006C56DF" w:rsidRPr="002F3A26">
        <w:rPr>
          <w:rFonts w:cstheme="minorHAnsi"/>
        </w:rPr>
        <w:t xml:space="preserve">than their counterparts. However, the moderating effect was not particularly strong, with the AME among women at </w:t>
      </w:r>
      <w:r w:rsidR="004F65E9" w:rsidRPr="002F3A26">
        <w:rPr>
          <w:rFonts w:cstheme="minorHAnsi"/>
        </w:rPr>
        <w:t>-</w:t>
      </w:r>
      <w:r w:rsidR="006C56DF" w:rsidRPr="002F3A26">
        <w:rPr>
          <w:rFonts w:cstheme="minorHAnsi"/>
        </w:rPr>
        <w:t xml:space="preserve">14.8 pp and </w:t>
      </w:r>
      <w:r w:rsidR="004F65E9" w:rsidRPr="002F3A26">
        <w:rPr>
          <w:rFonts w:cstheme="minorHAnsi"/>
        </w:rPr>
        <w:t>-</w:t>
      </w:r>
      <w:r w:rsidR="006C56DF" w:rsidRPr="002F3A26">
        <w:rPr>
          <w:rFonts w:cstheme="minorHAnsi"/>
        </w:rPr>
        <w:t xml:space="preserve">12.3 pp for men. In the case of NESB, the effects of </w:t>
      </w:r>
      <w:r w:rsidR="00535DE7">
        <w:rPr>
          <w:rFonts w:cstheme="minorHAnsi"/>
        </w:rPr>
        <w:t>FiF</w:t>
      </w:r>
      <w:r w:rsidR="006C56DF" w:rsidRPr="002F3A26">
        <w:rPr>
          <w:rFonts w:cstheme="minorHAnsi"/>
        </w:rPr>
        <w:t xml:space="preserve"> status were more pronounced among non-NESB students, that is</w:t>
      </w:r>
      <w:r w:rsidR="00535DE7">
        <w:rPr>
          <w:rFonts w:cstheme="minorHAnsi"/>
        </w:rPr>
        <w:t>,</w:t>
      </w:r>
      <w:r w:rsidR="006C56DF" w:rsidRPr="002F3A26">
        <w:rPr>
          <w:rFonts w:cstheme="minorHAnsi"/>
        </w:rPr>
        <w:t xml:space="preserve"> the group that was less likely to enter a selective institution. </w:t>
      </w:r>
    </w:p>
    <w:p w14:paraId="793C2E11" w14:textId="232AF3AF" w:rsidR="000E1E4D" w:rsidRDefault="000E1E4D" w:rsidP="00D23949">
      <w:pPr>
        <w:pStyle w:val="Caption"/>
      </w:pPr>
      <w:bookmarkStart w:id="62" w:name="_Ref189660170"/>
      <w:bookmarkStart w:id="63" w:name="_Toc201760815"/>
      <w:r w:rsidRPr="002F3A26">
        <w:lastRenderedPageBreak/>
        <w:t xml:space="preserve">Figure </w:t>
      </w:r>
      <w:fldSimple w:instr=" SEQ Figure \* ARABIC ">
        <w:r w:rsidR="00627572">
          <w:rPr>
            <w:noProof/>
          </w:rPr>
          <w:t>10</w:t>
        </w:r>
      </w:fldSimple>
      <w:bookmarkEnd w:id="62"/>
      <w:r w:rsidR="00807B56">
        <w:rPr>
          <w:noProof/>
        </w:rPr>
        <w:t>:</w:t>
      </w:r>
      <w:r w:rsidRPr="002F3A26">
        <w:t xml:space="preserve"> Average marginal effects of </w:t>
      </w:r>
      <w:r w:rsidR="00E61E05">
        <w:t>First-in-Family</w:t>
      </w:r>
      <w:r w:rsidRPr="002F3A26">
        <w:t xml:space="preserve"> status on enrolments in a selective institution by equity</w:t>
      </w:r>
      <w:r w:rsidR="00807B56">
        <w:t xml:space="preserve"> </w:t>
      </w:r>
      <w:r w:rsidRPr="002F3A26">
        <w:t>group membership</w:t>
      </w:r>
      <w:bookmarkEnd w:id="63"/>
    </w:p>
    <w:p w14:paraId="0D2C3D2A" w14:textId="47993CAF" w:rsidR="00B72874" w:rsidRPr="002F3A26" w:rsidRDefault="00B72874" w:rsidP="000E1E4D">
      <w:r>
        <w:rPr>
          <w:noProof/>
          <w14:ligatures w14:val="standardContextual"/>
        </w:rPr>
        <w:drawing>
          <wp:inline distT="0" distB="0" distL="0" distR="0" wp14:anchorId="5CB9D72B" wp14:editId="5FB2C8C3">
            <wp:extent cx="5731510" cy="3213735"/>
            <wp:effectExtent l="0" t="0" r="0" b="0"/>
            <wp:docPr id="1859945953" name="Picture 10" descr="Figure 10 shows the average marginal effect of being First-in-Family (FiF) on enrolment in a selective institution across different equity group memberships. In all cases, FiF status is associated with a negative effect on enrolment in a selective institution. The effect is less negative for equity group (EG) members (around -9 pp) compared to non-EG members (ranging from -12 to -15 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45953" name="Picture 10" descr="Figure 10 shows the average marginal effect of being First-in-Family (FiF) on enrolment in a selective institution across different equity group memberships. In all cases, FiF status is associated with a negative effect on enrolment in a selective institution. The effect is less negative for equity group (EG) members (around -9 pp) compared to non-EG members (ranging from -12 to -15 p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213735"/>
                    </a:xfrm>
                    <a:prstGeom prst="rect">
                      <a:avLst/>
                    </a:prstGeom>
                  </pic:spPr>
                </pic:pic>
              </a:graphicData>
            </a:graphic>
          </wp:inline>
        </w:drawing>
      </w:r>
    </w:p>
    <w:p w14:paraId="7FB7E166" w14:textId="05AF113E" w:rsidR="000E1E4D" w:rsidRPr="002F3A26" w:rsidRDefault="000E1E4D" w:rsidP="006C56DF">
      <w:pPr>
        <w:pStyle w:val="Notes"/>
        <w:rPr>
          <w:rFonts w:cstheme="minorHAnsi"/>
        </w:rPr>
      </w:pPr>
      <w:r w:rsidRPr="002F3A26">
        <w:t xml:space="preserve">Notes: Data from PLIDA. </w:t>
      </w:r>
      <w:r w:rsidR="00807B56">
        <w:t xml:space="preserve">EG: equity group.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00535DE7">
        <w:t xml:space="preserve">in </w:t>
      </w:r>
      <w:r w:rsidR="00D90B76" w:rsidRPr="00D90B76">
        <w:rPr>
          <w:rFonts w:cstheme="minorHAnsi"/>
        </w:rPr>
        <w:t>Column II</w:t>
      </w:r>
      <w:r w:rsidR="00D90B76">
        <w:rPr>
          <w:rFonts w:cstheme="minorHAnsi"/>
        </w:rPr>
        <w:t>I</w:t>
      </w:r>
      <w:r w:rsidR="00D90B76" w:rsidRPr="00D90B76">
        <w:rPr>
          <w:rFonts w:cstheme="minorHAnsi"/>
        </w:rPr>
        <w:t xml:space="preserve"> of </w:t>
      </w:r>
      <w:r w:rsidR="00D90B76" w:rsidRPr="00D90B76">
        <w:fldChar w:fldCharType="begin"/>
      </w:r>
      <w:r w:rsidR="00D90B76" w:rsidRPr="00D90B76">
        <w:instrText xml:space="preserve"> REF _Ref191462348 \h </w:instrText>
      </w:r>
      <w:r w:rsidR="00D90B76">
        <w:instrText xml:space="preserve"> \* MERGEFORMAT </w:instrText>
      </w:r>
      <w:r w:rsidR="00D90B76" w:rsidRPr="00D90B76">
        <w:fldChar w:fldCharType="separate"/>
      </w:r>
      <w:r w:rsidR="00627572">
        <w:rPr>
          <w:noProof/>
        </w:rPr>
        <w:t>Table</w:t>
      </w:r>
      <w:r w:rsidR="00627572">
        <w:t xml:space="preserve"> </w:t>
      </w:r>
      <w:r w:rsidR="00627572">
        <w:rPr>
          <w:noProof/>
        </w:rPr>
        <w:t>B</w:t>
      </w:r>
      <w:r w:rsidR="00627572">
        <w:rPr>
          <w:noProof/>
        </w:rPr>
        <w:noBreakHyphen/>
        <w:t>3</w:t>
      </w:r>
      <w:r w:rsidR="00D90B76" w:rsidRPr="00D90B76">
        <w:fldChar w:fldCharType="end"/>
      </w:r>
      <w:r w:rsidR="00D90B76" w:rsidRPr="00D90B76">
        <w:t xml:space="preserve"> in </w:t>
      </w:r>
      <w:r w:rsidR="00D90B76" w:rsidRPr="00D90B76">
        <w:fldChar w:fldCharType="begin"/>
      </w:r>
      <w:r w:rsidR="00D90B76" w:rsidRPr="00D90B76">
        <w:instrText xml:space="preserve"> REF _Ref191461978 \n \h </w:instrText>
      </w:r>
      <w:r w:rsidR="00D90B76">
        <w:instrText xml:space="preserve"> \* MERGEFORMAT </w:instrText>
      </w:r>
      <w:r w:rsidR="00D90B76" w:rsidRPr="00D90B76">
        <w:fldChar w:fldCharType="separate"/>
      </w:r>
      <w:r w:rsidR="00627572">
        <w:t>Appendix B</w:t>
      </w:r>
      <w:r w:rsidR="00D90B76" w:rsidRPr="00D90B76">
        <w:fldChar w:fldCharType="end"/>
      </w:r>
      <w:r w:rsidR="00807B56">
        <w:t>.</w:t>
      </w:r>
    </w:p>
    <w:p w14:paraId="27A3ECCD" w14:textId="24D0A50B" w:rsidR="00C8071D" w:rsidRPr="002F3A26" w:rsidRDefault="00C8071D" w:rsidP="004F64B4">
      <w:pPr>
        <w:pStyle w:val="Heading3"/>
      </w:pPr>
      <w:bookmarkStart w:id="64" w:name="_Ref191012517"/>
      <w:bookmarkStart w:id="65" w:name="_Toc202791807"/>
      <w:r w:rsidRPr="002F3A26">
        <w:t>Field</w:t>
      </w:r>
      <w:r w:rsidR="001E0A0D">
        <w:t xml:space="preserve"> </w:t>
      </w:r>
      <w:r w:rsidRPr="002F3A26">
        <w:t>of</w:t>
      </w:r>
      <w:r w:rsidR="001E0A0D">
        <w:t xml:space="preserve"> </w:t>
      </w:r>
      <w:r w:rsidRPr="002F3A26">
        <w:t>study choice</w:t>
      </w:r>
      <w:bookmarkEnd w:id="64"/>
      <w:bookmarkEnd w:id="65"/>
    </w:p>
    <w:p w14:paraId="3409C2F2" w14:textId="60A5DFBA" w:rsidR="005A3D7D" w:rsidRDefault="006C56DF" w:rsidP="00EE06B3">
      <w:r w:rsidRPr="002F3A26">
        <w:t xml:space="preserve">In the next step of the analysis, the effects of </w:t>
      </w:r>
      <w:r w:rsidR="00535DE7">
        <w:t>FiF</w:t>
      </w:r>
      <w:r w:rsidRPr="002F3A26">
        <w:t xml:space="preserve"> status </w:t>
      </w:r>
      <w:r w:rsidR="00364828" w:rsidRPr="002F3A26">
        <w:t>on</w:t>
      </w:r>
      <w:r w:rsidRPr="002F3A26">
        <w:t xml:space="preserve"> field</w:t>
      </w:r>
      <w:r w:rsidR="005C353E">
        <w:t xml:space="preserve"> </w:t>
      </w:r>
      <w:r w:rsidRPr="002F3A26">
        <w:t>of</w:t>
      </w:r>
      <w:r w:rsidR="005C353E">
        <w:t xml:space="preserve"> </w:t>
      </w:r>
      <w:r w:rsidRPr="002F3A26">
        <w:t>study choice</w:t>
      </w:r>
      <w:r w:rsidR="00364828" w:rsidRPr="002F3A26">
        <w:t xml:space="preserve">s </w:t>
      </w:r>
      <w:r w:rsidR="00AA6541">
        <w:t>w</w:t>
      </w:r>
      <w:r w:rsidR="00413972">
        <w:t>ere</w:t>
      </w:r>
      <w:r w:rsidR="00AA6541">
        <w:t xml:space="preserve"> explored </w:t>
      </w:r>
      <w:r w:rsidR="00364828" w:rsidRPr="002F3A26">
        <w:t xml:space="preserve">using </w:t>
      </w:r>
      <w:r w:rsidR="00535DE7">
        <w:t>multinomial</w:t>
      </w:r>
      <w:r w:rsidR="00364828" w:rsidRPr="002F3A26">
        <w:t xml:space="preserve"> logistic regression models. </w:t>
      </w:r>
      <w:r w:rsidR="000444BB" w:rsidRPr="002F3A26">
        <w:fldChar w:fldCharType="begin"/>
      </w:r>
      <w:r w:rsidR="000444BB" w:rsidRPr="002F3A26">
        <w:instrText xml:space="preserve"> REF _Ref189824989 \h </w:instrText>
      </w:r>
      <w:r w:rsidR="000444BB" w:rsidRPr="002F3A26">
        <w:fldChar w:fldCharType="separate"/>
      </w:r>
      <w:r w:rsidR="00627572" w:rsidRPr="002F3A26">
        <w:t xml:space="preserve">Table </w:t>
      </w:r>
      <w:r w:rsidR="00627572">
        <w:rPr>
          <w:noProof/>
        </w:rPr>
        <w:t>3</w:t>
      </w:r>
      <w:r w:rsidR="000444BB" w:rsidRPr="002F3A26">
        <w:fldChar w:fldCharType="end"/>
      </w:r>
      <w:r w:rsidR="000444BB" w:rsidRPr="002F3A26">
        <w:t xml:space="preserve"> compares the coefficients (relative risk ratios)</w:t>
      </w:r>
      <w:r w:rsidR="001A1977">
        <w:rPr>
          <w:rStyle w:val="FootnoteReference"/>
        </w:rPr>
        <w:footnoteReference w:id="11"/>
      </w:r>
      <w:r w:rsidR="000444BB" w:rsidRPr="002F3A26">
        <w:t xml:space="preserve"> for </w:t>
      </w:r>
      <w:r w:rsidR="00535DE7">
        <w:t>FiF</w:t>
      </w:r>
      <w:r w:rsidR="000444BB" w:rsidRPr="002F3A26">
        <w:t xml:space="preserve"> status from </w:t>
      </w:r>
      <w:r w:rsidR="00807B56">
        <w:t>M</w:t>
      </w:r>
      <w:r w:rsidR="000444BB" w:rsidRPr="002F3A26">
        <w:t xml:space="preserve">odel VII, which included </w:t>
      </w:r>
      <w:r w:rsidR="00535DE7">
        <w:t>FiF</w:t>
      </w:r>
      <w:r w:rsidR="000444BB" w:rsidRPr="002F3A26">
        <w:t xml:space="preserve"> status and control variables, and </w:t>
      </w:r>
      <w:r w:rsidR="00807B56">
        <w:t>M</w:t>
      </w:r>
      <w:r w:rsidR="000444BB" w:rsidRPr="002F3A26">
        <w:t xml:space="preserve">odel VIII, which </w:t>
      </w:r>
      <w:r w:rsidR="00535DE7">
        <w:t>also included</w:t>
      </w:r>
      <w:r w:rsidR="000444BB" w:rsidRPr="002F3A26">
        <w:t xml:space="preserve"> variables capturing equity group membership. Full sets of results</w:t>
      </w:r>
      <w:r w:rsidR="00535DE7">
        <w:t>,</w:t>
      </w:r>
      <w:r w:rsidR="00714EFE" w:rsidRPr="002F3A26">
        <w:t xml:space="preserve"> including the coefficients for the equity group membership variables</w:t>
      </w:r>
      <w:r w:rsidR="00535DE7">
        <w:t>,</w:t>
      </w:r>
      <w:r w:rsidR="000444BB" w:rsidRPr="002F3A26">
        <w:t xml:space="preserve"> are available in</w:t>
      </w:r>
      <w:r w:rsidR="001A1977">
        <w:t xml:space="preserve"> </w:t>
      </w:r>
      <w:r w:rsidR="001A1977">
        <w:fldChar w:fldCharType="begin"/>
      </w:r>
      <w:r w:rsidR="001A1977">
        <w:instrText xml:space="preserve"> REF _Ref191531030 \h </w:instrText>
      </w:r>
      <w:r w:rsidR="001A1977">
        <w:fldChar w:fldCharType="separate"/>
      </w:r>
      <w:r w:rsidR="00627572">
        <w:t xml:space="preserve">Table </w:t>
      </w:r>
      <w:r w:rsidR="00627572">
        <w:rPr>
          <w:noProof/>
        </w:rPr>
        <w:t>B</w:t>
      </w:r>
      <w:r w:rsidR="00627572">
        <w:noBreakHyphen/>
      </w:r>
      <w:r w:rsidR="00627572">
        <w:rPr>
          <w:noProof/>
        </w:rPr>
        <w:t>4</w:t>
      </w:r>
      <w:r w:rsidR="001A1977">
        <w:fldChar w:fldCharType="end"/>
      </w:r>
      <w:r w:rsidR="001A1977">
        <w:t xml:space="preserve"> and </w:t>
      </w:r>
      <w:r w:rsidR="001A1977">
        <w:fldChar w:fldCharType="begin"/>
      </w:r>
      <w:r w:rsidR="001A1977">
        <w:instrText xml:space="preserve"> REF _Ref191531049 \h </w:instrText>
      </w:r>
      <w:r w:rsidR="001A1977">
        <w:fldChar w:fldCharType="separate"/>
      </w:r>
      <w:r w:rsidR="00627572">
        <w:t xml:space="preserve">Table </w:t>
      </w:r>
      <w:r w:rsidR="00627572">
        <w:rPr>
          <w:noProof/>
        </w:rPr>
        <w:t>B</w:t>
      </w:r>
      <w:r w:rsidR="00627572">
        <w:noBreakHyphen/>
      </w:r>
      <w:r w:rsidR="00627572">
        <w:rPr>
          <w:noProof/>
        </w:rPr>
        <w:t>5</w:t>
      </w:r>
      <w:r w:rsidR="001A1977">
        <w:fldChar w:fldCharType="end"/>
      </w:r>
      <w:r w:rsidR="000444BB" w:rsidRPr="002F3A26">
        <w:t xml:space="preserve"> </w:t>
      </w:r>
      <w:r w:rsidR="00500DF0" w:rsidRPr="001A1977">
        <w:t xml:space="preserve">in </w:t>
      </w:r>
      <w:r w:rsidR="00500DF0">
        <w:rPr>
          <w:highlight w:val="yellow"/>
        </w:rPr>
        <w:fldChar w:fldCharType="begin"/>
      </w:r>
      <w:r w:rsidR="00500DF0">
        <w:instrText xml:space="preserve"> REF _Ref191461978 \n \h </w:instrText>
      </w:r>
      <w:r w:rsidR="00500DF0">
        <w:rPr>
          <w:highlight w:val="yellow"/>
        </w:rPr>
      </w:r>
      <w:r w:rsidR="00500DF0">
        <w:rPr>
          <w:highlight w:val="yellow"/>
        </w:rPr>
        <w:fldChar w:fldCharType="separate"/>
      </w:r>
      <w:r w:rsidR="00627572">
        <w:t>Appendix B</w:t>
      </w:r>
      <w:r w:rsidR="00500DF0">
        <w:rPr>
          <w:highlight w:val="yellow"/>
        </w:rPr>
        <w:fldChar w:fldCharType="end"/>
      </w:r>
      <w:r w:rsidR="000444BB" w:rsidRPr="002F3A26">
        <w:t xml:space="preserve">. </w:t>
      </w:r>
      <w:r w:rsidR="00CC54E3" w:rsidRPr="002F3A26">
        <w:t xml:space="preserve">Comparing the results from both models suggests that introducing variables capturing equity group membership reduced some of the effects of </w:t>
      </w:r>
      <w:r w:rsidR="00535DE7">
        <w:t>FIF</w:t>
      </w:r>
      <w:r w:rsidR="00CC54E3" w:rsidRPr="002F3A26">
        <w:t xml:space="preserve"> status (</w:t>
      </w:r>
      <w:r w:rsidR="00535DE7" w:rsidRPr="002F3A26">
        <w:t xml:space="preserve">relative risk ratios </w:t>
      </w:r>
      <w:r w:rsidR="00CC54E3" w:rsidRPr="002F3A26">
        <w:t>were closer to 1) and resulted in some turning statistically nonsignificant (</w:t>
      </w:r>
      <w:r w:rsidR="00807B56">
        <w:t>for example,</w:t>
      </w:r>
      <w:r w:rsidR="00CC54E3" w:rsidRPr="002F3A26">
        <w:t xml:space="preserve"> architecture &amp; building and management &amp; commerce). However, the overall patterns were similar. </w:t>
      </w:r>
      <w:r w:rsidR="006406AB" w:rsidRPr="002F3A26">
        <w:t xml:space="preserve">Results from </w:t>
      </w:r>
      <w:r w:rsidR="00535DE7">
        <w:t>M</w:t>
      </w:r>
      <w:r w:rsidR="006406AB" w:rsidRPr="002F3A26">
        <w:t xml:space="preserve">odel VII </w:t>
      </w:r>
      <w:r w:rsidR="00EB6E72" w:rsidRPr="002F3A26">
        <w:t>show</w:t>
      </w:r>
      <w:r w:rsidR="006406AB" w:rsidRPr="002F3A26">
        <w:t xml:space="preserve"> that </w:t>
      </w:r>
      <w:r w:rsidR="00535DE7">
        <w:t>FiF</w:t>
      </w:r>
      <w:r w:rsidR="00535DE7" w:rsidRPr="002F3A26">
        <w:t xml:space="preserve"> </w:t>
      </w:r>
      <w:r w:rsidR="006406AB" w:rsidRPr="002F3A26">
        <w:t xml:space="preserve">status was associated with </w:t>
      </w:r>
      <w:r w:rsidR="00EB6E72" w:rsidRPr="002F3A26">
        <w:t>the likelihood of studying some fields of study</w:t>
      </w:r>
      <w:r w:rsidR="007076A1" w:rsidRPr="002F3A26">
        <w:t xml:space="preserve">. For example, the </w:t>
      </w:r>
      <w:r w:rsidR="009F5FEC">
        <w:t>RR</w:t>
      </w:r>
      <w:r w:rsidR="007076A1" w:rsidRPr="002F3A26">
        <w:t xml:space="preserve"> for education in </w:t>
      </w:r>
      <w:r w:rsidR="00535DE7">
        <w:t>M</w:t>
      </w:r>
      <w:r w:rsidR="007076A1" w:rsidRPr="002F3A26">
        <w:t xml:space="preserve">odel VII stood at 1.70 (p &lt; 0.001) and for medical studies at 0.28 (p &lt; 0.001). </w:t>
      </w:r>
      <w:r w:rsidR="00F540A4" w:rsidRPr="002F3A26">
        <w:t xml:space="preserve">The </w:t>
      </w:r>
      <w:r w:rsidR="003B5F4F" w:rsidRPr="002F3A26">
        <w:t>relative risk ratios</w:t>
      </w:r>
      <w:r w:rsidR="00F540A4" w:rsidRPr="002F3A26">
        <w:t xml:space="preserve"> for those field</w:t>
      </w:r>
      <w:r w:rsidR="001A1977">
        <w:t>s</w:t>
      </w:r>
      <w:r w:rsidR="00F540A4" w:rsidRPr="002F3A26">
        <w:t xml:space="preserve"> from </w:t>
      </w:r>
      <w:r w:rsidR="00535DE7">
        <w:t>M</w:t>
      </w:r>
      <w:r w:rsidR="00F540A4" w:rsidRPr="002F3A26">
        <w:t>odel VIII were similar, 1.59 (p &lt; 0.001) and 0.28 (p &lt; 0.001).</w:t>
      </w:r>
    </w:p>
    <w:p w14:paraId="17909AD5" w14:textId="77777777" w:rsidR="004C7FF2" w:rsidRDefault="004C7FF2" w:rsidP="00EE06B3"/>
    <w:p w14:paraId="364D003C" w14:textId="77777777" w:rsidR="004C7FF2" w:rsidRDefault="004C7FF2" w:rsidP="00EE06B3"/>
    <w:p w14:paraId="7468E2F9" w14:textId="77777777" w:rsidR="004C7FF2" w:rsidRPr="002F3A26" w:rsidRDefault="004C7FF2" w:rsidP="00EE06B3"/>
    <w:p w14:paraId="3BD68BC1" w14:textId="79333AF0" w:rsidR="000444BB" w:rsidRPr="002F3A26" w:rsidRDefault="000444BB" w:rsidP="00D23949">
      <w:pPr>
        <w:pStyle w:val="Caption"/>
      </w:pPr>
      <w:bookmarkStart w:id="66" w:name="_Ref189824989"/>
      <w:bookmarkStart w:id="67" w:name="_Ref189824981"/>
      <w:bookmarkStart w:id="68" w:name="_Toc200108752"/>
      <w:r w:rsidRPr="002F3A26">
        <w:lastRenderedPageBreak/>
        <w:t xml:space="preserve">Table </w:t>
      </w:r>
      <w:fldSimple w:instr=" SEQ Table \* ARABIC ">
        <w:r w:rsidR="00627572">
          <w:rPr>
            <w:noProof/>
          </w:rPr>
          <w:t>3</w:t>
        </w:r>
      </w:fldSimple>
      <w:bookmarkEnd w:id="66"/>
      <w:r w:rsidR="00807B56">
        <w:rPr>
          <w:noProof/>
        </w:rPr>
        <w:t>:</w:t>
      </w:r>
      <w:r w:rsidRPr="002F3A26">
        <w:t xml:space="preserve"> </w:t>
      </w:r>
      <w:r w:rsidRPr="008B34E2">
        <w:t>Selected model coefficients (</w:t>
      </w:r>
      <w:r w:rsidR="00535DE7" w:rsidRPr="002F3A26">
        <w:t>relative risk ratios</w:t>
      </w:r>
      <w:r w:rsidRPr="008B34E2">
        <w:t xml:space="preserve">) from </w:t>
      </w:r>
      <w:r w:rsidR="008B34E2" w:rsidRPr="008B34E2">
        <w:t xml:space="preserve">multinomial </w:t>
      </w:r>
      <w:r w:rsidRPr="008B34E2">
        <w:t xml:space="preserve">logistic regression models of </w:t>
      </w:r>
      <w:bookmarkEnd w:id="67"/>
      <w:r w:rsidR="008B34E2" w:rsidRPr="008B34E2">
        <w:t>field of study</w:t>
      </w:r>
      <w:bookmarkEnd w:id="68"/>
    </w:p>
    <w:tbl>
      <w:tblPr>
        <w:tblW w:w="7543" w:type="dxa"/>
        <w:tblCellMar>
          <w:top w:w="28" w:type="dxa"/>
          <w:bottom w:w="28" w:type="dxa"/>
        </w:tblCellMar>
        <w:tblLook w:val="04A0" w:firstRow="1" w:lastRow="0" w:firstColumn="1" w:lastColumn="0" w:noHBand="0" w:noVBand="1"/>
      </w:tblPr>
      <w:tblGrid>
        <w:gridCol w:w="5551"/>
        <w:gridCol w:w="996"/>
        <w:gridCol w:w="996"/>
      </w:tblGrid>
      <w:tr w:rsidR="000444BB" w:rsidRPr="002F3A26" w14:paraId="19E0A5CF" w14:textId="77777777" w:rsidTr="006847E6">
        <w:trPr>
          <w:trHeight w:val="232"/>
        </w:trPr>
        <w:tc>
          <w:tcPr>
            <w:tcW w:w="5551" w:type="dxa"/>
            <w:tcBorders>
              <w:top w:val="single" w:sz="4" w:space="0" w:color="auto"/>
              <w:left w:val="single" w:sz="4" w:space="0" w:color="auto"/>
              <w:bottom w:val="single" w:sz="4" w:space="0" w:color="auto"/>
              <w:right w:val="single" w:sz="4" w:space="0" w:color="auto"/>
            </w:tcBorders>
            <w:shd w:val="clear" w:color="auto" w:fill="78DED9" w:themeFill="accent1"/>
            <w:noWrap/>
            <w:hideMark/>
          </w:tcPr>
          <w:p w14:paraId="51188555" w14:textId="77777777" w:rsidR="000444BB" w:rsidRPr="002F3A26" w:rsidRDefault="000444BB" w:rsidP="005A3D7D">
            <w:pPr>
              <w:pStyle w:val="TOCHeading"/>
            </w:pPr>
            <w:r w:rsidRPr="002F3A26">
              <w:t> </w:t>
            </w:r>
          </w:p>
        </w:tc>
        <w:tc>
          <w:tcPr>
            <w:tcW w:w="996" w:type="dxa"/>
            <w:tcBorders>
              <w:top w:val="single" w:sz="4" w:space="0" w:color="auto"/>
              <w:left w:val="nil"/>
              <w:bottom w:val="single" w:sz="4" w:space="0" w:color="auto"/>
              <w:right w:val="single" w:sz="4" w:space="0" w:color="auto"/>
            </w:tcBorders>
            <w:shd w:val="clear" w:color="auto" w:fill="78DED9" w:themeFill="accent1"/>
            <w:noWrap/>
            <w:hideMark/>
          </w:tcPr>
          <w:p w14:paraId="34BFDD3B" w14:textId="77777777" w:rsidR="000444BB" w:rsidRPr="002F3A26" w:rsidRDefault="000444BB" w:rsidP="005A3D7D">
            <w:pPr>
              <w:pStyle w:val="TOCHeading"/>
            </w:pPr>
            <w:r w:rsidRPr="002F3A26">
              <w:t>Model</w:t>
            </w:r>
          </w:p>
        </w:tc>
        <w:tc>
          <w:tcPr>
            <w:tcW w:w="996" w:type="dxa"/>
            <w:tcBorders>
              <w:top w:val="single" w:sz="4" w:space="0" w:color="auto"/>
              <w:left w:val="nil"/>
              <w:bottom w:val="single" w:sz="4" w:space="0" w:color="auto"/>
              <w:right w:val="single" w:sz="4" w:space="0" w:color="auto"/>
            </w:tcBorders>
            <w:shd w:val="clear" w:color="auto" w:fill="78DED9" w:themeFill="accent1"/>
            <w:noWrap/>
            <w:hideMark/>
          </w:tcPr>
          <w:p w14:paraId="3F96E19F" w14:textId="77777777" w:rsidR="000444BB" w:rsidRPr="002F3A26" w:rsidRDefault="000444BB" w:rsidP="005A3D7D">
            <w:pPr>
              <w:pStyle w:val="TOCHeading"/>
            </w:pPr>
            <w:r w:rsidRPr="002F3A26">
              <w:t> </w:t>
            </w:r>
          </w:p>
        </w:tc>
      </w:tr>
      <w:tr w:rsidR="000444BB" w:rsidRPr="002F3A26" w14:paraId="0A691373" w14:textId="77777777" w:rsidTr="006847E6">
        <w:trPr>
          <w:trHeight w:val="232"/>
        </w:trPr>
        <w:tc>
          <w:tcPr>
            <w:tcW w:w="5551" w:type="dxa"/>
            <w:tcBorders>
              <w:top w:val="nil"/>
              <w:left w:val="single" w:sz="4" w:space="0" w:color="auto"/>
              <w:bottom w:val="single" w:sz="4" w:space="0" w:color="auto"/>
              <w:right w:val="single" w:sz="4" w:space="0" w:color="auto"/>
            </w:tcBorders>
            <w:shd w:val="clear" w:color="auto" w:fill="78DED9" w:themeFill="accent1"/>
            <w:hideMark/>
          </w:tcPr>
          <w:p w14:paraId="5A45BC42" w14:textId="77777777" w:rsidR="000444BB" w:rsidRPr="002F3A26" w:rsidRDefault="000444BB" w:rsidP="005A3D7D">
            <w:pPr>
              <w:pStyle w:val="TOCHeading"/>
            </w:pPr>
            <w:r w:rsidRPr="002F3A26">
              <w:t>Outcome (ref. Society &amp; Culture)</w:t>
            </w:r>
          </w:p>
        </w:tc>
        <w:tc>
          <w:tcPr>
            <w:tcW w:w="996" w:type="dxa"/>
            <w:tcBorders>
              <w:top w:val="nil"/>
              <w:left w:val="nil"/>
              <w:bottom w:val="single" w:sz="4" w:space="0" w:color="auto"/>
              <w:right w:val="single" w:sz="4" w:space="0" w:color="auto"/>
            </w:tcBorders>
            <w:shd w:val="clear" w:color="auto" w:fill="78DED9" w:themeFill="accent1"/>
            <w:hideMark/>
          </w:tcPr>
          <w:p w14:paraId="40540372" w14:textId="77777777" w:rsidR="000444BB" w:rsidRPr="002F3A26" w:rsidRDefault="000444BB" w:rsidP="005A3D7D">
            <w:pPr>
              <w:pStyle w:val="TOCHeading"/>
            </w:pPr>
            <w:r w:rsidRPr="002F3A26">
              <w:t>VII</w:t>
            </w:r>
          </w:p>
        </w:tc>
        <w:tc>
          <w:tcPr>
            <w:tcW w:w="996" w:type="dxa"/>
            <w:tcBorders>
              <w:top w:val="nil"/>
              <w:left w:val="nil"/>
              <w:bottom w:val="single" w:sz="4" w:space="0" w:color="auto"/>
              <w:right w:val="single" w:sz="4" w:space="0" w:color="auto"/>
            </w:tcBorders>
            <w:shd w:val="clear" w:color="auto" w:fill="78DED9" w:themeFill="accent1"/>
            <w:hideMark/>
          </w:tcPr>
          <w:p w14:paraId="72151396" w14:textId="77777777" w:rsidR="000444BB" w:rsidRPr="002F3A26" w:rsidRDefault="000444BB" w:rsidP="005A3D7D">
            <w:pPr>
              <w:pStyle w:val="TOCHeading"/>
            </w:pPr>
            <w:r w:rsidRPr="002F3A26">
              <w:t>VIII</w:t>
            </w:r>
          </w:p>
        </w:tc>
      </w:tr>
      <w:tr w:rsidR="000444BB" w:rsidRPr="002F3A26" w14:paraId="5B4465F1"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7C1BE6F5" w14:textId="77777777" w:rsidR="000444BB" w:rsidRPr="002F3A26" w:rsidRDefault="000444BB" w:rsidP="005A3D7D">
            <w:pPr>
              <w:pStyle w:val="TableParagraph"/>
              <w:rPr>
                <w:color w:val="000000"/>
              </w:rPr>
            </w:pPr>
            <w:r w:rsidRPr="002F3A26">
              <w:t>Natural &amp; Physical Sciences</w:t>
            </w:r>
          </w:p>
        </w:tc>
        <w:tc>
          <w:tcPr>
            <w:tcW w:w="996" w:type="dxa"/>
            <w:tcBorders>
              <w:top w:val="nil"/>
              <w:left w:val="nil"/>
              <w:bottom w:val="single" w:sz="4" w:space="0" w:color="auto"/>
              <w:right w:val="single" w:sz="4" w:space="0" w:color="auto"/>
            </w:tcBorders>
            <w:hideMark/>
          </w:tcPr>
          <w:p w14:paraId="55785072" w14:textId="77777777" w:rsidR="000444BB" w:rsidRPr="002F3A26" w:rsidRDefault="000444BB" w:rsidP="005A3D7D">
            <w:pPr>
              <w:pStyle w:val="TableParagraph"/>
              <w:rPr>
                <w:color w:val="000000"/>
              </w:rPr>
            </w:pPr>
            <w:r w:rsidRPr="002F3A26">
              <w:rPr>
                <w:color w:val="000000"/>
              </w:rPr>
              <w:t>0.75</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03B3009B" w14:textId="77777777" w:rsidR="000444BB" w:rsidRPr="002F3A26" w:rsidRDefault="000444BB" w:rsidP="005A3D7D">
            <w:pPr>
              <w:pStyle w:val="TableParagraph"/>
              <w:rPr>
                <w:color w:val="000000"/>
              </w:rPr>
            </w:pPr>
            <w:r w:rsidRPr="002F3A26">
              <w:t>0.79</w:t>
            </w:r>
            <w:r w:rsidRPr="002F3A26">
              <w:rPr>
                <w:color w:val="000000"/>
                <w:vertAlign w:val="superscript"/>
              </w:rPr>
              <w:t>***</w:t>
            </w:r>
          </w:p>
        </w:tc>
      </w:tr>
      <w:tr w:rsidR="000444BB" w:rsidRPr="002F3A26" w14:paraId="34FE555B"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6A07A384" w14:textId="77777777" w:rsidR="000444BB" w:rsidRPr="002F3A26" w:rsidRDefault="000444BB" w:rsidP="005A3D7D">
            <w:pPr>
              <w:pStyle w:val="TableParagraph"/>
              <w:rPr>
                <w:color w:val="000000"/>
              </w:rPr>
            </w:pPr>
            <w:r w:rsidRPr="002F3A26">
              <w:t>Information Technology</w:t>
            </w:r>
          </w:p>
        </w:tc>
        <w:tc>
          <w:tcPr>
            <w:tcW w:w="996" w:type="dxa"/>
            <w:tcBorders>
              <w:top w:val="nil"/>
              <w:left w:val="nil"/>
              <w:bottom w:val="single" w:sz="4" w:space="0" w:color="auto"/>
              <w:right w:val="single" w:sz="4" w:space="0" w:color="auto"/>
            </w:tcBorders>
            <w:hideMark/>
          </w:tcPr>
          <w:p w14:paraId="4218FE68" w14:textId="77777777" w:rsidR="000444BB" w:rsidRPr="002F3A26" w:rsidRDefault="000444BB" w:rsidP="005A3D7D">
            <w:pPr>
              <w:pStyle w:val="TableParagraph"/>
              <w:rPr>
                <w:color w:val="000000"/>
              </w:rPr>
            </w:pPr>
            <w:r w:rsidRPr="002F3A26">
              <w:rPr>
                <w:color w:val="000000"/>
              </w:rPr>
              <w:t>0.84</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53E4B47F" w14:textId="77777777" w:rsidR="000444BB" w:rsidRPr="002F3A26" w:rsidRDefault="000444BB" w:rsidP="005A3D7D">
            <w:pPr>
              <w:pStyle w:val="TableParagraph"/>
              <w:rPr>
                <w:color w:val="000000"/>
              </w:rPr>
            </w:pPr>
            <w:r w:rsidRPr="002F3A26">
              <w:t>0.93</w:t>
            </w:r>
            <w:r w:rsidRPr="002F3A26">
              <w:rPr>
                <w:color w:val="000000"/>
                <w:vertAlign w:val="superscript"/>
              </w:rPr>
              <w:t>*</w:t>
            </w:r>
          </w:p>
        </w:tc>
      </w:tr>
      <w:tr w:rsidR="000444BB" w:rsidRPr="002F3A26" w14:paraId="3054029B"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1C1D4CAB" w14:textId="77777777" w:rsidR="000444BB" w:rsidRPr="002F3A26" w:rsidRDefault="000444BB" w:rsidP="005A3D7D">
            <w:pPr>
              <w:pStyle w:val="TableParagraph"/>
              <w:rPr>
                <w:color w:val="000000"/>
              </w:rPr>
            </w:pPr>
            <w:r w:rsidRPr="002F3A26">
              <w:t>Engineering &amp; Related Technology</w:t>
            </w:r>
          </w:p>
        </w:tc>
        <w:tc>
          <w:tcPr>
            <w:tcW w:w="996" w:type="dxa"/>
            <w:tcBorders>
              <w:top w:val="nil"/>
              <w:left w:val="nil"/>
              <w:bottom w:val="single" w:sz="4" w:space="0" w:color="auto"/>
              <w:right w:val="single" w:sz="4" w:space="0" w:color="auto"/>
            </w:tcBorders>
            <w:hideMark/>
          </w:tcPr>
          <w:p w14:paraId="2B12EFF9" w14:textId="77777777" w:rsidR="000444BB" w:rsidRPr="002F3A26" w:rsidRDefault="000444BB" w:rsidP="005A3D7D">
            <w:pPr>
              <w:pStyle w:val="TableParagraph"/>
              <w:rPr>
                <w:color w:val="000000"/>
              </w:rPr>
            </w:pPr>
            <w:r w:rsidRPr="002F3A26">
              <w:rPr>
                <w:color w:val="000000"/>
              </w:rPr>
              <w:t>0.69</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108CF19C" w14:textId="77777777" w:rsidR="000444BB" w:rsidRPr="002F3A26" w:rsidRDefault="000444BB" w:rsidP="005A3D7D">
            <w:pPr>
              <w:pStyle w:val="TableParagraph"/>
              <w:rPr>
                <w:color w:val="000000"/>
              </w:rPr>
            </w:pPr>
            <w:r w:rsidRPr="002F3A26">
              <w:t>0.76</w:t>
            </w:r>
            <w:r w:rsidRPr="002F3A26">
              <w:rPr>
                <w:color w:val="000000"/>
                <w:vertAlign w:val="superscript"/>
              </w:rPr>
              <w:t>***</w:t>
            </w:r>
          </w:p>
        </w:tc>
      </w:tr>
      <w:tr w:rsidR="000444BB" w:rsidRPr="002F3A26" w14:paraId="4C1E08A3"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21F4AE75" w14:textId="77777777" w:rsidR="000444BB" w:rsidRPr="002F3A26" w:rsidRDefault="000444BB" w:rsidP="005A3D7D">
            <w:pPr>
              <w:pStyle w:val="TableParagraph"/>
              <w:rPr>
                <w:color w:val="000000"/>
              </w:rPr>
            </w:pPr>
            <w:r w:rsidRPr="002F3A26">
              <w:t>Architecture &amp; Building</w:t>
            </w:r>
          </w:p>
        </w:tc>
        <w:tc>
          <w:tcPr>
            <w:tcW w:w="996" w:type="dxa"/>
            <w:tcBorders>
              <w:top w:val="nil"/>
              <w:left w:val="nil"/>
              <w:bottom w:val="single" w:sz="4" w:space="0" w:color="auto"/>
              <w:right w:val="single" w:sz="4" w:space="0" w:color="auto"/>
            </w:tcBorders>
            <w:hideMark/>
          </w:tcPr>
          <w:p w14:paraId="42D5702E" w14:textId="77777777" w:rsidR="000444BB" w:rsidRPr="002F3A26" w:rsidRDefault="000444BB" w:rsidP="005A3D7D">
            <w:pPr>
              <w:pStyle w:val="TableParagraph"/>
              <w:rPr>
                <w:color w:val="000000"/>
              </w:rPr>
            </w:pPr>
            <w:r w:rsidRPr="002F3A26">
              <w:rPr>
                <w:color w:val="000000"/>
              </w:rPr>
              <w:t>0.93</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113D7EF6" w14:textId="77777777" w:rsidR="000444BB" w:rsidRPr="002F3A26" w:rsidRDefault="000444BB" w:rsidP="005A3D7D">
            <w:pPr>
              <w:pStyle w:val="TableParagraph"/>
              <w:rPr>
                <w:color w:val="000000"/>
              </w:rPr>
            </w:pPr>
            <w:r w:rsidRPr="002F3A26">
              <w:t>1.01</w:t>
            </w:r>
          </w:p>
        </w:tc>
      </w:tr>
      <w:tr w:rsidR="000444BB" w:rsidRPr="002F3A26" w14:paraId="4B00B022"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373E28C3" w14:textId="77777777" w:rsidR="000444BB" w:rsidRPr="002F3A26" w:rsidRDefault="000444BB" w:rsidP="005A3D7D">
            <w:pPr>
              <w:pStyle w:val="TableParagraph"/>
              <w:rPr>
                <w:color w:val="000000"/>
              </w:rPr>
            </w:pPr>
            <w:r w:rsidRPr="002F3A26">
              <w:t>Agriculture Environmental &amp; Rel. Studies</w:t>
            </w:r>
          </w:p>
        </w:tc>
        <w:tc>
          <w:tcPr>
            <w:tcW w:w="996" w:type="dxa"/>
            <w:tcBorders>
              <w:top w:val="nil"/>
              <w:left w:val="nil"/>
              <w:bottom w:val="single" w:sz="4" w:space="0" w:color="auto"/>
              <w:right w:val="single" w:sz="4" w:space="0" w:color="auto"/>
            </w:tcBorders>
            <w:hideMark/>
          </w:tcPr>
          <w:p w14:paraId="66AE889E" w14:textId="77777777" w:rsidR="000444BB" w:rsidRPr="002F3A26" w:rsidRDefault="000444BB" w:rsidP="005A3D7D">
            <w:pPr>
              <w:pStyle w:val="TableParagraph"/>
              <w:rPr>
                <w:color w:val="000000"/>
              </w:rPr>
            </w:pPr>
            <w:r w:rsidRPr="002F3A26">
              <w:rPr>
                <w:color w:val="000000"/>
              </w:rPr>
              <w:t>1.24</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50BC160D" w14:textId="77777777" w:rsidR="000444BB" w:rsidRPr="002F3A26" w:rsidRDefault="000444BB" w:rsidP="005A3D7D">
            <w:pPr>
              <w:pStyle w:val="TableParagraph"/>
              <w:rPr>
                <w:color w:val="000000"/>
              </w:rPr>
            </w:pPr>
            <w:r w:rsidRPr="002F3A26">
              <w:t>1.13</w:t>
            </w:r>
            <w:r w:rsidRPr="002F3A26">
              <w:rPr>
                <w:color w:val="000000"/>
                <w:vertAlign w:val="superscript"/>
              </w:rPr>
              <w:t>*</w:t>
            </w:r>
          </w:p>
        </w:tc>
      </w:tr>
      <w:tr w:rsidR="000444BB" w:rsidRPr="002F3A26" w14:paraId="2BACF078"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7471D8D2" w14:textId="77777777" w:rsidR="000444BB" w:rsidRPr="002F3A26" w:rsidRDefault="000444BB" w:rsidP="005A3D7D">
            <w:pPr>
              <w:pStyle w:val="TableParagraph"/>
              <w:rPr>
                <w:color w:val="000000"/>
              </w:rPr>
            </w:pPr>
            <w:r w:rsidRPr="002F3A26">
              <w:t>Other Health</w:t>
            </w:r>
          </w:p>
        </w:tc>
        <w:tc>
          <w:tcPr>
            <w:tcW w:w="996" w:type="dxa"/>
            <w:tcBorders>
              <w:top w:val="nil"/>
              <w:left w:val="nil"/>
              <w:bottom w:val="single" w:sz="4" w:space="0" w:color="auto"/>
              <w:right w:val="single" w:sz="4" w:space="0" w:color="auto"/>
            </w:tcBorders>
            <w:hideMark/>
          </w:tcPr>
          <w:p w14:paraId="4E97F3A3" w14:textId="77777777" w:rsidR="000444BB" w:rsidRPr="002F3A26" w:rsidRDefault="000444BB" w:rsidP="005A3D7D">
            <w:pPr>
              <w:pStyle w:val="TableParagraph"/>
              <w:rPr>
                <w:color w:val="000000"/>
              </w:rPr>
            </w:pPr>
            <w:r w:rsidRPr="002F3A26">
              <w:rPr>
                <w:color w:val="000000"/>
              </w:rPr>
              <w:t>1.20</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366A9E17" w14:textId="77777777" w:rsidR="000444BB" w:rsidRPr="002F3A26" w:rsidRDefault="000444BB" w:rsidP="005A3D7D">
            <w:pPr>
              <w:pStyle w:val="TableParagraph"/>
              <w:rPr>
                <w:color w:val="000000"/>
              </w:rPr>
            </w:pPr>
            <w:r w:rsidRPr="002F3A26">
              <w:t>1.15</w:t>
            </w:r>
            <w:r w:rsidRPr="002F3A26">
              <w:rPr>
                <w:color w:val="000000"/>
                <w:vertAlign w:val="superscript"/>
              </w:rPr>
              <w:t>***</w:t>
            </w:r>
          </w:p>
        </w:tc>
      </w:tr>
      <w:tr w:rsidR="000444BB" w:rsidRPr="002F3A26" w14:paraId="369EB419"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2491FD45" w14:textId="77777777" w:rsidR="000444BB" w:rsidRPr="002F3A26" w:rsidRDefault="000444BB" w:rsidP="005A3D7D">
            <w:pPr>
              <w:pStyle w:val="TableParagraph"/>
              <w:rPr>
                <w:color w:val="000000"/>
              </w:rPr>
            </w:pPr>
            <w:r w:rsidRPr="002F3A26">
              <w:t>Education</w:t>
            </w:r>
          </w:p>
        </w:tc>
        <w:tc>
          <w:tcPr>
            <w:tcW w:w="996" w:type="dxa"/>
            <w:tcBorders>
              <w:top w:val="nil"/>
              <w:left w:val="nil"/>
              <w:bottom w:val="single" w:sz="4" w:space="0" w:color="auto"/>
              <w:right w:val="single" w:sz="4" w:space="0" w:color="auto"/>
            </w:tcBorders>
            <w:hideMark/>
          </w:tcPr>
          <w:p w14:paraId="0FADF319" w14:textId="77777777" w:rsidR="000444BB" w:rsidRPr="002F3A26" w:rsidRDefault="000444BB" w:rsidP="005A3D7D">
            <w:pPr>
              <w:pStyle w:val="TableParagraph"/>
              <w:rPr>
                <w:color w:val="000000"/>
              </w:rPr>
            </w:pPr>
            <w:r w:rsidRPr="002F3A26">
              <w:rPr>
                <w:color w:val="000000"/>
              </w:rPr>
              <w:t>1.70</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1F53ADF2" w14:textId="77777777" w:rsidR="000444BB" w:rsidRPr="002F3A26" w:rsidRDefault="000444BB" w:rsidP="005A3D7D">
            <w:pPr>
              <w:pStyle w:val="TableParagraph"/>
              <w:rPr>
                <w:color w:val="000000"/>
              </w:rPr>
            </w:pPr>
            <w:r w:rsidRPr="002F3A26">
              <w:t>1.59</w:t>
            </w:r>
            <w:r w:rsidRPr="002F3A26">
              <w:rPr>
                <w:color w:val="000000"/>
                <w:vertAlign w:val="superscript"/>
              </w:rPr>
              <w:t>***</w:t>
            </w:r>
          </w:p>
        </w:tc>
      </w:tr>
      <w:tr w:rsidR="000444BB" w:rsidRPr="002F3A26" w14:paraId="7FCBA057"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017003F8" w14:textId="77777777" w:rsidR="000444BB" w:rsidRPr="002F3A26" w:rsidRDefault="000444BB" w:rsidP="005A3D7D">
            <w:pPr>
              <w:pStyle w:val="TableParagraph"/>
              <w:rPr>
                <w:color w:val="000000"/>
              </w:rPr>
            </w:pPr>
            <w:r w:rsidRPr="002F3A26">
              <w:t>Management &amp; Commerce</w:t>
            </w:r>
          </w:p>
        </w:tc>
        <w:tc>
          <w:tcPr>
            <w:tcW w:w="996" w:type="dxa"/>
            <w:tcBorders>
              <w:top w:val="nil"/>
              <w:left w:val="nil"/>
              <w:bottom w:val="single" w:sz="4" w:space="0" w:color="auto"/>
              <w:right w:val="single" w:sz="4" w:space="0" w:color="auto"/>
            </w:tcBorders>
            <w:hideMark/>
          </w:tcPr>
          <w:p w14:paraId="4154EF40" w14:textId="77777777" w:rsidR="000444BB" w:rsidRPr="002F3A26" w:rsidRDefault="000444BB" w:rsidP="005A3D7D">
            <w:pPr>
              <w:pStyle w:val="TableParagraph"/>
              <w:rPr>
                <w:color w:val="000000"/>
              </w:rPr>
            </w:pPr>
            <w:r w:rsidRPr="002F3A26">
              <w:rPr>
                <w:color w:val="000000"/>
              </w:rPr>
              <w:t>0.94</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726B3FE4" w14:textId="4BBDA788" w:rsidR="000444BB" w:rsidRPr="002F3A26" w:rsidRDefault="000444BB" w:rsidP="005A3D7D">
            <w:pPr>
              <w:pStyle w:val="TableParagraph"/>
              <w:rPr>
                <w:color w:val="000000"/>
              </w:rPr>
            </w:pPr>
            <w:r w:rsidRPr="002F3A26">
              <w:t>1.00</w:t>
            </w:r>
          </w:p>
        </w:tc>
      </w:tr>
      <w:tr w:rsidR="000444BB" w:rsidRPr="002F3A26" w14:paraId="7D9F2322"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41D325D6" w14:textId="77777777" w:rsidR="000444BB" w:rsidRPr="002F3A26" w:rsidRDefault="000444BB" w:rsidP="005A3D7D">
            <w:pPr>
              <w:pStyle w:val="TableParagraph"/>
              <w:rPr>
                <w:color w:val="000000"/>
              </w:rPr>
            </w:pPr>
            <w:r w:rsidRPr="002F3A26">
              <w:t>Creative Arts</w:t>
            </w:r>
          </w:p>
        </w:tc>
        <w:tc>
          <w:tcPr>
            <w:tcW w:w="996" w:type="dxa"/>
            <w:tcBorders>
              <w:top w:val="nil"/>
              <w:left w:val="nil"/>
              <w:bottom w:val="single" w:sz="4" w:space="0" w:color="auto"/>
              <w:right w:val="single" w:sz="4" w:space="0" w:color="auto"/>
            </w:tcBorders>
            <w:hideMark/>
          </w:tcPr>
          <w:p w14:paraId="5C5F62B9" w14:textId="77777777" w:rsidR="000444BB" w:rsidRPr="002F3A26" w:rsidRDefault="000444BB" w:rsidP="005A3D7D">
            <w:pPr>
              <w:pStyle w:val="TableParagraph"/>
              <w:rPr>
                <w:color w:val="000000"/>
              </w:rPr>
            </w:pPr>
            <w:r w:rsidRPr="002F3A26">
              <w:rPr>
                <w:color w:val="000000"/>
              </w:rPr>
              <w:t>0.98</w:t>
            </w:r>
          </w:p>
        </w:tc>
        <w:tc>
          <w:tcPr>
            <w:tcW w:w="996" w:type="dxa"/>
            <w:tcBorders>
              <w:top w:val="nil"/>
              <w:left w:val="nil"/>
              <w:bottom w:val="single" w:sz="4" w:space="0" w:color="auto"/>
              <w:right w:val="single" w:sz="4" w:space="0" w:color="auto"/>
            </w:tcBorders>
            <w:hideMark/>
          </w:tcPr>
          <w:p w14:paraId="525B4732" w14:textId="77777777" w:rsidR="000444BB" w:rsidRPr="002F3A26" w:rsidRDefault="000444BB" w:rsidP="005A3D7D">
            <w:pPr>
              <w:pStyle w:val="TableParagraph"/>
              <w:rPr>
                <w:color w:val="000000"/>
              </w:rPr>
            </w:pPr>
            <w:r w:rsidRPr="002F3A26">
              <w:t>0.97</w:t>
            </w:r>
          </w:p>
        </w:tc>
      </w:tr>
      <w:tr w:rsidR="000444BB" w:rsidRPr="002F3A26" w14:paraId="07FCA1D6"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5D13D399" w14:textId="77777777" w:rsidR="000444BB" w:rsidRPr="002F3A26" w:rsidRDefault="000444BB" w:rsidP="005A3D7D">
            <w:pPr>
              <w:pStyle w:val="TableParagraph"/>
              <w:rPr>
                <w:color w:val="000000"/>
              </w:rPr>
            </w:pPr>
            <w:r w:rsidRPr="002F3A26">
              <w:t>Medical Studies</w:t>
            </w:r>
          </w:p>
        </w:tc>
        <w:tc>
          <w:tcPr>
            <w:tcW w:w="996" w:type="dxa"/>
            <w:tcBorders>
              <w:top w:val="nil"/>
              <w:left w:val="nil"/>
              <w:bottom w:val="single" w:sz="4" w:space="0" w:color="auto"/>
              <w:right w:val="single" w:sz="4" w:space="0" w:color="auto"/>
            </w:tcBorders>
            <w:hideMark/>
          </w:tcPr>
          <w:p w14:paraId="5CA98559" w14:textId="77777777" w:rsidR="000444BB" w:rsidRPr="002F3A26" w:rsidRDefault="000444BB" w:rsidP="005A3D7D">
            <w:pPr>
              <w:pStyle w:val="TableParagraph"/>
              <w:rPr>
                <w:color w:val="000000"/>
              </w:rPr>
            </w:pPr>
            <w:r w:rsidRPr="002F3A26">
              <w:rPr>
                <w:color w:val="000000"/>
              </w:rPr>
              <w:t>0.28</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6E6D8F54" w14:textId="77777777" w:rsidR="000444BB" w:rsidRPr="002F3A26" w:rsidRDefault="000444BB" w:rsidP="005A3D7D">
            <w:pPr>
              <w:pStyle w:val="TableParagraph"/>
              <w:rPr>
                <w:color w:val="000000"/>
              </w:rPr>
            </w:pPr>
            <w:r w:rsidRPr="002F3A26">
              <w:t>0.28</w:t>
            </w:r>
            <w:r w:rsidRPr="002F3A26">
              <w:rPr>
                <w:color w:val="000000"/>
                <w:vertAlign w:val="superscript"/>
              </w:rPr>
              <w:t>***</w:t>
            </w:r>
          </w:p>
        </w:tc>
      </w:tr>
      <w:tr w:rsidR="000444BB" w:rsidRPr="002F3A26" w14:paraId="12D4690D" w14:textId="77777777" w:rsidTr="006847E6">
        <w:trPr>
          <w:trHeight w:val="232"/>
        </w:trPr>
        <w:tc>
          <w:tcPr>
            <w:tcW w:w="5551" w:type="dxa"/>
            <w:tcBorders>
              <w:top w:val="nil"/>
              <w:left w:val="single" w:sz="4" w:space="0" w:color="auto"/>
              <w:bottom w:val="single" w:sz="4" w:space="0" w:color="auto"/>
              <w:right w:val="single" w:sz="4" w:space="0" w:color="auto"/>
            </w:tcBorders>
            <w:hideMark/>
          </w:tcPr>
          <w:p w14:paraId="01D937BB" w14:textId="77777777" w:rsidR="000444BB" w:rsidRPr="002F3A26" w:rsidRDefault="000444BB" w:rsidP="005A3D7D">
            <w:pPr>
              <w:pStyle w:val="TableParagraph"/>
              <w:rPr>
                <w:color w:val="000000"/>
              </w:rPr>
            </w:pPr>
            <w:r w:rsidRPr="002F3A26">
              <w:t>Law</w:t>
            </w:r>
          </w:p>
        </w:tc>
        <w:tc>
          <w:tcPr>
            <w:tcW w:w="996" w:type="dxa"/>
            <w:tcBorders>
              <w:top w:val="nil"/>
              <w:left w:val="nil"/>
              <w:bottom w:val="single" w:sz="4" w:space="0" w:color="auto"/>
              <w:right w:val="single" w:sz="4" w:space="0" w:color="auto"/>
            </w:tcBorders>
            <w:hideMark/>
          </w:tcPr>
          <w:p w14:paraId="053BC220" w14:textId="77777777" w:rsidR="000444BB" w:rsidRPr="002F3A26" w:rsidRDefault="000444BB" w:rsidP="005A3D7D">
            <w:pPr>
              <w:pStyle w:val="TableParagraph"/>
              <w:rPr>
                <w:color w:val="000000"/>
              </w:rPr>
            </w:pPr>
            <w:r w:rsidRPr="002F3A26">
              <w:rPr>
                <w:color w:val="000000"/>
              </w:rPr>
              <w:t>0.80</w:t>
            </w:r>
            <w:r w:rsidRPr="002F3A26">
              <w:rPr>
                <w:color w:val="000000"/>
                <w:vertAlign w:val="superscript"/>
              </w:rPr>
              <w:t>***</w:t>
            </w:r>
          </w:p>
        </w:tc>
        <w:tc>
          <w:tcPr>
            <w:tcW w:w="996" w:type="dxa"/>
            <w:tcBorders>
              <w:top w:val="nil"/>
              <w:left w:val="nil"/>
              <w:bottom w:val="single" w:sz="4" w:space="0" w:color="auto"/>
              <w:right w:val="single" w:sz="4" w:space="0" w:color="auto"/>
            </w:tcBorders>
            <w:hideMark/>
          </w:tcPr>
          <w:p w14:paraId="6092FA27" w14:textId="77777777" w:rsidR="000444BB" w:rsidRPr="002F3A26" w:rsidRDefault="000444BB" w:rsidP="005A3D7D">
            <w:pPr>
              <w:pStyle w:val="TableParagraph"/>
              <w:rPr>
                <w:color w:val="000000"/>
              </w:rPr>
            </w:pPr>
            <w:r w:rsidRPr="002F3A26">
              <w:t>0.80</w:t>
            </w:r>
            <w:r w:rsidRPr="002F3A26">
              <w:rPr>
                <w:color w:val="000000"/>
                <w:vertAlign w:val="superscript"/>
              </w:rPr>
              <w:t>***</w:t>
            </w:r>
          </w:p>
        </w:tc>
      </w:tr>
      <w:tr w:rsidR="000444BB" w:rsidRPr="002F3A26" w14:paraId="1F490B5D" w14:textId="77777777" w:rsidTr="006847E6">
        <w:trPr>
          <w:trHeight w:val="232"/>
        </w:trPr>
        <w:tc>
          <w:tcPr>
            <w:tcW w:w="5551" w:type="dxa"/>
            <w:tcBorders>
              <w:top w:val="single" w:sz="4" w:space="0" w:color="auto"/>
              <w:left w:val="single" w:sz="4" w:space="0" w:color="auto"/>
              <w:bottom w:val="single" w:sz="4" w:space="0" w:color="auto"/>
              <w:right w:val="single" w:sz="4" w:space="0" w:color="auto"/>
            </w:tcBorders>
          </w:tcPr>
          <w:p w14:paraId="47DEE031" w14:textId="4F870E6D" w:rsidR="000444BB" w:rsidRPr="002F3A26" w:rsidRDefault="000444BB" w:rsidP="005A3D7D">
            <w:pPr>
              <w:pStyle w:val="TableParagraph"/>
            </w:pPr>
            <w:r w:rsidRPr="002F3A26">
              <w:t>Equity group membership</w:t>
            </w:r>
          </w:p>
        </w:tc>
        <w:tc>
          <w:tcPr>
            <w:tcW w:w="996" w:type="dxa"/>
            <w:tcBorders>
              <w:top w:val="single" w:sz="4" w:space="0" w:color="auto"/>
              <w:left w:val="nil"/>
              <w:bottom w:val="single" w:sz="4" w:space="0" w:color="auto"/>
              <w:right w:val="single" w:sz="4" w:space="0" w:color="auto"/>
            </w:tcBorders>
          </w:tcPr>
          <w:p w14:paraId="4C4BA62B" w14:textId="75A2360B" w:rsidR="000444BB" w:rsidRPr="002F3A26" w:rsidRDefault="000444BB" w:rsidP="004402DB">
            <w:pPr>
              <w:pStyle w:val="TableParagraph"/>
            </w:pPr>
            <w:r w:rsidRPr="002F3A26">
              <w:t>No</w:t>
            </w:r>
          </w:p>
        </w:tc>
        <w:tc>
          <w:tcPr>
            <w:tcW w:w="996" w:type="dxa"/>
            <w:tcBorders>
              <w:top w:val="single" w:sz="4" w:space="0" w:color="auto"/>
              <w:left w:val="nil"/>
              <w:bottom w:val="single" w:sz="4" w:space="0" w:color="auto"/>
              <w:right w:val="single" w:sz="4" w:space="0" w:color="auto"/>
            </w:tcBorders>
          </w:tcPr>
          <w:p w14:paraId="0D32AED1" w14:textId="5F76548B" w:rsidR="000444BB" w:rsidRPr="002F3A26" w:rsidRDefault="000444BB" w:rsidP="004402DB">
            <w:pPr>
              <w:pStyle w:val="TableParagraph"/>
            </w:pPr>
            <w:r w:rsidRPr="002F3A26">
              <w:t>Yes</w:t>
            </w:r>
          </w:p>
        </w:tc>
      </w:tr>
      <w:tr w:rsidR="000444BB" w:rsidRPr="002F3A26" w14:paraId="14C70DEC" w14:textId="77777777" w:rsidTr="006847E6">
        <w:trPr>
          <w:trHeight w:val="232"/>
        </w:trPr>
        <w:tc>
          <w:tcPr>
            <w:tcW w:w="5551" w:type="dxa"/>
            <w:tcBorders>
              <w:top w:val="single" w:sz="4" w:space="0" w:color="auto"/>
              <w:left w:val="single" w:sz="4" w:space="0" w:color="auto"/>
              <w:bottom w:val="single" w:sz="4" w:space="0" w:color="auto"/>
              <w:right w:val="single" w:sz="4" w:space="0" w:color="auto"/>
            </w:tcBorders>
          </w:tcPr>
          <w:p w14:paraId="0ED47FDF" w14:textId="35AE9FE6" w:rsidR="000444BB" w:rsidRPr="002F3A26" w:rsidRDefault="000444BB" w:rsidP="005A3D7D">
            <w:pPr>
              <w:pStyle w:val="TableParagraph"/>
            </w:pPr>
            <w:r w:rsidRPr="002F3A26">
              <w:t>Other controls</w:t>
            </w:r>
          </w:p>
        </w:tc>
        <w:tc>
          <w:tcPr>
            <w:tcW w:w="996" w:type="dxa"/>
            <w:tcBorders>
              <w:top w:val="single" w:sz="4" w:space="0" w:color="auto"/>
              <w:left w:val="nil"/>
              <w:bottom w:val="single" w:sz="4" w:space="0" w:color="auto"/>
              <w:right w:val="single" w:sz="4" w:space="0" w:color="auto"/>
            </w:tcBorders>
          </w:tcPr>
          <w:p w14:paraId="093A4E61" w14:textId="2AA30D62" w:rsidR="000444BB" w:rsidRPr="002F3A26" w:rsidRDefault="000444BB" w:rsidP="004402DB">
            <w:pPr>
              <w:pStyle w:val="TableParagraph"/>
            </w:pPr>
            <w:r w:rsidRPr="002F3A26">
              <w:t>Yes</w:t>
            </w:r>
          </w:p>
        </w:tc>
        <w:tc>
          <w:tcPr>
            <w:tcW w:w="996" w:type="dxa"/>
            <w:tcBorders>
              <w:top w:val="single" w:sz="4" w:space="0" w:color="auto"/>
              <w:left w:val="nil"/>
              <w:bottom w:val="single" w:sz="4" w:space="0" w:color="auto"/>
              <w:right w:val="single" w:sz="4" w:space="0" w:color="auto"/>
            </w:tcBorders>
          </w:tcPr>
          <w:p w14:paraId="1CDD93D7" w14:textId="2DE1B3A2" w:rsidR="000444BB" w:rsidRPr="002F3A26" w:rsidRDefault="000444BB" w:rsidP="005A3D7D">
            <w:pPr>
              <w:pStyle w:val="TableParagraph"/>
            </w:pPr>
            <w:r w:rsidRPr="002F3A26">
              <w:t>Yes</w:t>
            </w:r>
          </w:p>
        </w:tc>
      </w:tr>
    </w:tbl>
    <w:p w14:paraId="135542BF" w14:textId="7C782A3B" w:rsidR="005A3D7D" w:rsidRPr="002F3A26" w:rsidRDefault="001A1977" w:rsidP="001A1977">
      <w:pPr>
        <w:pStyle w:val="Notes"/>
      </w:pPr>
      <w:r w:rsidRPr="002F3A26">
        <w:t xml:space="preserve">Notes: Data from PLIDA. Full sets of model results are available in </w:t>
      </w:r>
      <w:r>
        <w:fldChar w:fldCharType="begin"/>
      </w:r>
      <w:r>
        <w:instrText xml:space="preserve"> REF _Ref191531030 \h </w:instrText>
      </w:r>
      <w:r>
        <w:fldChar w:fldCharType="separate"/>
      </w:r>
      <w:r w:rsidR="00627572">
        <w:t xml:space="preserve">Table </w:t>
      </w:r>
      <w:r w:rsidR="00627572">
        <w:rPr>
          <w:noProof/>
        </w:rPr>
        <w:t>B</w:t>
      </w:r>
      <w:r w:rsidR="00627572">
        <w:noBreakHyphen/>
      </w:r>
      <w:r w:rsidR="00627572">
        <w:rPr>
          <w:noProof/>
        </w:rPr>
        <w:t>4</w:t>
      </w:r>
      <w:r>
        <w:fldChar w:fldCharType="end"/>
      </w:r>
      <w:r>
        <w:t xml:space="preserve"> and </w:t>
      </w:r>
      <w:r>
        <w:fldChar w:fldCharType="begin"/>
      </w:r>
      <w:r>
        <w:instrText xml:space="preserve"> REF _Ref191531049 \h </w:instrText>
      </w:r>
      <w:r>
        <w:fldChar w:fldCharType="separate"/>
      </w:r>
      <w:r w:rsidR="00627572">
        <w:t xml:space="preserve">Table </w:t>
      </w:r>
      <w:r w:rsidR="00627572">
        <w:rPr>
          <w:noProof/>
        </w:rPr>
        <w:t>B</w:t>
      </w:r>
      <w:r w:rsidR="00627572">
        <w:noBreakHyphen/>
      </w:r>
      <w:r w:rsidR="00627572">
        <w:rPr>
          <w:noProof/>
        </w:rPr>
        <w:t>5</w:t>
      </w:r>
      <w:r>
        <w:fldChar w:fldCharType="end"/>
      </w:r>
      <w:r>
        <w:t xml:space="preserve"> </w:t>
      </w:r>
      <w:r w:rsidRPr="00500DF0">
        <w:t xml:space="preserve">in </w:t>
      </w:r>
      <w:r>
        <w:rPr>
          <w:highlight w:val="yellow"/>
        </w:rPr>
        <w:fldChar w:fldCharType="begin"/>
      </w:r>
      <w:r>
        <w:instrText xml:space="preserve"> REF _Ref191461978 \n \h </w:instrText>
      </w:r>
      <w:r>
        <w:rPr>
          <w:highlight w:val="yellow"/>
        </w:rPr>
      </w:r>
      <w:r>
        <w:rPr>
          <w:highlight w:val="yellow"/>
        </w:rPr>
        <w:fldChar w:fldCharType="separate"/>
      </w:r>
      <w:r w:rsidR="00627572">
        <w:t>Appendix B</w:t>
      </w:r>
      <w:r>
        <w:rPr>
          <w:highlight w:val="yellow"/>
        </w:rPr>
        <w:fldChar w:fldCharType="end"/>
      </w:r>
      <w:r w:rsidRPr="002F3A26">
        <w:t xml:space="preserve"> Statistical significance: * p &lt; 0.05, ** p &lt; 0.01, *** p &lt; 0.001</w:t>
      </w:r>
      <w:r w:rsidR="00807B56">
        <w:t>.</w:t>
      </w:r>
    </w:p>
    <w:p w14:paraId="57A06EA2" w14:textId="4D69E7E1" w:rsidR="003C1E84" w:rsidRPr="002F3A26" w:rsidRDefault="007076A1" w:rsidP="00EE06B3">
      <w:r w:rsidRPr="002F3A26">
        <w:t>To better illustrate the relationship between field of study and social background</w:t>
      </w:r>
      <w:r w:rsidR="00690BD8">
        <w:t>,</w:t>
      </w:r>
      <w:r w:rsidRPr="002F3A26">
        <w:t xml:space="preserve"> adjusted or predicted probabilities </w:t>
      </w:r>
      <w:r w:rsidR="00E64B97">
        <w:t>were</w:t>
      </w:r>
      <w:r w:rsidR="00E624AA">
        <w:t xml:space="preserve"> </w:t>
      </w:r>
      <w:r w:rsidRPr="002F3A26">
        <w:t xml:space="preserve">estimated using the results from </w:t>
      </w:r>
      <w:r w:rsidR="00535DE7">
        <w:t>M</w:t>
      </w:r>
      <w:r w:rsidRPr="002F3A26">
        <w:t xml:space="preserve">odel VIII. </w:t>
      </w:r>
      <w:r w:rsidRPr="002F3A26">
        <w:fldChar w:fldCharType="begin"/>
      </w:r>
      <w:r w:rsidRPr="002F3A26">
        <w:instrText xml:space="preserve"> REF _Ref189831468 \h </w:instrText>
      </w:r>
      <w:r w:rsidRPr="002F3A26">
        <w:fldChar w:fldCharType="separate"/>
      </w:r>
      <w:r w:rsidR="00627572" w:rsidRPr="002F3A26">
        <w:t xml:space="preserve">Figure </w:t>
      </w:r>
      <w:r w:rsidR="00627572">
        <w:rPr>
          <w:noProof/>
        </w:rPr>
        <w:t>11</w:t>
      </w:r>
      <w:r w:rsidRPr="002F3A26">
        <w:fldChar w:fldCharType="end"/>
      </w:r>
      <w:r w:rsidRPr="002F3A26">
        <w:t xml:space="preserve"> presents the predicted probabilities of entering fields of study by </w:t>
      </w:r>
      <w:r w:rsidR="00535DE7">
        <w:t>FiF</w:t>
      </w:r>
      <w:r w:rsidRPr="002F3A26">
        <w:t xml:space="preserve"> students, members of the equity groups, and their counterparts. </w:t>
      </w:r>
      <w:r w:rsidR="003C1E84" w:rsidRPr="002F3A26">
        <w:t xml:space="preserve">Overall, the </w:t>
      </w:r>
      <w:r w:rsidR="006847E6" w:rsidRPr="002F3A26">
        <w:t>model-based</w:t>
      </w:r>
      <w:r w:rsidR="003C1E84" w:rsidRPr="002F3A26">
        <w:t xml:space="preserve"> predictions did not differ significantly from </w:t>
      </w:r>
      <w:r w:rsidR="003B5F4F">
        <w:t xml:space="preserve">the </w:t>
      </w:r>
      <w:r w:rsidR="003C1E84" w:rsidRPr="002F3A26">
        <w:t>unadjusted results presented in</w:t>
      </w:r>
      <w:r w:rsidR="008B34E2">
        <w:t xml:space="preserve"> Section</w:t>
      </w:r>
      <w:r w:rsidR="003C1E84" w:rsidRPr="002F3A26">
        <w:t xml:space="preserve"> </w:t>
      </w:r>
      <w:r w:rsidR="008B34E2">
        <w:rPr>
          <w:highlight w:val="yellow"/>
        </w:rPr>
        <w:fldChar w:fldCharType="begin"/>
      </w:r>
      <w:r w:rsidR="008B34E2">
        <w:instrText xml:space="preserve"> REF _Ref191531582 \n \h </w:instrText>
      </w:r>
      <w:r w:rsidR="008B34E2">
        <w:rPr>
          <w:highlight w:val="yellow"/>
        </w:rPr>
      </w:r>
      <w:r w:rsidR="008B34E2">
        <w:rPr>
          <w:highlight w:val="yellow"/>
        </w:rPr>
        <w:fldChar w:fldCharType="separate"/>
      </w:r>
      <w:r w:rsidR="00627572">
        <w:t>6.1.1</w:t>
      </w:r>
      <w:r w:rsidR="008B34E2">
        <w:rPr>
          <w:highlight w:val="yellow"/>
        </w:rPr>
        <w:fldChar w:fldCharType="end"/>
      </w:r>
      <w:r w:rsidR="003C1E84" w:rsidRPr="002F3A26">
        <w:t xml:space="preserve">. </w:t>
      </w:r>
    </w:p>
    <w:p w14:paraId="57B87F3A" w14:textId="7F6B9563" w:rsidR="00A0328A" w:rsidRPr="002F3A26" w:rsidRDefault="007076A1" w:rsidP="00EE06B3">
      <w:r w:rsidRPr="002F3A26">
        <w:t xml:space="preserve">The first panel from the top shows the results for </w:t>
      </w:r>
      <w:r w:rsidR="00535DE7">
        <w:t>FiF</w:t>
      </w:r>
      <w:r w:rsidRPr="002F3A26">
        <w:t xml:space="preserve"> students and their counterparts with university-educated parents. </w:t>
      </w:r>
      <w:r w:rsidR="009C36A0" w:rsidRPr="002F3A26">
        <w:t>For many of the fields, the</w:t>
      </w:r>
      <w:r w:rsidR="00A0328A" w:rsidRPr="002F3A26">
        <w:t xml:space="preserve"> difference in enrolments between </w:t>
      </w:r>
      <w:r w:rsidR="00535DE7">
        <w:t>FiF</w:t>
      </w:r>
      <w:r w:rsidR="00535DE7" w:rsidRPr="002F3A26">
        <w:t xml:space="preserve"> </w:t>
      </w:r>
      <w:r w:rsidR="00A0328A" w:rsidRPr="002F3A26">
        <w:t>and non-</w:t>
      </w:r>
      <w:r w:rsidR="00535DE7">
        <w:t>FiF</w:t>
      </w:r>
      <w:r w:rsidR="00535DE7" w:rsidRPr="002F3A26">
        <w:t xml:space="preserve"> </w:t>
      </w:r>
      <w:r w:rsidR="00A0328A" w:rsidRPr="002F3A26">
        <w:t>students was very small. However,</w:t>
      </w:r>
      <w:r w:rsidR="009C36A0" w:rsidRPr="002F3A26">
        <w:t xml:space="preserve"> </w:t>
      </w:r>
      <w:r w:rsidR="00535DE7">
        <w:t>FiF</w:t>
      </w:r>
      <w:r w:rsidR="00535DE7" w:rsidRPr="002F3A26">
        <w:t xml:space="preserve"> </w:t>
      </w:r>
      <w:r w:rsidRPr="002F3A26">
        <w:t xml:space="preserve">students were more likely than their peers to choose other health and education, </w:t>
      </w:r>
      <w:r w:rsidR="009454A0" w:rsidRPr="002F3A26">
        <w:t xml:space="preserve">with the adjusted proportion at </w:t>
      </w:r>
      <w:r w:rsidRPr="002F3A26">
        <w:t xml:space="preserve">18.4% compared to 16.0% and 7.9% compared to 5.0%. </w:t>
      </w:r>
      <w:r w:rsidR="004D4414" w:rsidRPr="002F3A26">
        <w:t xml:space="preserve">At the same time, </w:t>
      </w:r>
      <w:r w:rsidR="00535DE7">
        <w:t>FiF</w:t>
      </w:r>
      <w:r w:rsidR="00535DE7" w:rsidRPr="002F3A26">
        <w:t xml:space="preserve"> </w:t>
      </w:r>
      <w:r w:rsidR="004D4414" w:rsidRPr="002F3A26">
        <w:t>students were underrepresented in fields such as natural and physical sciences</w:t>
      </w:r>
      <w:r w:rsidR="00494424" w:rsidRPr="002F3A26">
        <w:t xml:space="preserve">, engineering and related technologies, and medical studies. In the last case, the difference between predicted probabilities is small, only 0.9 pp, but the share of </w:t>
      </w:r>
      <w:r w:rsidR="00535DE7">
        <w:t>FiF</w:t>
      </w:r>
      <w:r w:rsidR="00535DE7" w:rsidRPr="002F3A26">
        <w:t xml:space="preserve"> </w:t>
      </w:r>
      <w:r w:rsidR="00494424" w:rsidRPr="002F3A26">
        <w:t>students was nearly four times smaller than among non-</w:t>
      </w:r>
      <w:r w:rsidR="00535DE7">
        <w:t>FiF</w:t>
      </w:r>
      <w:r w:rsidR="00535DE7" w:rsidRPr="002F3A26">
        <w:t xml:space="preserve"> </w:t>
      </w:r>
      <w:r w:rsidR="00494424" w:rsidRPr="002F3A26">
        <w:t>students.</w:t>
      </w:r>
      <w:r w:rsidR="00A0328A" w:rsidRPr="002F3A26">
        <w:t xml:space="preserve"> The results showed that while </w:t>
      </w:r>
      <w:r w:rsidR="00535DE7">
        <w:t>FiF</w:t>
      </w:r>
      <w:r w:rsidR="00535DE7" w:rsidRPr="002F3A26">
        <w:t xml:space="preserve"> </w:t>
      </w:r>
      <w:r w:rsidR="00A0328A" w:rsidRPr="002F3A26">
        <w:t xml:space="preserve">students might be underrepresented among students of some fields opening lucrative career paths, they were not concentrated in fields leading to </w:t>
      </w:r>
      <w:r w:rsidR="003B5F4F">
        <w:t>below-average</w:t>
      </w:r>
      <w:r w:rsidR="00A0328A" w:rsidRPr="002F3A26">
        <w:t xml:space="preserve"> earnings.</w:t>
      </w:r>
    </w:p>
    <w:p w14:paraId="7977F481" w14:textId="36762083" w:rsidR="00714EFE" w:rsidRPr="002F3A26" w:rsidRDefault="00A0328A" w:rsidP="00EE06B3">
      <w:r w:rsidRPr="002F3A26">
        <w:t>Coming from a low</w:t>
      </w:r>
      <w:r w:rsidR="00807B56">
        <w:t xml:space="preserve"> </w:t>
      </w:r>
      <w:r w:rsidRPr="002F3A26">
        <w:t xml:space="preserve">SES area seemed to have a smaller effect than </w:t>
      </w:r>
      <w:r w:rsidR="00535DE7">
        <w:t>FiF</w:t>
      </w:r>
      <w:r w:rsidR="00535DE7" w:rsidRPr="002F3A26">
        <w:t xml:space="preserve"> </w:t>
      </w:r>
      <w:r w:rsidRPr="002F3A26">
        <w:t xml:space="preserve">status on the field of study in which students enrolled. </w:t>
      </w:r>
      <w:r w:rsidR="00714EFE" w:rsidRPr="002F3A26">
        <w:t>Students from low</w:t>
      </w:r>
      <w:r w:rsidR="00807B56">
        <w:t xml:space="preserve"> </w:t>
      </w:r>
      <w:r w:rsidR="00714EFE" w:rsidRPr="002F3A26">
        <w:t>SES areas were also more likely than their peers to study education and other health subjects, but the differences were much smaller, 0.6 pp and 1.2 pp</w:t>
      </w:r>
      <w:r w:rsidR="00F9656B" w:rsidRPr="002F3A26">
        <w:t xml:space="preserve">. </w:t>
      </w:r>
      <w:r w:rsidR="0044441E" w:rsidRPr="002F3A26">
        <w:t>T</w:t>
      </w:r>
      <w:r w:rsidR="00F9656B" w:rsidRPr="002F3A26">
        <w:t>h</w:t>
      </w:r>
      <w:r w:rsidR="0044441E" w:rsidRPr="002F3A26">
        <w:t>e differences between equity group members and other students were much more pronounced in the case of other equity groups, but the patterns varied a lot.</w:t>
      </w:r>
    </w:p>
    <w:p w14:paraId="5D863FFD" w14:textId="1F6BA309" w:rsidR="0044441E" w:rsidRPr="002F3A26" w:rsidRDefault="00F443CC" w:rsidP="00EE06B3">
      <w:r w:rsidRPr="002F3A26">
        <w:t>Stude</w:t>
      </w:r>
      <w:r w:rsidR="00173B2D" w:rsidRPr="002F3A26">
        <w:t xml:space="preserve">nts from </w:t>
      </w:r>
      <w:r w:rsidR="009F5FEC">
        <w:t>RR</w:t>
      </w:r>
      <w:r w:rsidR="00173B2D" w:rsidRPr="002F3A26">
        <w:t xml:space="preserve"> areas were similar to </w:t>
      </w:r>
      <w:r w:rsidR="00535DE7">
        <w:t>FiF</w:t>
      </w:r>
      <w:r w:rsidR="00535DE7" w:rsidRPr="002F3A26">
        <w:t xml:space="preserve"> </w:t>
      </w:r>
      <w:r w:rsidR="00173B2D" w:rsidRPr="002F3A26">
        <w:t xml:space="preserve">students in their overrepresentation in education and programs </w:t>
      </w:r>
      <w:r w:rsidR="003B5F4F">
        <w:t>belonging</w:t>
      </w:r>
      <w:r w:rsidR="00173B2D" w:rsidRPr="002F3A26">
        <w:t xml:space="preserve"> to the other health category</w:t>
      </w:r>
      <w:r w:rsidR="003B5F4F">
        <w:t>,</w:t>
      </w:r>
      <w:r w:rsidR="00173B2D" w:rsidRPr="002F3A26">
        <w:t xml:space="preserve"> as well as underrepresentation in natural and physical sciences. </w:t>
      </w:r>
      <w:r w:rsidR="004466AE" w:rsidRPr="002F3A26">
        <w:t>For example, t</w:t>
      </w:r>
      <w:r w:rsidR="00173B2D" w:rsidRPr="002F3A26">
        <w:t xml:space="preserve">he adjusted proportion of </w:t>
      </w:r>
      <w:r w:rsidR="004466AE" w:rsidRPr="002F3A26">
        <w:t xml:space="preserve">those studying other </w:t>
      </w:r>
      <w:r w:rsidR="004466AE" w:rsidRPr="002F3A26">
        <w:lastRenderedPageBreak/>
        <w:t xml:space="preserve">health subjects was 21.7% among the </w:t>
      </w:r>
      <w:r w:rsidR="009F5FEC">
        <w:t>RR</w:t>
      </w:r>
      <w:r w:rsidR="004466AE" w:rsidRPr="002F3A26">
        <w:t xml:space="preserve"> students compared to 16.1% among their counterparts from major cities. However, there were some noticeable differences compared to the </w:t>
      </w:r>
      <w:r w:rsidR="003B5F4F">
        <w:t>FiF</w:t>
      </w:r>
      <w:r w:rsidR="004466AE" w:rsidRPr="002F3A26">
        <w:t xml:space="preserve"> students. </w:t>
      </w:r>
      <w:r w:rsidR="009F5FEC">
        <w:t>RR</w:t>
      </w:r>
      <w:r w:rsidR="0031255D" w:rsidRPr="002F3A26">
        <w:t xml:space="preserve"> students were underrepresented in management and commerce (11.9% compared to 16.7% among students from major cities) and society and culture (17.1% compared to 20.6% among students from major cities). Furthermore, they were </w:t>
      </w:r>
      <w:r w:rsidR="004C7D70" w:rsidRPr="002F3A26">
        <w:t>more likely to choose studies in agriculture, environmental and related studies</w:t>
      </w:r>
      <w:r w:rsidR="003B5F4F">
        <w:t>,</w:t>
      </w:r>
      <w:r w:rsidR="004C7D70" w:rsidRPr="002F3A26">
        <w:t xml:space="preserve"> </w:t>
      </w:r>
      <w:r w:rsidR="003B5F4F">
        <w:t>and</w:t>
      </w:r>
      <w:r w:rsidR="004C7D70" w:rsidRPr="002F3A26">
        <w:t xml:space="preserve"> medical studies. </w:t>
      </w:r>
      <w:r w:rsidR="00DD6535" w:rsidRPr="002F3A26">
        <w:t>While</w:t>
      </w:r>
      <w:r w:rsidR="004C7D70" w:rsidRPr="002F3A26">
        <w:t xml:space="preserve"> the differences expressed in pp were not large</w:t>
      </w:r>
      <w:r w:rsidR="003B5F4F">
        <w:t>,</w:t>
      </w:r>
      <w:r w:rsidR="004C7D70" w:rsidRPr="002F3A26">
        <w:t xml:space="preserve"> as both fields were not chosen by many students, </w:t>
      </w:r>
      <w:r w:rsidR="00142FDC" w:rsidRPr="002F3A26">
        <w:t xml:space="preserve">the ratios of proportions were large. </w:t>
      </w:r>
      <w:r w:rsidR="009F5FEC">
        <w:t>RR</w:t>
      </w:r>
      <w:r w:rsidR="00142FDC" w:rsidRPr="002F3A26">
        <w:t xml:space="preserve"> students were nearly three times more likely to study agriculture and nearly </w:t>
      </w:r>
      <w:r w:rsidR="003B5F4F">
        <w:t>two</w:t>
      </w:r>
      <w:r w:rsidR="00142FDC" w:rsidRPr="002F3A26">
        <w:t xml:space="preserve"> times more likely to study medicine than students from major cities.</w:t>
      </w:r>
    </w:p>
    <w:p w14:paraId="6EDEFE5F" w14:textId="474E7C37" w:rsidR="00142FDC" w:rsidRPr="002F3A26" w:rsidRDefault="00142FDC" w:rsidP="00EE06B3">
      <w:r w:rsidRPr="002F3A26">
        <w:t>Ind</w:t>
      </w:r>
      <w:r w:rsidR="00A33D27" w:rsidRPr="002F3A26">
        <w:t xml:space="preserve">igenous students </w:t>
      </w:r>
      <w:r w:rsidR="006847E6">
        <w:t>were</w:t>
      </w:r>
      <w:r w:rsidR="00A33D27" w:rsidRPr="002F3A26">
        <w:t xml:space="preserve"> most underrepresented in management and commerce. </w:t>
      </w:r>
      <w:r w:rsidR="009454A0" w:rsidRPr="002F3A26">
        <w:t xml:space="preserve">The adjusted proportion </w:t>
      </w:r>
      <w:r w:rsidR="00A33D27" w:rsidRPr="002F3A26">
        <w:t>of Indigenous students enrolled in a study program in this field</w:t>
      </w:r>
      <w:r w:rsidR="009454A0" w:rsidRPr="002F3A26">
        <w:t xml:space="preserve"> was only 10.5%</w:t>
      </w:r>
      <w:r w:rsidR="00A33D27" w:rsidRPr="002F3A26">
        <w:t xml:space="preserve">, while the rate among non-Indigenous students stood at 15.9%. </w:t>
      </w:r>
      <w:r w:rsidRPr="002F3A26">
        <w:t xml:space="preserve">Indigenous students </w:t>
      </w:r>
      <w:r w:rsidR="00A33D27" w:rsidRPr="002F3A26">
        <w:t>were also</w:t>
      </w:r>
      <w:r w:rsidRPr="002F3A26">
        <w:t xml:space="preserve"> somewhat less likely to study STEM disciplines than their non-Indigenous counterparts</w:t>
      </w:r>
      <w:r w:rsidR="00A33D27" w:rsidRPr="002F3A26">
        <w:t xml:space="preserve">. At the same time, they were overrepresented </w:t>
      </w:r>
      <w:r w:rsidR="00A33D27" w:rsidRPr="00A60101">
        <w:t>in</w:t>
      </w:r>
      <w:r w:rsidR="00A33D27" w:rsidRPr="00BD5948">
        <w:t xml:space="preserve"> </w:t>
      </w:r>
      <w:r w:rsidR="001B7A1C" w:rsidRPr="006858F1">
        <w:t xml:space="preserve">the </w:t>
      </w:r>
      <w:r w:rsidR="00A05BDA" w:rsidRPr="006858F1">
        <w:t>academic disciplines of</w:t>
      </w:r>
      <w:r w:rsidR="00A33D27" w:rsidRPr="00A60101">
        <w:t xml:space="preserve"> </w:t>
      </w:r>
      <w:r w:rsidR="001B7A1C" w:rsidRPr="006858F1">
        <w:t>humanities, arts, and social sciences</w:t>
      </w:r>
      <w:r w:rsidR="00F8529A" w:rsidRPr="002F3A26">
        <w:t xml:space="preserve">, including education (8.6% compared to 6.4% among </w:t>
      </w:r>
      <w:r w:rsidR="003B5F4F">
        <w:t>non-Indigenous</w:t>
      </w:r>
      <w:r w:rsidR="00F8529A" w:rsidRPr="002F3A26">
        <w:t xml:space="preserve"> students) and law (2.9% compared to 2.0% among </w:t>
      </w:r>
      <w:r w:rsidR="003B5F4F">
        <w:t>non-Indigenous</w:t>
      </w:r>
      <w:r w:rsidR="00F8529A" w:rsidRPr="002F3A26">
        <w:t xml:space="preserve"> students).</w:t>
      </w:r>
    </w:p>
    <w:p w14:paraId="34527575" w14:textId="1575BD99" w:rsidR="004C7D70" w:rsidRPr="002F3A26" w:rsidRDefault="00F8529A" w:rsidP="00EE06B3">
      <w:r w:rsidRPr="002F3A26">
        <w:t xml:space="preserve">Students with disability were also </w:t>
      </w:r>
      <w:r w:rsidR="00581ABF" w:rsidRPr="002F3A26">
        <w:t xml:space="preserve">more likely than their less disadvantaged counterparts to choose </w:t>
      </w:r>
      <w:r w:rsidR="009454A0" w:rsidRPr="002F3A26">
        <w:t xml:space="preserve">society and culture or creative arts programs. </w:t>
      </w:r>
      <w:r w:rsidR="003C1E84" w:rsidRPr="002F3A26">
        <w:t>After adjusting the proportions, o</w:t>
      </w:r>
      <w:r w:rsidR="009454A0" w:rsidRPr="002F3A26">
        <w:t>ver a quarter of students with disability chose the former field compared to less than one in five among students without disability. In the case of creative arts, the adjusted proportions among students with and without disability stood at 13.9% and 9.2%, respectively.</w:t>
      </w:r>
      <w:r w:rsidR="003C1E84" w:rsidRPr="002F3A26">
        <w:t xml:space="preserve"> Students with disability were also overrepresented in programs in information technology</w:t>
      </w:r>
      <w:r w:rsidR="003B5F4F">
        <w:t>,</w:t>
      </w:r>
      <w:r w:rsidR="003C1E84" w:rsidRPr="002F3A26">
        <w:t xml:space="preserve"> with the predicted proportion at 6.0% compared to 3.5% among students without disability. At the same time, </w:t>
      </w:r>
      <w:r w:rsidR="003B5F4F">
        <w:t>students</w:t>
      </w:r>
      <w:r w:rsidR="003C1E84" w:rsidRPr="002F3A26">
        <w:t xml:space="preserve"> with disability were less likely than students without disability to choose most other fields</w:t>
      </w:r>
      <w:r w:rsidR="00626493" w:rsidRPr="002F3A26">
        <w:t>. The gap was particularly noticeable in the case of management and commerce, for which the adjusted proportions stood at 10.3</w:t>
      </w:r>
      <w:r w:rsidR="008159C2">
        <w:t>%</w:t>
      </w:r>
      <w:r w:rsidR="00626493" w:rsidRPr="002F3A26">
        <w:t xml:space="preserve"> for students with disability and 15.9</w:t>
      </w:r>
      <w:r w:rsidR="008159C2">
        <w:t>%</w:t>
      </w:r>
      <w:r w:rsidR="00626493" w:rsidRPr="002F3A26">
        <w:t xml:space="preserve"> for students without disability.</w:t>
      </w:r>
    </w:p>
    <w:p w14:paraId="77E03311" w14:textId="6CCA095E" w:rsidR="00626493" w:rsidRPr="002F3A26" w:rsidRDefault="00626493" w:rsidP="00EE06B3">
      <w:r w:rsidRPr="002F3A26">
        <w:t xml:space="preserve">Differences between men and women were much </w:t>
      </w:r>
      <w:r w:rsidR="003B5F4F">
        <w:t>larger</w:t>
      </w:r>
      <w:r w:rsidRPr="002F3A26">
        <w:t xml:space="preserve"> than for other groups. Men were more likely to </w:t>
      </w:r>
      <w:r w:rsidRPr="006858F1">
        <w:t>study STEM subjects</w:t>
      </w:r>
      <w:r w:rsidRPr="002F3A26">
        <w:t xml:space="preserve">, </w:t>
      </w:r>
      <w:r w:rsidR="003B5F4F">
        <w:t>particularly</w:t>
      </w:r>
      <w:r w:rsidRPr="002F3A26">
        <w:t xml:space="preserve"> engineering and related technologies and information </w:t>
      </w:r>
      <w:r w:rsidR="00283172" w:rsidRPr="002F3A26">
        <w:t>technologies</w:t>
      </w:r>
      <w:r w:rsidRPr="002F3A26">
        <w:t xml:space="preserve">, as well as management and commerce. </w:t>
      </w:r>
      <w:r w:rsidR="00283172" w:rsidRPr="002F3A26">
        <w:t>For example, the adjusted proportion of female students enrolled in information technology programs was only 0.9%, while for men the rate was 7.1%. Similarly, the adjusted proportion of engineering students among women was 2.4% compared to 13.1% among men. At the same time</w:t>
      </w:r>
      <w:r w:rsidR="003B5F4F">
        <w:t>,</w:t>
      </w:r>
      <w:r w:rsidR="00283172" w:rsidRPr="002F3A26">
        <w:t xml:space="preserve"> women were markedly more likely to choose other health, education, and society and culture. The adjusted proportion of other health students among women was 22.3%</w:t>
      </w:r>
      <w:r w:rsidR="003B5F4F">
        <w:t>,</w:t>
      </w:r>
      <w:r w:rsidR="00283172" w:rsidRPr="002F3A26">
        <w:t xml:space="preserve"> which was more than twice the </w:t>
      </w:r>
      <w:r w:rsidR="003B5F4F">
        <w:t>value</w:t>
      </w:r>
      <w:r w:rsidR="00283172" w:rsidRPr="002F3A26">
        <w:t xml:space="preserve"> for men (10.4%). The adjusted proportion of women in education (8.3%) was also over double the rate among men (4.0%). In the case of society and culture, the adjusted proportions for women and men were 23.8% and 14.9%, respectively.</w:t>
      </w:r>
    </w:p>
    <w:p w14:paraId="669BC2CE" w14:textId="152B1823" w:rsidR="004F4748" w:rsidRPr="002F3A26" w:rsidRDefault="004F4748" w:rsidP="004C7FF2">
      <w:r w:rsidRPr="002F3A26">
        <w:t xml:space="preserve">The NESB students stood out as they tended to be overrepresented in fields in which previous groups were less likely to choose than their more privileged peers and underrepresented in fields </w:t>
      </w:r>
      <w:r w:rsidR="003B5F4F">
        <w:t xml:space="preserve">in </w:t>
      </w:r>
      <w:r w:rsidRPr="002F3A26">
        <w:t xml:space="preserve">which members of other analysed groups were less likely to enrol. The former was best illustrated by natural and physical sciences with adjusted enrolment rates for NESB students at 20.6% and 11.1% compared to 13.8% and 6.9%, respectively, among ESB students. The latter could be seen in adjusted proportions of </w:t>
      </w:r>
      <w:r w:rsidRPr="002F3A26">
        <w:lastRenderedPageBreak/>
        <w:t xml:space="preserve">students in society and culture (14.3% among NESB compared to 20.1% among ESB) and creative arts (4.7% among NESB compared to 9.4% among ESB). </w:t>
      </w:r>
    </w:p>
    <w:p w14:paraId="257A02DE" w14:textId="4DF50C59" w:rsidR="006406AB" w:rsidRPr="002F3A26" w:rsidRDefault="006406AB" w:rsidP="00D23949">
      <w:pPr>
        <w:pStyle w:val="Caption"/>
      </w:pPr>
      <w:bookmarkStart w:id="69" w:name="_Ref189831468"/>
      <w:bookmarkStart w:id="70" w:name="_Toc201760816"/>
      <w:r w:rsidRPr="002F3A26">
        <w:t xml:space="preserve">Figure </w:t>
      </w:r>
      <w:fldSimple w:instr=" SEQ Figure \* ARABIC ">
        <w:r w:rsidR="00627572">
          <w:rPr>
            <w:noProof/>
          </w:rPr>
          <w:t>11</w:t>
        </w:r>
      </w:fldSimple>
      <w:bookmarkEnd w:id="69"/>
      <w:r w:rsidR="00807B56">
        <w:rPr>
          <w:noProof/>
        </w:rPr>
        <w:t>:</w:t>
      </w:r>
      <w:r w:rsidRPr="002F3A26">
        <w:t xml:space="preserve"> </w:t>
      </w:r>
      <w:r w:rsidR="00836A8A" w:rsidRPr="002F3A26">
        <w:t xml:space="preserve">Adjusted proportions of students enrolled in fields of </w:t>
      </w:r>
      <w:r w:rsidR="00836A8A" w:rsidRPr="006847E6">
        <w:t>stud</w:t>
      </w:r>
      <w:r w:rsidR="0024343F" w:rsidRPr="006847E6">
        <w:t>y</w:t>
      </w:r>
      <w:r w:rsidRPr="006847E6">
        <w:t xml:space="preserve"> by </w:t>
      </w:r>
      <w:r w:rsidR="00E61E05">
        <w:t>First-in-Family</w:t>
      </w:r>
      <w:r w:rsidR="0024343F" w:rsidRPr="006847E6">
        <w:t xml:space="preserve"> status and </w:t>
      </w:r>
      <w:r w:rsidRPr="006847E6">
        <w:t>equity</w:t>
      </w:r>
      <w:r w:rsidR="00807B56">
        <w:t xml:space="preserve"> </w:t>
      </w:r>
      <w:r w:rsidRPr="006847E6">
        <w:t>group membership</w:t>
      </w:r>
      <w:bookmarkEnd w:id="70"/>
    </w:p>
    <w:p w14:paraId="54CCD783" w14:textId="22DC417E" w:rsidR="006406AB" w:rsidRPr="002F3A26" w:rsidRDefault="00E76F53" w:rsidP="006406AB">
      <w:r>
        <w:rPr>
          <w:noProof/>
          <w14:ligatures w14:val="standardContextual"/>
        </w:rPr>
        <w:drawing>
          <wp:inline distT="0" distB="0" distL="0" distR="0" wp14:anchorId="76C93A7D" wp14:editId="651B3450">
            <wp:extent cx="5731510" cy="7161530"/>
            <wp:effectExtent l="0" t="0" r="0" b="0"/>
            <wp:docPr id="1670313223" name="Picture 13" descr="Figure 11 shows the adjusted percentage of students enrolled in various fields of study, comparing those from equity groups (EG) with those not in equity groups (non-EG). While enrolment patterns are broadly similar across groups, some differences appear—for example, equity group students are more represented in Education and Other Health, while non-EG students are more represented in Management &amp; Commerce and Natural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3223" name="Picture 13" descr="Figure 11 shows the adjusted percentage of students enrolled in various fields of study, comparing those from equity groups (EG) with those not in equity groups (non-EG). While enrolment patterns are broadly similar across groups, some differences appear—for example, equity group students are more represented in Education and Other Health, while non-EG students are more represented in Management &amp; Commerce and Natural Science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7161530"/>
                    </a:xfrm>
                    <a:prstGeom prst="rect">
                      <a:avLst/>
                    </a:prstGeom>
                  </pic:spPr>
                </pic:pic>
              </a:graphicData>
            </a:graphic>
          </wp:inline>
        </w:drawing>
      </w:r>
    </w:p>
    <w:p w14:paraId="5174A6C3" w14:textId="5C478257" w:rsidR="006406AB" w:rsidRPr="002F3A26" w:rsidRDefault="006406AB" w:rsidP="006406AB">
      <w:pPr>
        <w:pStyle w:val="Notes"/>
        <w:rPr>
          <w:rFonts w:cstheme="minorHAnsi"/>
        </w:rPr>
      </w:pPr>
      <w:r w:rsidRPr="002F3A26">
        <w:t xml:space="preserve">Notes: Data from PLIDA. </w:t>
      </w:r>
      <w:r w:rsidR="00807B56">
        <w:t xml:space="preserve">EG: equity group.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Pr="002F3A26">
        <w:rPr>
          <w:rFonts w:cstheme="minorHAnsi"/>
        </w:rPr>
        <w:t>in</w:t>
      </w:r>
      <w:r w:rsidR="006847E6">
        <w:rPr>
          <w:rFonts w:cstheme="minorHAnsi"/>
        </w:rPr>
        <w:t xml:space="preserve"> </w:t>
      </w:r>
      <w:r w:rsidR="006847E6">
        <w:rPr>
          <w:rFonts w:cstheme="minorHAnsi"/>
        </w:rPr>
        <w:fldChar w:fldCharType="begin"/>
      </w:r>
      <w:r w:rsidR="006847E6">
        <w:rPr>
          <w:rFonts w:cstheme="minorHAnsi"/>
        </w:rPr>
        <w:instrText xml:space="preserve"> REF _Ref191531049 \h </w:instrText>
      </w:r>
      <w:r w:rsidR="006847E6">
        <w:rPr>
          <w:rFonts w:cstheme="minorHAnsi"/>
        </w:rPr>
      </w:r>
      <w:r w:rsidR="006847E6">
        <w:rPr>
          <w:rFonts w:cstheme="minorHAnsi"/>
        </w:rPr>
        <w:fldChar w:fldCharType="separate"/>
      </w:r>
      <w:r w:rsidR="00627572">
        <w:t xml:space="preserve">Table </w:t>
      </w:r>
      <w:r w:rsidR="00627572">
        <w:rPr>
          <w:noProof/>
        </w:rPr>
        <w:t>B</w:t>
      </w:r>
      <w:r w:rsidR="00627572">
        <w:noBreakHyphen/>
      </w:r>
      <w:r w:rsidR="00627572">
        <w:rPr>
          <w:noProof/>
        </w:rPr>
        <w:t>5</w:t>
      </w:r>
      <w:r w:rsidR="006847E6">
        <w:rPr>
          <w:rFonts w:cstheme="minorHAnsi"/>
        </w:rPr>
        <w:fldChar w:fldCharType="end"/>
      </w:r>
      <w:r w:rsidR="006847E6">
        <w:rPr>
          <w:rFonts w:cstheme="minorHAnsi"/>
        </w:rPr>
        <w:t xml:space="preserve"> </w:t>
      </w:r>
      <w:r w:rsidR="006847E6" w:rsidRPr="006847E6">
        <w:rPr>
          <w:rFonts w:cstheme="minorHAnsi"/>
        </w:rPr>
        <w:t xml:space="preserve">in </w:t>
      </w:r>
      <w:r w:rsidR="00500DF0" w:rsidRPr="006847E6">
        <w:fldChar w:fldCharType="begin"/>
      </w:r>
      <w:r w:rsidR="00500DF0" w:rsidRPr="006847E6">
        <w:instrText xml:space="preserve"> REF _Ref191461978 \n \h </w:instrText>
      </w:r>
      <w:r w:rsidR="006847E6">
        <w:instrText xml:space="preserve"> \* MERGEFORMAT </w:instrText>
      </w:r>
      <w:r w:rsidR="00500DF0" w:rsidRPr="006847E6">
        <w:fldChar w:fldCharType="separate"/>
      </w:r>
      <w:r w:rsidR="00627572">
        <w:t>Appendix B</w:t>
      </w:r>
      <w:r w:rsidR="00500DF0" w:rsidRPr="006847E6">
        <w:fldChar w:fldCharType="end"/>
      </w:r>
      <w:r w:rsidR="00807B56">
        <w:t>.</w:t>
      </w:r>
    </w:p>
    <w:p w14:paraId="11857AC2" w14:textId="04B7206E" w:rsidR="008C37DC" w:rsidRPr="002F3A26" w:rsidRDefault="0010692C" w:rsidP="0010692C">
      <w:r w:rsidRPr="002F3A26">
        <w:lastRenderedPageBreak/>
        <w:t>In the next step, the moderating effects of equity group membership</w:t>
      </w:r>
      <w:r w:rsidR="00AA485C">
        <w:t xml:space="preserve"> were investigated</w:t>
      </w:r>
      <w:r w:rsidRPr="002F3A26">
        <w:t xml:space="preserve">. </w:t>
      </w:r>
      <w:r w:rsidR="005E75D3">
        <w:t>T</w:t>
      </w:r>
      <w:r w:rsidRPr="002F3A26">
        <w:t xml:space="preserve">he results from </w:t>
      </w:r>
      <w:r w:rsidR="003B5F4F">
        <w:t>M</w:t>
      </w:r>
      <w:r w:rsidRPr="006847E6">
        <w:t xml:space="preserve">odel IX (available in </w:t>
      </w:r>
      <w:r w:rsidR="006847E6" w:rsidRPr="006847E6">
        <w:fldChar w:fldCharType="begin"/>
      </w:r>
      <w:r w:rsidR="006847E6" w:rsidRPr="006847E6">
        <w:instrText xml:space="preserve"> REF _Ref191531901 \h </w:instrText>
      </w:r>
      <w:r w:rsidR="006847E6">
        <w:instrText xml:space="preserve"> \* MERGEFORMAT </w:instrText>
      </w:r>
      <w:r w:rsidR="006847E6" w:rsidRPr="006847E6">
        <w:fldChar w:fldCharType="separate"/>
      </w:r>
      <w:r w:rsidR="00627572">
        <w:t xml:space="preserve">Table </w:t>
      </w:r>
      <w:r w:rsidR="00627572">
        <w:rPr>
          <w:noProof/>
        </w:rPr>
        <w:t>B</w:t>
      </w:r>
      <w:r w:rsidR="00627572">
        <w:rPr>
          <w:noProof/>
        </w:rPr>
        <w:noBreakHyphen/>
        <w:t>6</w:t>
      </w:r>
      <w:r w:rsidR="006847E6" w:rsidRPr="006847E6">
        <w:fldChar w:fldCharType="end"/>
      </w:r>
      <w:r w:rsidR="00500DF0" w:rsidRPr="006847E6">
        <w:t xml:space="preserve"> in </w:t>
      </w:r>
      <w:r w:rsidR="00500DF0" w:rsidRPr="006847E6">
        <w:fldChar w:fldCharType="begin"/>
      </w:r>
      <w:r w:rsidR="00500DF0" w:rsidRPr="006847E6">
        <w:instrText xml:space="preserve"> REF _Ref191461978 \n \h </w:instrText>
      </w:r>
      <w:r w:rsidR="006847E6">
        <w:instrText xml:space="preserve"> \* MERGEFORMAT </w:instrText>
      </w:r>
      <w:r w:rsidR="00500DF0" w:rsidRPr="006847E6">
        <w:fldChar w:fldCharType="separate"/>
      </w:r>
      <w:r w:rsidR="00627572">
        <w:t>Appendix B</w:t>
      </w:r>
      <w:r w:rsidR="00500DF0" w:rsidRPr="006847E6">
        <w:fldChar w:fldCharType="end"/>
      </w:r>
      <w:r w:rsidRPr="006847E6">
        <w:t xml:space="preserve">) </w:t>
      </w:r>
      <w:r w:rsidR="005E75D3">
        <w:t xml:space="preserve">were used </w:t>
      </w:r>
      <w:r w:rsidRPr="006847E6">
        <w:t>to calculate</w:t>
      </w:r>
      <w:r w:rsidRPr="002F3A26">
        <w:t xml:space="preserve"> predicted probabilities and average marginal effects for combinations of </w:t>
      </w:r>
      <w:r w:rsidR="003B5F4F">
        <w:t>FiF</w:t>
      </w:r>
      <w:r w:rsidR="003B5F4F" w:rsidRPr="002F3A26">
        <w:t xml:space="preserve"> </w:t>
      </w:r>
      <w:r w:rsidRPr="002F3A26">
        <w:t>status and equity group membership</w:t>
      </w:r>
      <w:r w:rsidR="00C94C62">
        <w:t>—</w:t>
      </w:r>
      <w:r w:rsidRPr="002F3A26">
        <w:t>for example</w:t>
      </w:r>
      <w:r w:rsidR="003B5F4F">
        <w:t>,</w:t>
      </w:r>
      <w:r w:rsidRPr="002F3A26">
        <w:t xml:space="preserve"> </w:t>
      </w:r>
      <w:r w:rsidR="003B5F4F">
        <w:t>FiF</w:t>
      </w:r>
      <w:r w:rsidR="003B5F4F" w:rsidRPr="002F3A26">
        <w:t xml:space="preserve"> </w:t>
      </w:r>
      <w:r w:rsidR="003B5F4F">
        <w:t>students</w:t>
      </w:r>
      <w:r w:rsidRPr="002F3A26">
        <w:t xml:space="preserve"> who also came from low</w:t>
      </w:r>
      <w:r w:rsidR="00C94C62">
        <w:t xml:space="preserve"> </w:t>
      </w:r>
      <w:r w:rsidRPr="002F3A26">
        <w:t xml:space="preserve">SES areas and </w:t>
      </w:r>
      <w:r w:rsidR="003B5F4F">
        <w:t>FiF</w:t>
      </w:r>
      <w:r w:rsidRPr="002F3A26">
        <w:t xml:space="preserve"> students who did not come from low</w:t>
      </w:r>
      <w:r w:rsidR="00C94C62">
        <w:t xml:space="preserve"> </w:t>
      </w:r>
      <w:r w:rsidRPr="002F3A26">
        <w:t xml:space="preserve">SES areas. </w:t>
      </w:r>
      <w:r w:rsidR="00745C32" w:rsidRPr="003B5F4F">
        <w:fldChar w:fldCharType="begin"/>
      </w:r>
      <w:r w:rsidR="00745C32" w:rsidRPr="003B5F4F">
        <w:instrText xml:space="preserve"> REF _Ref191540539 \h </w:instrText>
      </w:r>
      <w:r w:rsidR="003B5F4F">
        <w:instrText xml:space="preserve"> \* MERGEFORMAT </w:instrText>
      </w:r>
      <w:r w:rsidR="00745C32" w:rsidRPr="003B5F4F">
        <w:fldChar w:fldCharType="separate"/>
      </w:r>
      <w:r w:rsidR="00627572">
        <w:t xml:space="preserve">Figure </w:t>
      </w:r>
      <w:r w:rsidR="00627572">
        <w:rPr>
          <w:noProof/>
        </w:rPr>
        <w:t>B</w:t>
      </w:r>
      <w:r w:rsidR="00627572">
        <w:rPr>
          <w:noProof/>
        </w:rPr>
        <w:noBreakHyphen/>
        <w:t>1</w:t>
      </w:r>
      <w:r w:rsidR="00745C32" w:rsidRPr="003B5F4F">
        <w:fldChar w:fldCharType="end"/>
      </w:r>
      <w:r w:rsidR="00500DF0" w:rsidRPr="003B5F4F">
        <w:t xml:space="preserve"> in </w:t>
      </w:r>
      <w:r w:rsidR="00500DF0" w:rsidRPr="003B5F4F">
        <w:fldChar w:fldCharType="begin"/>
      </w:r>
      <w:r w:rsidR="00500DF0" w:rsidRPr="003B5F4F">
        <w:instrText xml:space="preserve"> REF _Ref191461978 \n \h </w:instrText>
      </w:r>
      <w:r w:rsidR="003B5F4F">
        <w:instrText xml:space="preserve"> \* MERGEFORMAT </w:instrText>
      </w:r>
      <w:r w:rsidR="00500DF0" w:rsidRPr="003B5F4F">
        <w:fldChar w:fldCharType="separate"/>
      </w:r>
      <w:r w:rsidR="00627572">
        <w:t>Appendix B</w:t>
      </w:r>
      <w:r w:rsidR="00500DF0" w:rsidRPr="003B5F4F">
        <w:fldChar w:fldCharType="end"/>
      </w:r>
      <w:r w:rsidRPr="002F3A26">
        <w:t xml:space="preserve"> presents the predicted probabilities. The AMEs are shown below in </w:t>
      </w:r>
      <w:r w:rsidR="00B05225" w:rsidRPr="002F3A26">
        <w:fldChar w:fldCharType="begin"/>
      </w:r>
      <w:r w:rsidR="00B05225" w:rsidRPr="002F3A26">
        <w:instrText xml:space="preserve"> REF _Ref190009586 \h </w:instrText>
      </w:r>
      <w:r w:rsidR="00B05225" w:rsidRPr="002F3A26">
        <w:fldChar w:fldCharType="separate"/>
      </w:r>
      <w:r w:rsidR="00627572" w:rsidRPr="002F3A26">
        <w:t xml:space="preserve">Figure </w:t>
      </w:r>
      <w:r w:rsidR="00627572">
        <w:rPr>
          <w:noProof/>
        </w:rPr>
        <w:t>12</w:t>
      </w:r>
      <w:r w:rsidR="00B05225" w:rsidRPr="002F3A26">
        <w:fldChar w:fldCharType="end"/>
      </w:r>
      <w:r w:rsidR="00B05225" w:rsidRPr="002F3A26">
        <w:t xml:space="preserve">. The bars represent how much </w:t>
      </w:r>
      <w:r w:rsidR="003B5F4F">
        <w:t>FiF</w:t>
      </w:r>
      <w:r w:rsidR="003B5F4F" w:rsidRPr="002F3A26">
        <w:t xml:space="preserve"> </w:t>
      </w:r>
      <w:r w:rsidR="00B05225" w:rsidRPr="002F3A26">
        <w:t>status increase</w:t>
      </w:r>
      <w:r w:rsidR="00CF0D3B">
        <w:t>d</w:t>
      </w:r>
      <w:r w:rsidR="00B05225" w:rsidRPr="002F3A26">
        <w:t xml:space="preserve"> or </w:t>
      </w:r>
      <w:r w:rsidR="00CF0D3B">
        <w:t>decreased</w:t>
      </w:r>
      <w:r w:rsidR="00B05225" w:rsidRPr="002F3A26">
        <w:t xml:space="preserve"> the average predicted probability of enrolling in a given field for members and non</w:t>
      </w:r>
      <w:r w:rsidR="00142717" w:rsidRPr="002F3A26">
        <w:t xml:space="preserve">-members of the equity group listed on the right-hand side of the plot. For example, the first two values from the top left show the drop in predicted proportion associated with </w:t>
      </w:r>
      <w:r w:rsidR="003B5F4F">
        <w:t>FiF</w:t>
      </w:r>
      <w:r w:rsidR="003B5F4F" w:rsidRPr="002F3A26">
        <w:t xml:space="preserve"> </w:t>
      </w:r>
      <w:r w:rsidR="00142717" w:rsidRPr="002F3A26">
        <w:t>status among low</w:t>
      </w:r>
      <w:r w:rsidR="00C94C62">
        <w:t xml:space="preserve"> </w:t>
      </w:r>
      <w:r w:rsidR="00142717" w:rsidRPr="002F3A26">
        <w:t>SES students (-2.7 pp) and non-low</w:t>
      </w:r>
      <w:r w:rsidR="00C94C62">
        <w:t xml:space="preserve"> </w:t>
      </w:r>
      <w:r w:rsidR="00142717" w:rsidRPr="002F3A26">
        <w:t xml:space="preserve">SES students (-3.1 pp), suggesting that the effect of </w:t>
      </w:r>
      <w:r w:rsidR="003B5F4F">
        <w:t>FiF</w:t>
      </w:r>
      <w:r w:rsidR="003B5F4F" w:rsidRPr="002F3A26">
        <w:t xml:space="preserve"> </w:t>
      </w:r>
      <w:r w:rsidR="00142717" w:rsidRPr="002F3A26">
        <w:t>status is slightly larger among students who did not come from low</w:t>
      </w:r>
      <w:r w:rsidR="00C94C62">
        <w:t xml:space="preserve"> </w:t>
      </w:r>
      <w:r w:rsidR="00142717" w:rsidRPr="002F3A26">
        <w:t>SES backgrounds.</w:t>
      </w:r>
    </w:p>
    <w:p w14:paraId="66870B61" w14:textId="1E467923" w:rsidR="008C37DC" w:rsidRPr="002F3A26" w:rsidRDefault="001333B4" w:rsidP="001333B4">
      <w:r w:rsidRPr="002F3A26">
        <w:t>The moderating effects of Indigenous</w:t>
      </w:r>
      <w:r w:rsidR="008C37DC" w:rsidRPr="002F3A26">
        <w:t xml:space="preserve"> </w:t>
      </w:r>
      <w:r w:rsidRPr="002F3A26">
        <w:t>status</w:t>
      </w:r>
      <w:r w:rsidR="008C37DC" w:rsidRPr="002F3A26">
        <w:t>, disability</w:t>
      </w:r>
      <w:r w:rsidRPr="002F3A26">
        <w:t>, NESB, and low</w:t>
      </w:r>
      <w:r w:rsidR="00C94C62">
        <w:t xml:space="preserve"> </w:t>
      </w:r>
      <w:r w:rsidRPr="002F3A26">
        <w:t xml:space="preserve">SES background were </w:t>
      </w:r>
      <w:r w:rsidR="00872316" w:rsidRPr="002F3A26">
        <w:t xml:space="preserve">not </w:t>
      </w:r>
      <w:r w:rsidRPr="002F3A26">
        <w:t>particularly strong. There were some exceptions</w:t>
      </w:r>
      <w:r w:rsidR="00C94C62">
        <w:t xml:space="preserve">—for example, </w:t>
      </w:r>
      <w:r w:rsidRPr="002F3A26">
        <w:t>education in the case of NESB and low</w:t>
      </w:r>
      <w:r w:rsidR="002F6929">
        <w:t xml:space="preserve"> </w:t>
      </w:r>
      <w:r w:rsidRPr="002F3A26">
        <w:t xml:space="preserve">SES students or society and culture in the case of students with disability. However, most of the time, </w:t>
      </w:r>
      <w:r w:rsidR="007C6A8F" w:rsidRPr="002F3A26">
        <w:t xml:space="preserve">the effects of </w:t>
      </w:r>
      <w:r w:rsidR="003B5F4F">
        <w:t>FiF</w:t>
      </w:r>
      <w:r w:rsidR="003B5F4F" w:rsidRPr="002F3A26">
        <w:t xml:space="preserve"> </w:t>
      </w:r>
      <w:r w:rsidR="007C6A8F" w:rsidRPr="002F3A26">
        <w:t>status did not differ significantly between equity group members and their non-equity group counterparts</w:t>
      </w:r>
      <w:r w:rsidR="00C94C62">
        <w:t>. T</w:t>
      </w:r>
      <w:r w:rsidR="00434585" w:rsidRPr="002F3A26">
        <w:t>he differences are small and mostly statistically non-significant.</w:t>
      </w:r>
    </w:p>
    <w:p w14:paraId="62CF036A" w14:textId="2807611E" w:rsidR="001E0586" w:rsidRPr="002F3A26" w:rsidRDefault="0069719F" w:rsidP="0010692C">
      <w:r w:rsidRPr="002F3A26">
        <w:t xml:space="preserve">The results looked different for </w:t>
      </w:r>
      <w:r w:rsidR="009F5FEC">
        <w:t>RR</w:t>
      </w:r>
      <w:r w:rsidRPr="002F3A26">
        <w:t xml:space="preserve"> and female students. In the case of </w:t>
      </w:r>
      <w:r w:rsidR="009F5FEC">
        <w:t>RR</w:t>
      </w:r>
      <w:r w:rsidRPr="002F3A26">
        <w:t xml:space="preserve"> students, t</w:t>
      </w:r>
      <w:r w:rsidR="003E723B" w:rsidRPr="002F3A26">
        <w:t xml:space="preserve">he differences in AMEs were statistically significant </w:t>
      </w:r>
      <w:r w:rsidRPr="002F3A26">
        <w:t xml:space="preserve">for </w:t>
      </w:r>
      <w:r w:rsidR="001E0586" w:rsidRPr="002F3A26">
        <w:t xml:space="preserve">architecture and building, agriculture, environmental and related studies, </w:t>
      </w:r>
      <w:r w:rsidRPr="002F3A26">
        <w:t xml:space="preserve">natural and physical sciences, management and </w:t>
      </w:r>
      <w:r w:rsidR="00501BF4">
        <w:t>commerce</w:t>
      </w:r>
      <w:r w:rsidRPr="002F3A26">
        <w:t xml:space="preserve">, creative arts, and medical studies. </w:t>
      </w:r>
      <w:r w:rsidR="003B5F4F">
        <w:t>FiF</w:t>
      </w:r>
      <w:r w:rsidR="003B5F4F" w:rsidRPr="002F3A26">
        <w:t xml:space="preserve"> </w:t>
      </w:r>
      <w:r w:rsidR="001E0586" w:rsidRPr="002F3A26">
        <w:t>status</w:t>
      </w:r>
      <w:r w:rsidR="006D53CA" w:rsidRPr="002F3A26">
        <w:t xml:space="preserve"> had a negative effect</w:t>
      </w:r>
      <w:r w:rsidR="001E0586" w:rsidRPr="002F3A26">
        <w:t xml:space="preserve"> </w:t>
      </w:r>
      <w:r w:rsidR="006D53CA" w:rsidRPr="002F3A26">
        <w:t xml:space="preserve">on enrolments in architecture and building among </w:t>
      </w:r>
      <w:r w:rsidR="009F5FEC">
        <w:t>RR</w:t>
      </w:r>
      <w:r w:rsidR="006D53CA" w:rsidRPr="002F3A26">
        <w:t xml:space="preserve"> </w:t>
      </w:r>
      <w:r w:rsidR="00501BF4">
        <w:t>students</w:t>
      </w:r>
      <w:r w:rsidR="006D53CA" w:rsidRPr="002F3A26">
        <w:t>, who were already underrepresented, and positive among others. In the case of agriculture, environmental and related studies</w:t>
      </w:r>
      <w:r w:rsidR="00CF0D3B">
        <w:t>,</w:t>
      </w:r>
      <w:r w:rsidR="006D53CA" w:rsidRPr="002F3A26">
        <w:t xml:space="preserve"> the effect of </w:t>
      </w:r>
      <w:r w:rsidR="003B5F4F">
        <w:t>FiF</w:t>
      </w:r>
      <w:r w:rsidR="003B5F4F" w:rsidRPr="002F3A26">
        <w:t xml:space="preserve"> </w:t>
      </w:r>
      <w:r w:rsidR="006D53CA" w:rsidRPr="002F3A26">
        <w:t xml:space="preserve">status </w:t>
      </w:r>
      <w:r w:rsidR="00CF0D3B">
        <w:t>was</w:t>
      </w:r>
      <w:r w:rsidR="006D53CA" w:rsidRPr="002F3A26">
        <w:t xml:space="preserve"> positive among </w:t>
      </w:r>
      <w:r w:rsidR="009F5FEC">
        <w:t>RR</w:t>
      </w:r>
      <w:r w:rsidR="006D53CA" w:rsidRPr="002F3A26">
        <w:t xml:space="preserve">, who </w:t>
      </w:r>
      <w:r w:rsidR="00CF0D3B">
        <w:t>were</w:t>
      </w:r>
      <w:r w:rsidR="006D53CA" w:rsidRPr="002F3A26">
        <w:t xml:space="preserve"> already overrepresented, and close to zero for others. In the case of other fields, </w:t>
      </w:r>
      <w:r w:rsidR="003B5F4F">
        <w:t>FiF</w:t>
      </w:r>
      <w:r w:rsidR="003B5F4F" w:rsidRPr="002F3A26">
        <w:t xml:space="preserve"> </w:t>
      </w:r>
      <w:r w:rsidR="006D53CA" w:rsidRPr="002F3A26">
        <w:t>status had a stronger negative effect on groups that were overrepresented, for example</w:t>
      </w:r>
      <w:r w:rsidR="00501BF4">
        <w:t>,</w:t>
      </w:r>
      <w:r w:rsidR="006D53CA" w:rsidRPr="002F3A26">
        <w:t xml:space="preserve"> non-</w:t>
      </w:r>
      <w:r w:rsidR="009F5FEC">
        <w:t>RR</w:t>
      </w:r>
      <w:r w:rsidR="006D53CA" w:rsidRPr="002F3A26">
        <w:t xml:space="preserve"> </w:t>
      </w:r>
      <w:r w:rsidR="00D23949" w:rsidRPr="002F3A26">
        <w:t>students’</w:t>
      </w:r>
      <w:r w:rsidR="006D53CA" w:rsidRPr="002F3A26">
        <w:t xml:space="preserve"> enrolments in natural and physical sciences, or a stronger positive effect among underrepresented groups.</w:t>
      </w:r>
    </w:p>
    <w:p w14:paraId="2BBCEBE6" w14:textId="763A537E" w:rsidR="003E723B" w:rsidRPr="002F3A26" w:rsidRDefault="00F06EE3" w:rsidP="00434585">
      <w:r w:rsidRPr="002F3A26">
        <w:t xml:space="preserve">In the case of female students, the differences in AMEs were statistically significant for six fields of study. The effects of </w:t>
      </w:r>
      <w:r w:rsidR="003B5F4F">
        <w:t>FiF</w:t>
      </w:r>
      <w:r w:rsidR="003B5F4F" w:rsidRPr="002F3A26">
        <w:t xml:space="preserve"> </w:t>
      </w:r>
      <w:r w:rsidRPr="002F3A26">
        <w:t xml:space="preserve">status on enrolments </w:t>
      </w:r>
      <w:r w:rsidR="007C210F" w:rsidRPr="002F3A26">
        <w:t xml:space="preserve">were more negative among women than men </w:t>
      </w:r>
      <w:r w:rsidRPr="002F3A26">
        <w:t xml:space="preserve">in </w:t>
      </w:r>
      <w:r w:rsidR="007C210F" w:rsidRPr="002F3A26">
        <w:t xml:space="preserve">the case of </w:t>
      </w:r>
      <w:r w:rsidRPr="002F3A26">
        <w:t>natural and physical sciences, information technology, and architecture and building</w:t>
      </w:r>
      <w:r w:rsidR="007C210F" w:rsidRPr="002F3A26">
        <w:t xml:space="preserve">, </w:t>
      </w:r>
      <w:r w:rsidRPr="002F3A26">
        <w:t>fields in which women were underrepresented. At the same</w:t>
      </w:r>
      <w:r w:rsidR="007C210F" w:rsidRPr="002F3A26">
        <w:t xml:space="preserve">, </w:t>
      </w:r>
      <w:r w:rsidR="003B5F4F">
        <w:t>FiF</w:t>
      </w:r>
      <w:r w:rsidR="007C210F" w:rsidRPr="002F3A26">
        <w:t xml:space="preserve"> status had a stronger positive effect </w:t>
      </w:r>
      <w:r w:rsidR="00501BF4">
        <w:t>among</w:t>
      </w:r>
      <w:r w:rsidR="007C210F" w:rsidRPr="002F3A26">
        <w:t xml:space="preserve"> female than male students </w:t>
      </w:r>
      <w:r w:rsidR="00501BF4">
        <w:t>on</w:t>
      </w:r>
      <w:r w:rsidR="007C210F" w:rsidRPr="002F3A26">
        <w:t xml:space="preserve"> proportions studying education and other health subjects, fields in which female students were overrepresented. In contrast, for enrolments in creative arts, </w:t>
      </w:r>
      <w:r w:rsidR="003B5F4F">
        <w:t>FiF</w:t>
      </w:r>
      <w:r w:rsidR="003B5F4F" w:rsidRPr="002F3A26">
        <w:t xml:space="preserve"> </w:t>
      </w:r>
      <w:r w:rsidR="007C210F" w:rsidRPr="002F3A26">
        <w:t>status had a negative effect among women, who were already underrepresented, and positive among men.</w:t>
      </w:r>
    </w:p>
    <w:p w14:paraId="52D1D09D" w14:textId="7958B69A" w:rsidR="0010692C" w:rsidRPr="002F3A26" w:rsidRDefault="0010692C" w:rsidP="00D23949">
      <w:pPr>
        <w:pStyle w:val="Caption"/>
      </w:pPr>
      <w:bookmarkStart w:id="71" w:name="_Ref190009586"/>
      <w:bookmarkStart w:id="72" w:name="_Toc201760817"/>
      <w:r w:rsidRPr="002F3A26">
        <w:lastRenderedPageBreak/>
        <w:t xml:space="preserve">Figure </w:t>
      </w:r>
      <w:fldSimple w:instr=" SEQ Figure \* ARABIC ">
        <w:r w:rsidR="00627572">
          <w:rPr>
            <w:noProof/>
          </w:rPr>
          <w:t>12</w:t>
        </w:r>
      </w:fldSimple>
      <w:bookmarkEnd w:id="71"/>
      <w:r w:rsidR="00C94C62">
        <w:rPr>
          <w:noProof/>
        </w:rPr>
        <w:t>:</w:t>
      </w:r>
      <w:r w:rsidRPr="002F3A26">
        <w:t xml:space="preserve"> </w:t>
      </w:r>
      <w:r w:rsidRPr="00745C32">
        <w:t xml:space="preserve">Average marginal effects of </w:t>
      </w:r>
      <w:r w:rsidR="00E61E05">
        <w:t>First-in-Family</w:t>
      </w:r>
      <w:r w:rsidRPr="00745C32">
        <w:t xml:space="preserve"> status on </w:t>
      </w:r>
      <w:r w:rsidR="0024343F" w:rsidRPr="00745C32">
        <w:t>field of study</w:t>
      </w:r>
      <w:r w:rsidRPr="00745C32">
        <w:t xml:space="preserve"> by equity</w:t>
      </w:r>
      <w:r w:rsidR="00C94C62">
        <w:t xml:space="preserve"> </w:t>
      </w:r>
      <w:r w:rsidRPr="00745C32">
        <w:t>group membership</w:t>
      </w:r>
      <w:bookmarkEnd w:id="72"/>
    </w:p>
    <w:p w14:paraId="563CF6DE" w14:textId="60B691C0" w:rsidR="0010692C" w:rsidRPr="002F3A26" w:rsidRDefault="008D407A" w:rsidP="0010692C">
      <w:r>
        <w:rPr>
          <w:noProof/>
          <w14:ligatures w14:val="standardContextual"/>
        </w:rPr>
        <w:drawing>
          <wp:inline distT="0" distB="0" distL="0" distR="0" wp14:anchorId="57025D39" wp14:editId="655ABD40">
            <wp:extent cx="5731510" cy="7161530"/>
            <wp:effectExtent l="0" t="0" r="0" b="0"/>
            <wp:docPr id="970556722" name="Picture 15" descr="Figure 12 illustrates the average marginal effect of First-in-Family status on field of study for both members and non-members of equity groups  (low SES, RR, Indigenous, people with disability, women, and NE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56722" name="Picture 15" descr="Figure 12 illustrates the average marginal effect of First-in-Family status on field of study for both members and non-members of equity groups  (low SES, RR, Indigenous, people with disability, women, and NESB)."/>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7161530"/>
                    </a:xfrm>
                    <a:prstGeom prst="rect">
                      <a:avLst/>
                    </a:prstGeom>
                  </pic:spPr>
                </pic:pic>
              </a:graphicData>
            </a:graphic>
          </wp:inline>
        </w:drawing>
      </w:r>
    </w:p>
    <w:p w14:paraId="7485F9EC" w14:textId="696932AF" w:rsidR="0010692C" w:rsidRPr="002F3A26" w:rsidRDefault="0010692C" w:rsidP="00745C32">
      <w:pPr>
        <w:pStyle w:val="Notes"/>
      </w:pPr>
      <w:r w:rsidRPr="002F3A26">
        <w:t>Notes: Data from PLIDA.</w:t>
      </w:r>
      <w:r w:rsidR="00C94C62">
        <w:t xml:space="preserve"> EG: equity group.</w:t>
      </w:r>
      <w:r w:rsidRPr="002F3A26">
        <w:t xml:space="preserve"> </w:t>
      </w:r>
      <w:r w:rsidR="00E61E05">
        <w:t>FiF: First-in-Family status</w:t>
      </w:r>
      <w:r w:rsidRPr="002F3A26">
        <w:t>. SES: socio</w:t>
      </w:r>
      <w:r w:rsidR="00EF5932">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00745C32" w:rsidRPr="002F3A26">
        <w:rPr>
          <w:rFonts w:cstheme="minorHAnsi"/>
        </w:rPr>
        <w:t>in</w:t>
      </w:r>
      <w:r w:rsidR="00745C32">
        <w:rPr>
          <w:rFonts w:cstheme="minorHAnsi"/>
        </w:rPr>
        <w:t xml:space="preserve"> </w:t>
      </w:r>
      <w:r w:rsidR="00745C32" w:rsidRPr="006847E6">
        <w:fldChar w:fldCharType="begin"/>
      </w:r>
      <w:r w:rsidR="00745C32" w:rsidRPr="006847E6">
        <w:instrText xml:space="preserve"> REF _Ref191531901 \h </w:instrText>
      </w:r>
      <w:r w:rsidR="00745C32">
        <w:instrText xml:space="preserve"> \* MERGEFORMAT </w:instrText>
      </w:r>
      <w:r w:rsidR="00745C32" w:rsidRPr="006847E6">
        <w:fldChar w:fldCharType="separate"/>
      </w:r>
      <w:r w:rsidR="00627572">
        <w:t xml:space="preserve">Table </w:t>
      </w:r>
      <w:r w:rsidR="00627572">
        <w:rPr>
          <w:noProof/>
        </w:rPr>
        <w:t>B</w:t>
      </w:r>
      <w:r w:rsidR="00627572">
        <w:rPr>
          <w:noProof/>
        </w:rPr>
        <w:noBreakHyphen/>
        <w:t>6</w:t>
      </w:r>
      <w:r w:rsidR="00745C32" w:rsidRPr="006847E6">
        <w:fldChar w:fldCharType="end"/>
      </w:r>
      <w:r w:rsidR="00745C32">
        <w:rPr>
          <w:rFonts w:cstheme="minorHAnsi"/>
        </w:rPr>
        <w:t xml:space="preserve"> </w:t>
      </w:r>
      <w:r w:rsidR="00745C32" w:rsidRPr="006847E6">
        <w:rPr>
          <w:rFonts w:cstheme="minorHAnsi"/>
        </w:rPr>
        <w:t xml:space="preserve">in </w:t>
      </w:r>
      <w:r w:rsidR="00745C32" w:rsidRPr="006847E6">
        <w:fldChar w:fldCharType="begin"/>
      </w:r>
      <w:r w:rsidR="00745C32" w:rsidRPr="006847E6">
        <w:instrText xml:space="preserve"> REF _Ref191461978 \n \h </w:instrText>
      </w:r>
      <w:r w:rsidR="00745C32">
        <w:instrText xml:space="preserve"> \* MERGEFORMAT </w:instrText>
      </w:r>
      <w:r w:rsidR="00745C32" w:rsidRPr="006847E6">
        <w:fldChar w:fldCharType="separate"/>
      </w:r>
      <w:r w:rsidR="00627572">
        <w:t>Appendix B</w:t>
      </w:r>
      <w:r w:rsidR="00745C32" w:rsidRPr="006847E6">
        <w:fldChar w:fldCharType="end"/>
      </w:r>
      <w:r w:rsidR="00C94C62">
        <w:t>.</w:t>
      </w:r>
    </w:p>
    <w:p w14:paraId="1A69348E" w14:textId="77777777" w:rsidR="00B24DFD" w:rsidRDefault="00B24DFD">
      <w:pPr>
        <w:spacing w:line="259" w:lineRule="auto"/>
      </w:pPr>
      <w:r>
        <w:br w:type="page"/>
      </w:r>
    </w:p>
    <w:p w14:paraId="5D1AF92C" w14:textId="37D4C16D" w:rsidR="00954558" w:rsidRPr="00954558" w:rsidRDefault="00115C13" w:rsidP="00E252BE">
      <w:r>
        <w:lastRenderedPageBreak/>
        <w:t>A</w:t>
      </w:r>
      <w:r w:rsidR="00954558" w:rsidRPr="00954558">
        <w:t>dditional analyses explored the effects of FiF status and equity</w:t>
      </w:r>
      <w:r w:rsidR="00C94C62">
        <w:t xml:space="preserve"> </w:t>
      </w:r>
      <w:r w:rsidR="00954558" w:rsidRPr="00954558">
        <w:t xml:space="preserve">group membership on fields of study </w:t>
      </w:r>
      <w:r w:rsidR="00C94C62">
        <w:t>chosen</w:t>
      </w:r>
      <w:r w:rsidR="00C94C62" w:rsidRPr="00954558">
        <w:t xml:space="preserve"> </w:t>
      </w:r>
      <w:r w:rsidR="00954558" w:rsidRPr="00954558">
        <w:t xml:space="preserve">at selective institutions. The distribution of fields among students of selective institutions </w:t>
      </w:r>
      <w:r w:rsidR="00501BF4">
        <w:t>was</w:t>
      </w:r>
      <w:r w:rsidR="00954558" w:rsidRPr="00954558">
        <w:t xml:space="preserve"> somewhat different from that among </w:t>
      </w:r>
      <w:r w:rsidR="00501BF4">
        <w:t xml:space="preserve">the </w:t>
      </w:r>
      <w:r w:rsidR="00954558" w:rsidRPr="00954558">
        <w:t xml:space="preserve">student population in general. While there were some differences in the patterns of over and underrepresentation of students from various disadvantaged backgrounds compared to the results presented above, the overall conclusions were similar. The tables and figures with the results are available in </w:t>
      </w:r>
      <w:r w:rsidR="000072FD">
        <w:t>Appendix C</w:t>
      </w:r>
      <w:r w:rsidR="00954558" w:rsidRPr="00954558">
        <w:t>.</w:t>
      </w:r>
    </w:p>
    <w:p w14:paraId="63664CB8" w14:textId="77777777" w:rsidR="009D6D47" w:rsidRPr="002F3A26" w:rsidRDefault="009D6D47">
      <w:pPr>
        <w:spacing w:line="259" w:lineRule="auto"/>
      </w:pPr>
      <w:r w:rsidRPr="002F3A26">
        <w:br w:type="page"/>
      </w:r>
    </w:p>
    <w:p w14:paraId="669A1DA9" w14:textId="77777777" w:rsidR="009D6D47" w:rsidRPr="002F3A26" w:rsidRDefault="009D6D47" w:rsidP="00942F29">
      <w:pPr>
        <w:pStyle w:val="Heading1"/>
      </w:pPr>
      <w:bookmarkStart w:id="73" w:name="_Toc202791808"/>
      <w:r w:rsidRPr="002F3A26">
        <w:lastRenderedPageBreak/>
        <w:t>Discussion</w:t>
      </w:r>
      <w:bookmarkEnd w:id="73"/>
    </w:p>
    <w:p w14:paraId="614A149F" w14:textId="4AF66F0B" w:rsidR="004D1D42" w:rsidRDefault="004D1D42" w:rsidP="004D1D42">
      <w:r>
        <w:t xml:space="preserve">This </w:t>
      </w:r>
      <w:r w:rsidR="003A620C">
        <w:t>study</w:t>
      </w:r>
      <w:r>
        <w:t xml:space="preserve"> </w:t>
      </w:r>
      <w:r w:rsidR="00B7724E">
        <w:t>presents</w:t>
      </w:r>
      <w:r>
        <w:t xml:space="preserve"> robust empirical evidence on the educational disadvantage of young people whose parents </w:t>
      </w:r>
      <w:r w:rsidR="00C76840">
        <w:t xml:space="preserve">did </w:t>
      </w:r>
      <w:r>
        <w:t xml:space="preserve">not attend university and </w:t>
      </w:r>
      <w:r w:rsidR="000B0149">
        <w:t xml:space="preserve">confirms </w:t>
      </w:r>
      <w:r>
        <w:t xml:space="preserve">the </w:t>
      </w:r>
      <w:r w:rsidRPr="00771FD0">
        <w:t xml:space="preserve">relevance of </w:t>
      </w:r>
      <w:r w:rsidR="007847D3">
        <w:t>FiF</w:t>
      </w:r>
      <w:r>
        <w:t xml:space="preserve"> status</w:t>
      </w:r>
      <w:r w:rsidRPr="00771FD0">
        <w:t xml:space="preserve"> </w:t>
      </w:r>
      <w:r>
        <w:t>to</w:t>
      </w:r>
      <w:r w:rsidRPr="00771FD0">
        <w:t xml:space="preserve"> </w:t>
      </w:r>
      <w:r>
        <w:t>Australia’s</w:t>
      </w:r>
      <w:r w:rsidRPr="00771FD0">
        <w:t xml:space="preserve"> </w:t>
      </w:r>
      <w:r>
        <w:t>higher education e</w:t>
      </w:r>
      <w:r w:rsidRPr="00771FD0">
        <w:t xml:space="preserve">quity </w:t>
      </w:r>
      <w:r>
        <w:t>f</w:t>
      </w:r>
      <w:r w:rsidRPr="00771FD0">
        <w:t>ramework</w:t>
      </w:r>
      <w:r>
        <w:t xml:space="preserve">. </w:t>
      </w:r>
      <w:r w:rsidR="000560EA">
        <w:t>The</w:t>
      </w:r>
      <w:r>
        <w:t xml:space="preserve"> analysis utilised novel and powerful linked administrative data to shed light on how </w:t>
      </w:r>
      <w:r w:rsidR="00501BF4">
        <w:t>FiF</w:t>
      </w:r>
      <w:r>
        <w:t xml:space="preserve"> status impacts university enrolments.</w:t>
      </w:r>
    </w:p>
    <w:p w14:paraId="1B8E8856" w14:textId="2354C4A1" w:rsidR="004D1D42" w:rsidRDefault="004D1D42" w:rsidP="004D1D42">
      <w:r>
        <w:t xml:space="preserve">The first part of the analysis focused on the </w:t>
      </w:r>
      <w:r w:rsidR="00CA6B25">
        <w:t xml:space="preserve">link </w:t>
      </w:r>
      <w:r>
        <w:t xml:space="preserve">between equity groups and </w:t>
      </w:r>
      <w:r w:rsidR="00501BF4">
        <w:t xml:space="preserve">FiF </w:t>
      </w:r>
      <w:r>
        <w:t xml:space="preserve">status. It documented significant overlaps between FiF status and four equity groups: </w:t>
      </w:r>
      <w:r w:rsidR="00CC2E42">
        <w:t>people</w:t>
      </w:r>
      <w:r>
        <w:t xml:space="preserve"> from low SES backgrounds, </w:t>
      </w:r>
      <w:r w:rsidR="00CC2E42">
        <w:t xml:space="preserve">people from </w:t>
      </w:r>
      <w:r w:rsidR="009F5FEC">
        <w:t>RR</w:t>
      </w:r>
      <w:r>
        <w:t xml:space="preserve"> areas, Indigenous</w:t>
      </w:r>
      <w:r w:rsidR="00CC2E42">
        <w:t xml:space="preserve"> people</w:t>
      </w:r>
      <w:r>
        <w:t xml:space="preserve">, and </w:t>
      </w:r>
      <w:r w:rsidR="00CC2E42">
        <w:t>people</w:t>
      </w:r>
      <w:r w:rsidR="00501BF4">
        <w:t xml:space="preserve"> </w:t>
      </w:r>
      <w:r>
        <w:t xml:space="preserve">with disability. The overlaps were particularly large for Indigenous and </w:t>
      </w:r>
      <w:r w:rsidR="009E515C">
        <w:t>low</w:t>
      </w:r>
      <w:r w:rsidR="00384C73">
        <w:t xml:space="preserve"> </w:t>
      </w:r>
      <w:r>
        <w:t xml:space="preserve">SES, nearly 90% </w:t>
      </w:r>
      <w:r w:rsidR="00967022">
        <w:t xml:space="preserve">of whom </w:t>
      </w:r>
      <w:r>
        <w:t xml:space="preserve">belonged to the FiF category. However, over </w:t>
      </w:r>
      <w:r w:rsidR="00501BF4">
        <w:t>two-thirds</w:t>
      </w:r>
      <w:r>
        <w:t xml:space="preserve"> of the sample were classified as FiF</w:t>
      </w:r>
      <w:r w:rsidR="00501BF4">
        <w:t>,</w:t>
      </w:r>
      <w:r>
        <w:t xml:space="preserve"> compared to 18.0% </w:t>
      </w:r>
      <w:r w:rsidR="00501BF4">
        <w:t xml:space="preserve">who </w:t>
      </w:r>
      <w:r>
        <w:t xml:space="preserve">qualified as low SES and 3.9% as </w:t>
      </w:r>
      <w:r w:rsidRPr="002F3A26">
        <w:t>Indigenous</w:t>
      </w:r>
      <w:r>
        <w:t xml:space="preserve">, which meant that the vast majority of FiF individuals were not low SES or </w:t>
      </w:r>
      <w:r w:rsidRPr="002F3A26">
        <w:t>Indigenous</w:t>
      </w:r>
      <w:r>
        <w:t xml:space="preserve">. </w:t>
      </w:r>
    </w:p>
    <w:p w14:paraId="56A0FF1A" w14:textId="0BF30CD8" w:rsidR="004D1D42" w:rsidRDefault="004D1D42" w:rsidP="004D1D42">
      <w:r>
        <w:t>The re</w:t>
      </w:r>
      <w:r w:rsidR="00E729D4">
        <w:t>mainder</w:t>
      </w:r>
      <w:r>
        <w:t xml:space="preserve"> of the analysis explored the relationships between </w:t>
      </w:r>
      <w:r w:rsidR="00FC2E44">
        <w:t>FiF</w:t>
      </w:r>
      <w:r>
        <w:t xml:space="preserve"> status</w:t>
      </w:r>
      <w:r w:rsidR="00487575">
        <w:t>,</w:t>
      </w:r>
      <w:r>
        <w:t xml:space="preserve"> equity</w:t>
      </w:r>
      <w:r w:rsidR="00C94C62">
        <w:t xml:space="preserve"> </w:t>
      </w:r>
      <w:r>
        <w:t>group membership</w:t>
      </w:r>
      <w:r w:rsidR="00C94C62">
        <w:t>,</w:t>
      </w:r>
      <w:r>
        <w:t xml:space="preserve"> and access to higher education. Specifically, it investigated how FiF status affected enrolments in higher education in general, enrolments in selective institutions, and enrolments in specific fields of study. For each outcome, three regression models were fitted to evaluate the statistical effects of FiF status with and without controlling for equity</w:t>
      </w:r>
      <w:r w:rsidR="00C94C62">
        <w:t xml:space="preserve"> </w:t>
      </w:r>
      <w:r>
        <w:t>group membership</w:t>
      </w:r>
      <w:r w:rsidR="00501BF4">
        <w:t>,</w:t>
      </w:r>
      <w:r>
        <w:t xml:space="preserve"> as well as to assess </w:t>
      </w:r>
      <w:r w:rsidR="00501BF4">
        <w:t>if</w:t>
      </w:r>
      <w:r>
        <w:t xml:space="preserve"> the effects of FiF status were moderated by equity</w:t>
      </w:r>
      <w:r w:rsidR="00C94C62">
        <w:t xml:space="preserve"> </w:t>
      </w:r>
      <w:r>
        <w:t>group membership.</w:t>
      </w:r>
    </w:p>
    <w:p w14:paraId="7D1A541B" w14:textId="5FA47BD0" w:rsidR="004D1D42" w:rsidRDefault="004D1D42" w:rsidP="004D1D42">
      <w:pPr>
        <w:rPr>
          <w:lang w:eastAsia="zh-CN"/>
        </w:rPr>
      </w:pPr>
      <w:r>
        <w:t xml:space="preserve">The first stage of the analysis revealed a wide gap </w:t>
      </w:r>
      <w:r w:rsidR="002F72DF">
        <w:t xml:space="preserve">associated with FiF status </w:t>
      </w:r>
      <w:r>
        <w:t xml:space="preserve">in chances of enrolling in </w:t>
      </w:r>
      <w:r w:rsidR="00501BF4">
        <w:t xml:space="preserve">a </w:t>
      </w:r>
      <w:r w:rsidR="00635D58">
        <w:t xml:space="preserve">bachelor’s </w:t>
      </w:r>
      <w:r w:rsidR="005D6E35">
        <w:t>degree</w:t>
      </w:r>
      <w:r>
        <w:t xml:space="preserve">. </w:t>
      </w:r>
      <w:r w:rsidRPr="002F3A26">
        <w:rPr>
          <w:rFonts w:cstheme="minorHAnsi"/>
        </w:rPr>
        <w:t xml:space="preserve">The adjusted enrolment rate among </w:t>
      </w:r>
      <w:r w:rsidR="00501BF4">
        <w:rPr>
          <w:rFonts w:cstheme="minorHAnsi"/>
        </w:rPr>
        <w:t xml:space="preserve">the </w:t>
      </w:r>
      <w:r w:rsidR="00501BF4">
        <w:t>FiF</w:t>
      </w:r>
      <w:r w:rsidRPr="002F3A26">
        <w:rPr>
          <w:rFonts w:cstheme="minorHAnsi"/>
        </w:rPr>
        <w:t xml:space="preserve"> category was 35.7%</w:t>
      </w:r>
      <w:r>
        <w:rPr>
          <w:rFonts w:cstheme="minorHAnsi"/>
        </w:rPr>
        <w:t xml:space="preserve"> compared to 58.6%</w:t>
      </w:r>
      <w:r w:rsidRPr="002F3A26">
        <w:rPr>
          <w:rFonts w:cstheme="minorHAnsi"/>
        </w:rPr>
        <w:t xml:space="preserve"> among those with university-educated parents</w:t>
      </w:r>
      <w:r>
        <w:rPr>
          <w:rFonts w:cstheme="minorHAnsi"/>
        </w:rPr>
        <w:t xml:space="preserve">. These results were based on a model that controlled </w:t>
      </w:r>
      <w:r>
        <w:t xml:space="preserve">for equity-group membership, meaning that these effects were net of the effects of equity groups. Furthermore, the same model allowed the effect of FiF status to </w:t>
      </w:r>
      <w:r w:rsidR="00E021EB">
        <w:t xml:space="preserve">be compared to </w:t>
      </w:r>
      <w:r>
        <w:t>those of equity</w:t>
      </w:r>
      <w:r w:rsidR="00C94C62">
        <w:t xml:space="preserve"> </w:t>
      </w:r>
      <w:r>
        <w:t xml:space="preserve">group membership. </w:t>
      </w:r>
      <w:r w:rsidRPr="002F3A26">
        <w:rPr>
          <w:rFonts w:cstheme="minorHAnsi"/>
        </w:rPr>
        <w:t xml:space="preserve">Only people with disability </w:t>
      </w:r>
      <w:r>
        <w:rPr>
          <w:rFonts w:cstheme="minorHAnsi"/>
        </w:rPr>
        <w:t>were more disadvantaged compared to their peers. T</w:t>
      </w:r>
      <w:r w:rsidRPr="002F3A26">
        <w:rPr>
          <w:rFonts w:cstheme="minorHAnsi"/>
        </w:rPr>
        <w:t>he gap in adjusted proportions</w:t>
      </w:r>
      <w:r>
        <w:rPr>
          <w:rFonts w:cstheme="minorHAnsi"/>
        </w:rPr>
        <w:t xml:space="preserve"> stood at </w:t>
      </w:r>
      <w:r w:rsidRPr="002F3A26">
        <w:rPr>
          <w:rFonts w:cstheme="minorHAnsi"/>
        </w:rPr>
        <w:t>30.7 pp</w:t>
      </w:r>
      <w:r>
        <w:rPr>
          <w:rFonts w:cstheme="minorHAnsi"/>
        </w:rPr>
        <w:t xml:space="preserve"> for that group. </w:t>
      </w:r>
      <w:r w:rsidR="00C645E7">
        <w:t>The</w:t>
      </w:r>
      <w:r>
        <w:t xml:space="preserve"> results are consistent with theoretical perspectives and empirical studies linking social background and educational outcomes </w:t>
      </w:r>
      <w:r w:rsidRPr="002F3A26">
        <w:rPr>
          <w:lang w:eastAsia="zh-CN"/>
        </w:rPr>
        <w:t>(</w:t>
      </w:r>
      <w:r w:rsidR="00C94C62">
        <w:rPr>
          <w:lang w:eastAsia="zh-CN"/>
        </w:rPr>
        <w:t>for example</w:t>
      </w:r>
      <w:r w:rsidR="00BD068B">
        <w:rPr>
          <w:lang w:eastAsia="zh-CN"/>
        </w:rPr>
        <w:t>,</w:t>
      </w:r>
      <w:r>
        <w:rPr>
          <w:lang w:eastAsia="zh-CN"/>
        </w:rPr>
        <w:t xml:space="preserve"> </w:t>
      </w:r>
      <w:r w:rsidRPr="002F3A26">
        <w:rPr>
          <w:lang w:eastAsia="zh-CN"/>
        </w:rPr>
        <w:t>Boudon, 1974; Bourdieu, 1973; Bourne et al., 2018; Czarnecki, 2018; Erikson, 2019; Jackson, 2013)</w:t>
      </w:r>
      <w:r>
        <w:rPr>
          <w:lang w:eastAsia="zh-CN"/>
        </w:rPr>
        <w:t xml:space="preserve"> and especially those pointing to the significant role of parental education </w:t>
      </w:r>
      <w:r w:rsidRPr="002F3A26">
        <w:rPr>
          <w:lang w:eastAsia="zh-CN"/>
        </w:rPr>
        <w:t>(</w:t>
      </w:r>
      <w:r w:rsidR="00C94C62">
        <w:rPr>
          <w:lang w:eastAsia="zh-CN"/>
        </w:rPr>
        <w:t>for example</w:t>
      </w:r>
      <w:r w:rsidR="00BD068B">
        <w:rPr>
          <w:lang w:eastAsia="zh-CN"/>
        </w:rPr>
        <w:t>,</w:t>
      </w:r>
      <w:r>
        <w:rPr>
          <w:lang w:eastAsia="zh-CN"/>
        </w:rPr>
        <w:t xml:space="preserve"> </w:t>
      </w:r>
      <w:r w:rsidRPr="002F3A26">
        <w:rPr>
          <w:lang w:eastAsia="zh-CN"/>
        </w:rPr>
        <w:t>Blossfeld, 2020; Buis, 2013; Chesters &amp; Watson, 2013; Erola et al., 2016</w:t>
      </w:r>
      <w:r>
        <w:rPr>
          <w:lang w:eastAsia="zh-CN"/>
        </w:rPr>
        <w:t>).</w:t>
      </w:r>
    </w:p>
    <w:p w14:paraId="5CC73D88" w14:textId="3E258986" w:rsidR="004D1D42" w:rsidRDefault="004D1D42" w:rsidP="004D1D42">
      <w:pPr>
        <w:rPr>
          <w:shd w:val="clear" w:color="auto" w:fill="FFFFFF"/>
        </w:rPr>
      </w:pPr>
      <w:r>
        <w:t xml:space="preserve">The </w:t>
      </w:r>
      <w:r w:rsidR="00C57E03">
        <w:t>next</w:t>
      </w:r>
      <w:r>
        <w:t xml:space="preserve"> stage of the analysis looked only</w:t>
      </w:r>
      <w:r w:rsidR="004F4ABA">
        <w:t xml:space="preserve"> at</w:t>
      </w:r>
      <w:r>
        <w:t xml:space="preserve"> </w:t>
      </w:r>
      <w:r w:rsidR="001D7A22">
        <w:t>those who enrolled in</w:t>
      </w:r>
      <w:r w:rsidR="00103307">
        <w:t xml:space="preserve"> higher education</w:t>
      </w:r>
      <w:r>
        <w:t xml:space="preserve"> and explored the effects o</w:t>
      </w:r>
      <w:r w:rsidR="00C94C62">
        <w:t>f</w:t>
      </w:r>
      <w:r>
        <w:t xml:space="preserve"> FiF status on entering a selective institution. This analysis provided evidence that FiF individuals, who were already less likely to enter higher education, were also less likely to secure a spot at </w:t>
      </w:r>
      <w:r w:rsidR="00501BF4">
        <w:t xml:space="preserve">a </w:t>
      </w:r>
      <w:r>
        <w:t xml:space="preserve">first-tier university. While over half </w:t>
      </w:r>
      <w:r w:rsidRPr="004C7FF2">
        <w:t xml:space="preserve">of non-FiF students studied at a selective institution, the share among FiF students was only 39.3%. </w:t>
      </w:r>
      <w:r w:rsidR="005C2CAF" w:rsidRPr="004C7FF2">
        <w:t>The</w:t>
      </w:r>
      <w:r w:rsidRPr="004C7FF2">
        <w:t xml:space="preserve"> results echo observations of equity scholars highlighting differences in access and participation by the type of institution </w:t>
      </w:r>
      <w:r w:rsidRPr="004C7FF2">
        <w:rPr>
          <w:rFonts w:eastAsiaTheme="majorEastAsia"/>
        </w:rPr>
        <w:t>(Bennett &amp; Southgate, 2014</w:t>
      </w:r>
      <w:r w:rsidR="00AC60F6" w:rsidRPr="004C7FF2">
        <w:rPr>
          <w:rFonts w:eastAsiaTheme="majorEastAsia"/>
        </w:rPr>
        <w:t xml:space="preserve">; </w:t>
      </w:r>
      <w:r w:rsidRPr="004C7FF2">
        <w:t>Stahl &amp; McDonald, 2022).</w:t>
      </w:r>
      <w:r w:rsidR="007E524B" w:rsidRPr="004C7FF2">
        <w:t xml:space="preserve"> This is important because it means elite spaces remain exclusive, where the critical</w:t>
      </w:r>
      <w:r w:rsidR="007E524B" w:rsidRPr="007E524B">
        <w:t xml:space="preserve"> mass of the student body comes from professional-class backgrounds “with intimate knowledge of the educational system, where the academic language of the home has prepared them for their </w:t>
      </w:r>
      <w:r w:rsidR="007E524B" w:rsidRPr="007E524B">
        <w:lastRenderedPageBreak/>
        <w:t>future educational pathways” (Thomsen, Munk, Eiberg-Madsen, &amp; Hansen, 2011, pp. 469–470; see Smith et al. 2023)</w:t>
      </w:r>
    </w:p>
    <w:p w14:paraId="54D38243" w14:textId="13113B18" w:rsidR="004D1D42" w:rsidRDefault="004D1D42" w:rsidP="004D1D42">
      <w:r>
        <w:rPr>
          <w:shd w:val="clear" w:color="auto" w:fill="FFFFFF"/>
        </w:rPr>
        <w:t xml:space="preserve">The final stage of the analysis focused on the fields of study. </w:t>
      </w:r>
      <w:r w:rsidR="0065114A">
        <w:rPr>
          <w:shd w:val="clear" w:color="auto" w:fill="FFFFFF"/>
        </w:rPr>
        <w:t xml:space="preserve">The results from multinomial logistic regression models suggest that a large proportion of fields were equally likely to be studied by </w:t>
      </w:r>
      <w:r w:rsidR="00B54A15">
        <w:t>FiF</w:t>
      </w:r>
      <w:r w:rsidR="0065114A" w:rsidRPr="002F3A26">
        <w:t xml:space="preserve"> students and their counterparts with university-educated parents</w:t>
      </w:r>
      <w:r w:rsidR="0065114A">
        <w:rPr>
          <w:shd w:val="clear" w:color="auto" w:fill="FFFFFF"/>
        </w:rPr>
        <w:t xml:space="preserve">. </w:t>
      </w:r>
      <w:r w:rsidR="0065114A" w:rsidRPr="002F3A26">
        <w:t>However,</w:t>
      </w:r>
      <w:r w:rsidR="0065114A">
        <w:t xml:space="preserve"> FiF students were significantly more likely than their peers to enrol in programs in education and other health (</w:t>
      </w:r>
      <w:r w:rsidR="00C94C62">
        <w:t>that is</w:t>
      </w:r>
      <w:r w:rsidR="0065114A">
        <w:t xml:space="preserve">, health programs other than medical studies) and less likely than their peers to study </w:t>
      </w:r>
      <w:r w:rsidR="0065114A" w:rsidRPr="002F3A26">
        <w:t>natural and physical sciences, engineering and related technologies, and medical studies</w:t>
      </w:r>
      <w:r w:rsidR="0065114A">
        <w:t xml:space="preserve">. That means that FiF </w:t>
      </w:r>
      <w:r w:rsidR="00501BF4">
        <w:t xml:space="preserve">students, </w:t>
      </w:r>
      <w:r w:rsidR="0065114A">
        <w:t xml:space="preserve">while underrepresented in the fields </w:t>
      </w:r>
      <w:r w:rsidR="00C94C62">
        <w:t>that</w:t>
      </w:r>
      <w:r w:rsidR="00C94C62" w:rsidRPr="00BE693D">
        <w:t xml:space="preserve"> </w:t>
      </w:r>
      <w:r w:rsidR="00BE693D" w:rsidRPr="00BE693D">
        <w:t xml:space="preserve">are often associated with high earning </w:t>
      </w:r>
      <w:r w:rsidR="00BE693D" w:rsidRPr="004C7FF2">
        <w:t>potential</w:t>
      </w:r>
      <w:r w:rsidR="00501BF4" w:rsidRPr="004C7FF2">
        <w:t>,</w:t>
      </w:r>
      <w:r w:rsidR="0065114A" w:rsidRPr="004C7FF2">
        <w:t xml:space="preserve"> were not overrepresented in </w:t>
      </w:r>
      <w:r w:rsidR="007402AB" w:rsidRPr="004C7FF2">
        <w:t xml:space="preserve">the </w:t>
      </w:r>
      <w:r w:rsidR="0065114A" w:rsidRPr="004C7FF2">
        <w:t>fields</w:t>
      </w:r>
      <w:r w:rsidR="007402AB" w:rsidRPr="004C7FF2">
        <w:t xml:space="preserve"> with </w:t>
      </w:r>
      <w:r w:rsidR="00AA5B21" w:rsidRPr="004C7FF2">
        <w:t>the lowest earning potential</w:t>
      </w:r>
      <w:r w:rsidR="0065114A" w:rsidRPr="004C7FF2">
        <w:t xml:space="preserve">. These results echo the findings of earlier studies reporting </w:t>
      </w:r>
      <w:r w:rsidR="00C2325E" w:rsidRPr="004C7FF2">
        <w:t xml:space="preserve">the </w:t>
      </w:r>
      <w:r w:rsidR="0065114A" w:rsidRPr="004C7FF2">
        <w:t xml:space="preserve">underrepresentation of FiF students in </w:t>
      </w:r>
      <w:r w:rsidR="00822971" w:rsidRPr="004C7FF2">
        <w:t xml:space="preserve">more </w:t>
      </w:r>
      <w:r w:rsidR="0065114A" w:rsidRPr="004C7FF2">
        <w:t xml:space="preserve">fields </w:t>
      </w:r>
      <w:r w:rsidR="0065114A" w:rsidRPr="004C7FF2">
        <w:rPr>
          <w:rFonts w:eastAsiaTheme="majorEastAsia"/>
        </w:rPr>
        <w:t xml:space="preserve">(Bennett &amp; Southgate, 2014; </w:t>
      </w:r>
      <w:r w:rsidR="0065114A" w:rsidRPr="004C7FF2">
        <w:t>Stahl &amp; McDonald, 2022</w:t>
      </w:r>
      <w:r w:rsidR="0065114A" w:rsidRPr="004C7FF2">
        <w:rPr>
          <w:rFonts w:eastAsiaTheme="majorEastAsia"/>
        </w:rPr>
        <w:t xml:space="preserve">). Previous studies have reported </w:t>
      </w:r>
      <w:r w:rsidR="0065114A" w:rsidRPr="004C7FF2">
        <w:t xml:space="preserve">FiF </w:t>
      </w:r>
      <w:r w:rsidR="00D23949" w:rsidRPr="004C7FF2">
        <w:t>students’</w:t>
      </w:r>
      <w:r w:rsidR="0065114A" w:rsidRPr="004C7FF2">
        <w:t xml:space="preserve"> practical approach to higher education prioriti</w:t>
      </w:r>
      <w:r w:rsidR="00A51DB3" w:rsidRPr="004C7FF2">
        <w:t>s</w:t>
      </w:r>
      <w:r w:rsidR="0065114A" w:rsidRPr="004C7FF2">
        <w:t>ing employment outcomes (Gore, Holmes</w:t>
      </w:r>
      <w:r w:rsidR="0065114A" w:rsidRPr="002F3A26">
        <w:rPr>
          <w:lang w:eastAsia="zh-CN"/>
        </w:rPr>
        <w:t>, Smith, Lyell, et al., 2015; Gore, Holmes, Smith, Southgate, et al., 2015; Krause et al., 2005)</w:t>
      </w:r>
      <w:r w:rsidR="0065114A">
        <w:rPr>
          <w:lang w:eastAsia="zh-CN"/>
        </w:rPr>
        <w:t xml:space="preserve"> as well as their </w:t>
      </w:r>
      <w:r w:rsidR="0065114A" w:rsidRPr="002F3A26">
        <w:rPr>
          <w:lang w:eastAsia="zh-CN"/>
        </w:rPr>
        <w:t>strong identification with the “caring professions” (O’Shea &amp; Stone, 2014; Stahl and McDonald’s</w:t>
      </w:r>
      <w:r w:rsidR="0065114A">
        <w:rPr>
          <w:lang w:eastAsia="zh-CN"/>
        </w:rPr>
        <w:t>,</w:t>
      </w:r>
      <w:r w:rsidR="0065114A" w:rsidRPr="002F3A26">
        <w:rPr>
          <w:lang w:eastAsia="zh-CN"/>
        </w:rPr>
        <w:t xml:space="preserve"> 2022; 2023</w:t>
      </w:r>
      <w:r w:rsidR="0065114A">
        <w:rPr>
          <w:lang w:eastAsia="zh-CN"/>
        </w:rPr>
        <w:t xml:space="preserve">; </w:t>
      </w:r>
      <w:r w:rsidR="0065114A" w:rsidRPr="002F3A26">
        <w:rPr>
          <w:lang w:eastAsia="zh-CN"/>
        </w:rPr>
        <w:t>Thomas &amp; Hovdhaugen, 2023)</w:t>
      </w:r>
      <w:r w:rsidR="00C94C62">
        <w:rPr>
          <w:lang w:eastAsia="zh-CN"/>
        </w:rPr>
        <w:t>,</w:t>
      </w:r>
      <w:r w:rsidR="0065114A">
        <w:rPr>
          <w:lang w:eastAsia="zh-CN"/>
        </w:rPr>
        <w:t xml:space="preserve"> which could explain the higher proportion of FiF students choosing education and </w:t>
      </w:r>
      <w:r w:rsidR="00AC60F6">
        <w:rPr>
          <w:lang w:eastAsia="zh-CN"/>
        </w:rPr>
        <w:t xml:space="preserve">programs in </w:t>
      </w:r>
      <w:r w:rsidR="001B680A">
        <w:rPr>
          <w:lang w:eastAsia="zh-CN"/>
        </w:rPr>
        <w:t xml:space="preserve">health </w:t>
      </w:r>
      <w:r w:rsidR="0065114A">
        <w:rPr>
          <w:lang w:eastAsia="zh-CN"/>
        </w:rPr>
        <w:t xml:space="preserve">other </w:t>
      </w:r>
      <w:r w:rsidR="001B680A">
        <w:rPr>
          <w:lang w:eastAsia="zh-CN"/>
        </w:rPr>
        <w:t>than medicine</w:t>
      </w:r>
      <w:r w:rsidR="0065114A">
        <w:rPr>
          <w:lang w:eastAsia="zh-CN"/>
        </w:rPr>
        <w:t>.</w:t>
      </w:r>
    </w:p>
    <w:p w14:paraId="740B0E7C" w14:textId="68F6B645" w:rsidR="007E524B" w:rsidRDefault="007E524B" w:rsidP="004D1D42">
      <w:r>
        <w:t>While the analysis focused primarily on FiF status, investigating how FiF status effects changed depending on whether equity</w:t>
      </w:r>
      <w:r w:rsidR="00C94C62">
        <w:t xml:space="preserve"> </w:t>
      </w:r>
      <w:r>
        <w:t xml:space="preserve">group membership was taken into account was </w:t>
      </w:r>
      <w:r w:rsidR="00C2325E">
        <w:t>a</w:t>
      </w:r>
      <w:r>
        <w:t xml:space="preserve"> key element of this study. </w:t>
      </w:r>
      <w:r w:rsidR="0065114A">
        <w:t>Importantly, the effect of FiF status on university enrolment was largely independent of equity</w:t>
      </w:r>
      <w:r w:rsidR="00C94C62">
        <w:t xml:space="preserve"> </w:t>
      </w:r>
      <w:r w:rsidR="0065114A">
        <w:t>group membership.</w:t>
      </w:r>
      <w:r w:rsidR="0065114A" w:rsidRPr="0065114A">
        <w:t xml:space="preserve"> </w:t>
      </w:r>
      <w:r w:rsidR="0065114A">
        <w:t>Adjusting the models for equity</w:t>
      </w:r>
      <w:r w:rsidR="00C94C62">
        <w:t xml:space="preserve"> </w:t>
      </w:r>
      <w:r w:rsidR="0065114A">
        <w:t xml:space="preserve">group membership did not meaningfully reduce the effects of FiF status. For example, the </w:t>
      </w:r>
      <w:r w:rsidR="00C94C62">
        <w:t>OR</w:t>
      </w:r>
      <w:r w:rsidR="0065114A">
        <w:t xml:space="preserve"> for FiF status in the model predicting university enrolment changed from 0.33 to 0.35 after introducing variables capturing equity</w:t>
      </w:r>
      <w:r w:rsidR="005F0AA8">
        <w:t xml:space="preserve"> </w:t>
      </w:r>
      <w:r w:rsidR="0065114A">
        <w:t xml:space="preserve">group membership to the model. </w:t>
      </w:r>
    </w:p>
    <w:p w14:paraId="58189EB3" w14:textId="353EECCF" w:rsidR="000C08EA" w:rsidRDefault="007E524B" w:rsidP="004D1D42">
      <w:pPr>
        <w:rPr>
          <w:lang w:eastAsia="zh-CN"/>
        </w:rPr>
      </w:pPr>
      <w:r>
        <w:t>Furthermore</w:t>
      </w:r>
      <w:r w:rsidR="0065114A">
        <w:t>, the results showed that despite the significant overlaps between FiF status and some equity groups, the latter were important predictors of university enrolment. They had an effect on enrolments that was independent of FiF status.</w:t>
      </w:r>
      <w:r>
        <w:t xml:space="preserve"> This is particularly relevant in the case of the area-based low SES indicator, which has attracted considerable attention. </w:t>
      </w:r>
      <w:r>
        <w:rPr>
          <w:lang w:eastAsia="zh-CN"/>
        </w:rPr>
        <w:t>S</w:t>
      </w:r>
      <w:r w:rsidRPr="002F3A26">
        <w:rPr>
          <w:lang w:eastAsia="zh-CN"/>
        </w:rPr>
        <w:t xml:space="preserve">oon after the six equity groups were defined, Western and collaborators (McMillan &amp; Western, 2000; Western et al., 1998) argued that individual-level information on parental education and occupation serves as better </w:t>
      </w:r>
      <w:r w:rsidR="00C2325E">
        <w:rPr>
          <w:lang w:eastAsia="zh-CN"/>
        </w:rPr>
        <w:t>indicators</w:t>
      </w:r>
      <w:r w:rsidRPr="002F3A26">
        <w:rPr>
          <w:lang w:eastAsia="zh-CN"/>
        </w:rPr>
        <w:t xml:space="preserve"> of low SES than area-based measures. In the following years, the area-based measure of low SES has received substantial criticism. For instance, an area-level measure that captures the average characteristics of households does not necessarily reflect individual circumstances, leading to measurement error (Bok, 2010; James et al., 2008).</w:t>
      </w:r>
      <w:r>
        <w:rPr>
          <w:lang w:eastAsia="zh-CN"/>
        </w:rPr>
        <w:t xml:space="preserve"> </w:t>
      </w:r>
      <w:r w:rsidR="00C2325E">
        <w:rPr>
          <w:lang w:eastAsia="zh-CN"/>
        </w:rPr>
        <w:t>Furthermore</w:t>
      </w:r>
      <w:r w:rsidRPr="002F3A26">
        <w:rPr>
          <w:lang w:eastAsia="zh-CN"/>
        </w:rPr>
        <w:t xml:space="preserve">, </w:t>
      </w:r>
      <w:r w:rsidR="00C862AD">
        <w:rPr>
          <w:lang w:eastAsia="zh-CN"/>
        </w:rPr>
        <w:t>res</w:t>
      </w:r>
      <w:r w:rsidR="008B5458">
        <w:rPr>
          <w:lang w:eastAsia="zh-CN"/>
        </w:rPr>
        <w:t>idential</w:t>
      </w:r>
      <w:r w:rsidRPr="002F3A26">
        <w:rPr>
          <w:lang w:eastAsia="zh-CN"/>
        </w:rPr>
        <w:t xml:space="preserve"> address information supplied at the time of higher education study may not accurately reflect where a student grew up (Dockery et al., 2016) and the 25% (quartile) cut-off is not granular enough to identify different levels of disadvantage (Harvey</w:t>
      </w:r>
      <w:r w:rsidR="00D55221">
        <w:rPr>
          <w:lang w:eastAsia="zh-CN"/>
        </w:rPr>
        <w:t xml:space="preserve"> </w:t>
      </w:r>
      <w:r w:rsidRPr="002F3A26">
        <w:rPr>
          <w:lang w:eastAsia="zh-CN"/>
        </w:rPr>
        <w:t xml:space="preserve">et al., 2016). </w:t>
      </w:r>
      <w:r w:rsidR="00E33DEA">
        <w:rPr>
          <w:lang w:eastAsia="zh-CN"/>
        </w:rPr>
        <w:t>By contrast, t</w:t>
      </w:r>
      <w:r w:rsidR="00C07BB8">
        <w:rPr>
          <w:lang w:eastAsia="zh-CN"/>
        </w:rPr>
        <w:t>he</w:t>
      </w:r>
      <w:r>
        <w:rPr>
          <w:lang w:eastAsia="zh-CN"/>
        </w:rPr>
        <w:t xml:space="preserve"> results </w:t>
      </w:r>
      <w:r w:rsidR="00E33DEA">
        <w:rPr>
          <w:lang w:eastAsia="zh-CN"/>
        </w:rPr>
        <w:t xml:space="preserve">here </w:t>
      </w:r>
      <w:r w:rsidR="00222C26">
        <w:rPr>
          <w:lang w:eastAsia="zh-CN"/>
        </w:rPr>
        <w:t>strengthen</w:t>
      </w:r>
      <w:r>
        <w:rPr>
          <w:lang w:eastAsia="zh-CN"/>
        </w:rPr>
        <w:t xml:space="preserve"> the existing body of evidence suggesting </w:t>
      </w:r>
      <w:r w:rsidRPr="002F3A26">
        <w:rPr>
          <w:lang w:eastAsia="zh-CN"/>
        </w:rPr>
        <w:t xml:space="preserve">that both </w:t>
      </w:r>
      <w:r w:rsidR="00C2325E">
        <w:rPr>
          <w:lang w:eastAsia="zh-CN"/>
        </w:rPr>
        <w:t xml:space="preserve">the </w:t>
      </w:r>
      <w:r w:rsidRPr="002F3A26">
        <w:rPr>
          <w:lang w:eastAsia="zh-CN"/>
        </w:rPr>
        <w:t xml:space="preserve">area-based indicator and parental education </w:t>
      </w:r>
      <w:r w:rsidR="00C2325E">
        <w:rPr>
          <w:lang w:eastAsia="zh-CN"/>
        </w:rPr>
        <w:t>had</w:t>
      </w:r>
      <w:r w:rsidRPr="002F3A26">
        <w:rPr>
          <w:lang w:eastAsia="zh-CN"/>
        </w:rPr>
        <w:t xml:space="preserve"> </w:t>
      </w:r>
      <w:r w:rsidR="00C2325E">
        <w:rPr>
          <w:lang w:eastAsia="zh-CN"/>
        </w:rPr>
        <w:t xml:space="preserve">a </w:t>
      </w:r>
      <w:r w:rsidRPr="002F3A26">
        <w:rPr>
          <w:lang w:eastAsia="zh-CN"/>
        </w:rPr>
        <w:t xml:space="preserve">significant and independent impact on young people’s likelihood to access </w:t>
      </w:r>
      <w:r w:rsidR="005F0AA8">
        <w:rPr>
          <w:lang w:eastAsia="zh-CN"/>
        </w:rPr>
        <w:t>higher education</w:t>
      </w:r>
      <w:r w:rsidR="005F0AA8" w:rsidRPr="002F3A26">
        <w:rPr>
          <w:lang w:eastAsia="zh-CN"/>
        </w:rPr>
        <w:t xml:space="preserve"> </w:t>
      </w:r>
      <w:r w:rsidRPr="002F3A26">
        <w:rPr>
          <w:lang w:eastAsia="zh-CN"/>
        </w:rPr>
        <w:t>(Tomaszewski et al., 2018; Zajac &amp; Tomaszewski, 2023).</w:t>
      </w:r>
    </w:p>
    <w:p w14:paraId="4E5CB547" w14:textId="75ABE7FE" w:rsidR="007E524B" w:rsidRDefault="007E524B" w:rsidP="004D1D42">
      <w:r>
        <w:t xml:space="preserve">Lastly, the analysis included models with interaction terms to examine whether the effects of FIF status differed between equity group members and others. The results differed depending on the outcome variable. </w:t>
      </w:r>
      <w:r w:rsidR="00BF1137">
        <w:t>There was no</w:t>
      </w:r>
      <w:r>
        <w:t xml:space="preserve"> evidence of strong moderating effects of equity group membership</w:t>
      </w:r>
      <w:r w:rsidR="008B06BC" w:rsidRPr="008B06BC">
        <w:t xml:space="preserve"> </w:t>
      </w:r>
      <w:r w:rsidR="008B06BC">
        <w:t>on the relationship between FiF status and university enrolments</w:t>
      </w:r>
      <w:r>
        <w:t xml:space="preserve">, </w:t>
      </w:r>
      <w:r>
        <w:lastRenderedPageBreak/>
        <w:t xml:space="preserve">with the exception of students with disability. In the case of enrolments in selective institutions, FiF status had a smaller effect among students from </w:t>
      </w:r>
      <w:r w:rsidRPr="002F3A26">
        <w:rPr>
          <w:rFonts w:cstheme="minorHAnsi"/>
        </w:rPr>
        <w:t>low SES</w:t>
      </w:r>
      <w:r w:rsidR="00F056E3">
        <w:rPr>
          <w:rFonts w:cstheme="minorHAnsi"/>
        </w:rPr>
        <w:t>, students from</w:t>
      </w:r>
      <w:r w:rsidRPr="002F3A26">
        <w:rPr>
          <w:rFonts w:cstheme="minorHAnsi"/>
        </w:rPr>
        <w:t xml:space="preserve"> </w:t>
      </w:r>
      <w:r w:rsidR="009F5FEC">
        <w:rPr>
          <w:rFonts w:cstheme="minorHAnsi"/>
        </w:rPr>
        <w:t>RR</w:t>
      </w:r>
      <w:r w:rsidRPr="002F3A26">
        <w:rPr>
          <w:rFonts w:cstheme="minorHAnsi"/>
        </w:rPr>
        <w:t xml:space="preserve"> areas, Indigenous </w:t>
      </w:r>
      <w:r w:rsidR="00EC405E">
        <w:rPr>
          <w:rFonts w:cstheme="minorHAnsi"/>
        </w:rPr>
        <w:t>students</w:t>
      </w:r>
      <w:r w:rsidRPr="002F3A26">
        <w:rPr>
          <w:rFonts w:cstheme="minorHAnsi"/>
        </w:rPr>
        <w:t xml:space="preserve">, and </w:t>
      </w:r>
      <w:r w:rsidR="00EC405E">
        <w:rPr>
          <w:rFonts w:cstheme="minorHAnsi"/>
        </w:rPr>
        <w:t>students</w:t>
      </w:r>
      <w:r w:rsidR="00C2325E">
        <w:rPr>
          <w:rFonts w:cstheme="minorHAnsi"/>
        </w:rPr>
        <w:t xml:space="preserve"> </w:t>
      </w:r>
      <w:r w:rsidRPr="002F3A26">
        <w:rPr>
          <w:rFonts w:cstheme="minorHAnsi"/>
        </w:rPr>
        <w:t>with disability</w:t>
      </w:r>
      <w:r>
        <w:rPr>
          <w:rFonts w:cstheme="minorHAnsi"/>
        </w:rPr>
        <w:t xml:space="preserve"> than among their more privileged peers. The effects of FIF on the probability of studying most fields of study did not differ significantly between equity group and non-equity group students</w:t>
      </w:r>
      <w:r w:rsidR="00CA7D2E">
        <w:rPr>
          <w:rFonts w:cstheme="minorHAnsi"/>
        </w:rPr>
        <w:t>, with the</w:t>
      </w:r>
      <w:r>
        <w:rPr>
          <w:rFonts w:cstheme="minorHAnsi"/>
        </w:rPr>
        <w:t xml:space="preserve"> exception</w:t>
      </w:r>
      <w:r w:rsidR="00CA7D2E">
        <w:rPr>
          <w:rFonts w:cstheme="minorHAnsi"/>
        </w:rPr>
        <w:t xml:space="preserve"> of</w:t>
      </w:r>
      <w:r>
        <w:rPr>
          <w:rFonts w:cstheme="minorHAnsi"/>
        </w:rPr>
        <w:t xml:space="preserve"> women. FiF status </w:t>
      </w:r>
      <w:r w:rsidR="00C2325E">
        <w:rPr>
          <w:rFonts w:cstheme="minorHAnsi"/>
        </w:rPr>
        <w:t>seems</w:t>
      </w:r>
      <w:r>
        <w:rPr>
          <w:rFonts w:cstheme="minorHAnsi"/>
        </w:rPr>
        <w:t xml:space="preserve"> to exacerbate female disadvantage in some STEM fields and the overrepresentation </w:t>
      </w:r>
      <w:r w:rsidR="00C2325E">
        <w:rPr>
          <w:rFonts w:cstheme="minorHAnsi"/>
        </w:rPr>
        <w:t>of</w:t>
      </w:r>
      <w:r>
        <w:rPr>
          <w:rFonts w:cstheme="minorHAnsi"/>
        </w:rPr>
        <w:t xml:space="preserve"> women in </w:t>
      </w:r>
      <w:r w:rsidRPr="002F3A26">
        <w:t xml:space="preserve">education and other health </w:t>
      </w:r>
      <w:r>
        <w:t>programs.</w:t>
      </w:r>
    </w:p>
    <w:p w14:paraId="1B0B74D9" w14:textId="5355F0F1" w:rsidR="00AC69C8" w:rsidRPr="007E524B" w:rsidRDefault="007E524B" w:rsidP="007E524B">
      <w:r w:rsidRPr="007E524B">
        <w:t xml:space="preserve">Notwithstanding the importance and robustness of </w:t>
      </w:r>
      <w:r w:rsidR="005E6F72">
        <w:t>the current</w:t>
      </w:r>
      <w:r w:rsidRPr="007E524B">
        <w:t xml:space="preserve"> findings, some study limitations must be acknowledged. First, although PLIDA includes information on family relationships that allowed children to </w:t>
      </w:r>
      <w:r w:rsidR="00D95194">
        <w:t xml:space="preserve">be linked </w:t>
      </w:r>
      <w:r w:rsidR="002F6299">
        <w:t xml:space="preserve">to </w:t>
      </w:r>
      <w:r w:rsidRPr="007E524B">
        <w:t xml:space="preserve">their parents, Census data </w:t>
      </w:r>
      <w:r w:rsidR="00EA2F92">
        <w:t xml:space="preserve">could not be used </w:t>
      </w:r>
      <w:r w:rsidRPr="007E524B">
        <w:t xml:space="preserve">to reliably link individuals from the studied cohorts with their older siblings. Older siblings were likely to have left the household and be recorded as members of different households. </w:t>
      </w:r>
      <w:r w:rsidR="00AC69C8" w:rsidRPr="007E524B">
        <w:t xml:space="preserve">While siblings are unlikely to provide financial support, they might </w:t>
      </w:r>
      <w:r w:rsidR="00C2325E">
        <w:t xml:space="preserve">be </w:t>
      </w:r>
      <w:r w:rsidR="00AC69C8" w:rsidRPr="007E524B">
        <w:t>role models and provide assistance with navigating the higher education system</w:t>
      </w:r>
      <w:r w:rsidRPr="007E524B">
        <w:t>.</w:t>
      </w:r>
    </w:p>
    <w:p w14:paraId="4C43C5BE" w14:textId="6973E2DC" w:rsidR="007E524B" w:rsidRDefault="007E524B" w:rsidP="007E524B">
      <w:r w:rsidRPr="007E524B">
        <w:t xml:space="preserve">In addition, </w:t>
      </w:r>
      <w:r w:rsidR="004935F2">
        <w:t>the</w:t>
      </w:r>
      <w:r w:rsidRPr="007E524B">
        <w:t xml:space="preserve"> study was targeted in scope. It focused on just one stage of the student life course. </w:t>
      </w:r>
      <w:r w:rsidR="00F51C13">
        <w:t>To further understand</w:t>
      </w:r>
      <w:r w:rsidRPr="007E524B">
        <w:t xml:space="preserve"> the impact of FiF status</w:t>
      </w:r>
      <w:r w:rsidR="00F51C13">
        <w:t>,</w:t>
      </w:r>
      <w:r w:rsidRPr="007E524B">
        <w:t xml:space="preserve"> future research could examine its impact on later stages of the student life course</w:t>
      </w:r>
      <w:r>
        <w:t>, especially on the university-to-work transitions and longer-term labour market outcomes. PLIDA</w:t>
      </w:r>
      <w:r w:rsidR="00C2325E">
        <w:t>,</w:t>
      </w:r>
      <w:r>
        <w:t xml:space="preserve"> with its large scale and expanding observation window</w:t>
      </w:r>
      <w:r w:rsidR="00C2325E">
        <w:t>,</w:t>
      </w:r>
      <w:r>
        <w:t xml:space="preserve"> is well-suited for such research.</w:t>
      </w:r>
    </w:p>
    <w:p w14:paraId="788F6F83" w14:textId="7E1384B5" w:rsidR="004E6176" w:rsidRPr="002F3A26" w:rsidRDefault="007E524B" w:rsidP="004E6176">
      <w:pPr>
        <w:rPr>
          <w:lang w:eastAsia="zh-CN"/>
        </w:rPr>
      </w:pPr>
      <w:r>
        <w:t>Finally, the study does not explore the mechanisms through which FiF status affects whether young people enter higher education</w:t>
      </w:r>
      <w:r w:rsidR="00C2325E">
        <w:t xml:space="preserve">, what </w:t>
      </w:r>
      <w:r>
        <w:t xml:space="preserve">type of institution </w:t>
      </w:r>
      <w:r w:rsidR="00C2325E">
        <w:t xml:space="preserve">they enrol in, </w:t>
      </w:r>
      <w:r>
        <w:t>and which field they study. The existing literature suggests a number of ways in which FiF status might affect educational pathways</w:t>
      </w:r>
      <w:r w:rsidR="00C2325E">
        <w:t>,</w:t>
      </w:r>
      <w:r>
        <w:t xml:space="preserve"> including poorer school performance, limited financial resources, lack of support navigating the university system, or</w:t>
      </w:r>
      <w:r w:rsidR="00C2325E">
        <w:t>,</w:t>
      </w:r>
      <w:r>
        <w:t xml:space="preserve"> more broadly</w:t>
      </w:r>
      <w:r w:rsidR="00C2325E">
        <w:t>,</w:t>
      </w:r>
      <w:r>
        <w:t xml:space="preserve"> lack of cultural</w:t>
      </w:r>
      <w:r w:rsidR="001B6CA2">
        <w:t xml:space="preserve"> and social</w:t>
      </w:r>
      <w:r>
        <w:t xml:space="preserve"> capital </w:t>
      </w:r>
      <w:r w:rsidRPr="002F3A26">
        <w:rPr>
          <w:lang w:eastAsia="zh-CN"/>
        </w:rPr>
        <w:t>(Barsegyan &amp; Maas, 2024</w:t>
      </w:r>
      <w:r>
        <w:rPr>
          <w:lang w:eastAsia="zh-CN"/>
        </w:rPr>
        <w:t xml:space="preserve">; </w:t>
      </w:r>
      <w:r w:rsidRPr="002F3A26">
        <w:rPr>
          <w:lang w:eastAsia="zh-CN"/>
        </w:rPr>
        <w:t>Ostrove &amp; Long, 2007; Read, Archer, &amp; Leathwood, 2003; Southgate et al., 2014).</w:t>
      </w:r>
      <w:r>
        <w:rPr>
          <w:lang w:eastAsia="zh-CN"/>
        </w:rPr>
        <w:t xml:space="preserve"> Unfortunately, with data at hand</w:t>
      </w:r>
      <w:r w:rsidR="00C2325E">
        <w:rPr>
          <w:lang w:eastAsia="zh-CN"/>
        </w:rPr>
        <w:t>,</w:t>
      </w:r>
      <w:r>
        <w:rPr>
          <w:lang w:eastAsia="zh-CN"/>
        </w:rPr>
        <w:t xml:space="preserve"> factors </w:t>
      </w:r>
      <w:r w:rsidR="00AB57B1">
        <w:rPr>
          <w:lang w:eastAsia="zh-CN"/>
        </w:rPr>
        <w:t xml:space="preserve">that </w:t>
      </w:r>
      <w:r>
        <w:rPr>
          <w:lang w:eastAsia="zh-CN"/>
        </w:rPr>
        <w:t>matter most</w:t>
      </w:r>
      <w:r w:rsidR="00AB57B1">
        <w:rPr>
          <w:lang w:eastAsia="zh-CN"/>
        </w:rPr>
        <w:t xml:space="preserve"> could not be tested</w:t>
      </w:r>
      <w:r>
        <w:rPr>
          <w:lang w:eastAsia="zh-CN"/>
        </w:rPr>
        <w:t xml:space="preserve">. Administrative data do not contain information on key variables necessary to evaluate each of those factors. However, further improvements to social science data infrastructure could open new research opportunities. Linking PLIDA to state-level educational data would enable, among others, large-scale research on how educational trajectories of FiF and non-FiF youth diverge over time and </w:t>
      </w:r>
      <w:r w:rsidR="00C2325E">
        <w:rPr>
          <w:lang w:eastAsia="zh-CN"/>
        </w:rPr>
        <w:t xml:space="preserve">the </w:t>
      </w:r>
      <w:r>
        <w:rPr>
          <w:lang w:eastAsia="zh-CN"/>
        </w:rPr>
        <w:t>possibility of investigating relative contributions of primary and secondary effects of parental education (</w:t>
      </w:r>
      <w:r w:rsidRPr="002F3A26">
        <w:rPr>
          <w:lang w:eastAsia="zh-CN"/>
        </w:rPr>
        <w:t>Boudon, 1974</w:t>
      </w:r>
      <w:r>
        <w:rPr>
          <w:lang w:eastAsia="zh-CN"/>
        </w:rPr>
        <w:t>).</w:t>
      </w:r>
    </w:p>
    <w:p w14:paraId="4170CF09" w14:textId="77777777" w:rsidR="009D6D47" w:rsidRPr="002F3A26" w:rsidRDefault="009D6D47">
      <w:pPr>
        <w:spacing w:line="259" w:lineRule="auto"/>
      </w:pPr>
      <w:r w:rsidRPr="002F3A26">
        <w:br w:type="page"/>
      </w:r>
    </w:p>
    <w:p w14:paraId="1FC362AA" w14:textId="43C3010D" w:rsidR="009D6D47" w:rsidRPr="002F3A26" w:rsidRDefault="009D6D47" w:rsidP="00942F29">
      <w:pPr>
        <w:pStyle w:val="Heading1"/>
      </w:pPr>
      <w:bookmarkStart w:id="74" w:name="_Toc202791809"/>
      <w:r w:rsidRPr="002F3A26">
        <w:lastRenderedPageBreak/>
        <w:t>Conclusion</w:t>
      </w:r>
      <w:bookmarkEnd w:id="74"/>
    </w:p>
    <w:p w14:paraId="770068F2" w14:textId="640AF681" w:rsidR="00037321" w:rsidRDefault="00E32CCC" w:rsidP="007E524B">
      <w:r>
        <w:t>The current</w:t>
      </w:r>
      <w:r w:rsidR="007E524B">
        <w:t xml:space="preserve"> </w:t>
      </w:r>
      <w:r w:rsidR="007E524B">
        <w:rPr>
          <w:lang w:eastAsia="zh-CN"/>
        </w:rPr>
        <w:t>study</w:t>
      </w:r>
      <w:r w:rsidR="007E524B">
        <w:t xml:space="preserve"> </w:t>
      </w:r>
      <w:r w:rsidR="007E524B" w:rsidRPr="002D0196">
        <w:t>carries</w:t>
      </w:r>
      <w:r w:rsidR="007E524B">
        <w:t xml:space="preserve"> important lessons for policy and practice. </w:t>
      </w:r>
      <w:r w:rsidR="00567C84">
        <w:t>T</w:t>
      </w:r>
      <w:r w:rsidR="007E524B">
        <w:t>his section</w:t>
      </w:r>
      <w:r w:rsidR="00567C84">
        <w:t xml:space="preserve"> </w:t>
      </w:r>
      <w:r w:rsidR="007E524B">
        <w:t>briefly discuss</w:t>
      </w:r>
      <w:r w:rsidR="00957AB0">
        <w:t>es</w:t>
      </w:r>
      <w:r w:rsidR="007E524B">
        <w:t xml:space="preserve"> the implications of </w:t>
      </w:r>
      <w:r w:rsidR="00234321">
        <w:t>the</w:t>
      </w:r>
      <w:r w:rsidR="007E524B">
        <w:t xml:space="preserve"> findings for </w:t>
      </w:r>
      <w:r w:rsidR="00C2325E">
        <w:t xml:space="preserve">the </w:t>
      </w:r>
      <w:r w:rsidR="007E524B">
        <w:t>development of potential policy responses to increase equity in Australian higher education.</w:t>
      </w:r>
    </w:p>
    <w:p w14:paraId="6DE5CAEF" w14:textId="1209716D" w:rsidR="007E524B" w:rsidRDefault="007E524B" w:rsidP="007E524B">
      <w:r>
        <w:t xml:space="preserve">As noted in the previous section, not long after the six equity groups were defined, scholars </w:t>
      </w:r>
      <w:r w:rsidRPr="004C7FF2">
        <w:t xml:space="preserve">argued for replacing the area-based measure of low SES with individual-level information, including parental education (McMillan &amp; Western, 2000; Western et al., 1998). </w:t>
      </w:r>
      <w:r w:rsidRPr="004C7FF2">
        <w:rPr>
          <w:rFonts w:eastAsiaTheme="majorEastAsia"/>
        </w:rPr>
        <w:t xml:space="preserve">Partially to settle such debate, the Australian Government conducted two rounds of consultations in the </w:t>
      </w:r>
      <w:r w:rsidR="00C2325E" w:rsidRPr="004C7FF2">
        <w:rPr>
          <w:rFonts w:eastAsiaTheme="majorEastAsia"/>
        </w:rPr>
        <w:t>higher education</w:t>
      </w:r>
      <w:r w:rsidRPr="004C7FF2">
        <w:rPr>
          <w:rFonts w:eastAsiaTheme="majorEastAsia"/>
        </w:rPr>
        <w:t xml:space="preserve"> sector regarding how to capture </w:t>
      </w:r>
      <w:r w:rsidR="00C2325E" w:rsidRPr="004C7FF2">
        <w:rPr>
          <w:rFonts w:eastAsiaTheme="majorEastAsia"/>
        </w:rPr>
        <w:t xml:space="preserve">the </w:t>
      </w:r>
      <w:r w:rsidRPr="004C7FF2">
        <w:rPr>
          <w:rFonts w:eastAsiaTheme="majorEastAsia"/>
        </w:rPr>
        <w:t xml:space="preserve">low </w:t>
      </w:r>
      <w:r w:rsidR="00DD3C30" w:rsidRPr="004C7FF2">
        <w:rPr>
          <w:rFonts w:eastAsiaTheme="majorEastAsia"/>
        </w:rPr>
        <w:t>SES</w:t>
      </w:r>
      <w:r w:rsidR="00764C7F" w:rsidRPr="004C7FF2">
        <w:rPr>
          <w:rFonts w:eastAsiaTheme="majorEastAsia"/>
        </w:rPr>
        <w:t xml:space="preserve"> </w:t>
      </w:r>
      <w:r w:rsidR="00C2325E" w:rsidRPr="004C7FF2">
        <w:rPr>
          <w:rFonts w:eastAsiaTheme="majorEastAsia"/>
        </w:rPr>
        <w:t>background</w:t>
      </w:r>
      <w:r w:rsidRPr="004C7FF2">
        <w:rPr>
          <w:rFonts w:eastAsiaTheme="majorEastAsia"/>
        </w:rPr>
        <w:t xml:space="preserve"> properly in the past decades. Specifically, in 2009, the Department of Education, Employment and Workplace Relations (DEEWR) initiated the first round of consultation in their discussion paper Measuring the Socio</w:t>
      </w:r>
      <w:r w:rsidRPr="004C7FF2">
        <w:rPr>
          <w:rFonts w:ascii="Cambria Math" w:eastAsiaTheme="majorEastAsia" w:hAnsi="Cambria Math" w:cs="Cambria Math"/>
        </w:rPr>
        <w:t>‐</w:t>
      </w:r>
      <w:r w:rsidRPr="004C7FF2">
        <w:rPr>
          <w:rFonts w:eastAsiaTheme="majorEastAsia"/>
        </w:rPr>
        <w:t xml:space="preserve">economic Status of Higher Education Students (DEEWR, 2009). Four years later, the Department of Industry, Innovation, Climate change, Science, Research and Tertiary Education (DIICSRTE) collated and summarised sector responses to DEEWR (2009) and made </w:t>
      </w:r>
      <w:r w:rsidR="00C2325E" w:rsidRPr="004C7FF2">
        <w:rPr>
          <w:rFonts w:eastAsiaTheme="majorEastAsia"/>
        </w:rPr>
        <w:t xml:space="preserve">a </w:t>
      </w:r>
      <w:r w:rsidRPr="004C7FF2">
        <w:rPr>
          <w:rFonts w:eastAsiaTheme="majorEastAsia"/>
        </w:rPr>
        <w:t>decision to continue with the area-based measure to capture low</w:t>
      </w:r>
      <w:r w:rsidR="002A5049" w:rsidRPr="004C7FF2">
        <w:rPr>
          <w:rFonts w:eastAsiaTheme="majorEastAsia"/>
        </w:rPr>
        <w:t xml:space="preserve"> </w:t>
      </w:r>
      <w:r w:rsidRPr="004C7FF2">
        <w:rPr>
          <w:rFonts w:eastAsiaTheme="majorEastAsia"/>
        </w:rPr>
        <w:t xml:space="preserve">SES in their discussion paper </w:t>
      </w:r>
      <w:r w:rsidRPr="00790AF1">
        <w:rPr>
          <w:rFonts w:eastAsiaTheme="majorEastAsia"/>
          <w:i/>
          <w:iCs/>
        </w:rPr>
        <w:t>Moving to an Enhanced Indicator of HE Students’ Socio-economic Status</w:t>
      </w:r>
      <w:r w:rsidRPr="004C7FF2">
        <w:rPr>
          <w:rFonts w:eastAsiaTheme="majorEastAsia"/>
        </w:rPr>
        <w:t xml:space="preserve"> (DIICSRTE, 2013). The area-based low</w:t>
      </w:r>
      <w:r w:rsidR="00C553A8" w:rsidRPr="004C7FF2">
        <w:rPr>
          <w:rFonts w:eastAsiaTheme="majorEastAsia"/>
        </w:rPr>
        <w:t xml:space="preserve"> </w:t>
      </w:r>
      <w:r w:rsidRPr="004C7FF2">
        <w:rPr>
          <w:rFonts w:eastAsiaTheme="majorEastAsia"/>
        </w:rPr>
        <w:t xml:space="preserve">SES proved to be an important predictor of education </w:t>
      </w:r>
      <w:r w:rsidR="00E33DEA">
        <w:rPr>
          <w:rFonts w:eastAsiaTheme="majorEastAsia"/>
        </w:rPr>
        <w:t xml:space="preserve">access </w:t>
      </w:r>
      <w:r w:rsidRPr="004C7FF2">
        <w:rPr>
          <w:rFonts w:eastAsiaTheme="majorEastAsia"/>
        </w:rPr>
        <w:t xml:space="preserve">in our analysis, so we would advise against abandoning it. However, FiF status had a greater impact on university enrolments, which </w:t>
      </w:r>
      <w:r w:rsidRPr="004C7FF2">
        <w:t>leads us to issue the following recommendation:</w:t>
      </w:r>
    </w:p>
    <w:p w14:paraId="21D3DD0F" w14:textId="266B9BE4" w:rsidR="007E524B" w:rsidRDefault="007E524B" w:rsidP="007E524B">
      <w:r w:rsidRPr="000C47FA">
        <w:rPr>
          <w:b/>
          <w:bCs/>
        </w:rPr>
        <w:t xml:space="preserve">Recommendation </w:t>
      </w:r>
      <w:r>
        <w:rPr>
          <w:b/>
          <w:bCs/>
        </w:rPr>
        <w:t>1</w:t>
      </w:r>
      <w:r w:rsidRPr="000C47FA">
        <w:rPr>
          <w:b/>
          <w:bCs/>
        </w:rPr>
        <w:t>.</w:t>
      </w:r>
      <w:r w:rsidRPr="000C47FA">
        <w:t xml:space="preserve"> </w:t>
      </w:r>
      <w:r w:rsidR="009834DB">
        <w:t>The Australian Government and s</w:t>
      </w:r>
      <w:r w:rsidR="009834DB" w:rsidRPr="008079FF">
        <w:t xml:space="preserve">takeholders at </w:t>
      </w:r>
      <w:r w:rsidR="009834DB">
        <w:t>other</w:t>
      </w:r>
      <w:r w:rsidR="009834DB" w:rsidRPr="008079FF">
        <w:t xml:space="preserve"> levels </w:t>
      </w:r>
      <w:r w:rsidR="009834DB">
        <w:t xml:space="preserve">should </w:t>
      </w:r>
      <w:r w:rsidR="009834DB" w:rsidRPr="008079FF">
        <w:t xml:space="preserve">consider </w:t>
      </w:r>
      <w:r w:rsidR="009834DB">
        <w:t xml:space="preserve">First-in-Family </w:t>
      </w:r>
      <w:r w:rsidR="005F0AA8">
        <w:t xml:space="preserve">(FiF) </w:t>
      </w:r>
      <w:r w:rsidR="009834DB">
        <w:t>status</w:t>
      </w:r>
      <w:r w:rsidR="009834DB" w:rsidRPr="008079FF">
        <w:t xml:space="preserve"> </w:t>
      </w:r>
      <w:r w:rsidR="009834DB">
        <w:t xml:space="preserve">(or parental education) </w:t>
      </w:r>
      <w:r w:rsidR="009834DB" w:rsidRPr="008079FF">
        <w:t xml:space="preserve">as </w:t>
      </w:r>
      <w:r w:rsidR="009834DB">
        <w:t xml:space="preserve">another </w:t>
      </w:r>
      <w:r w:rsidR="009834DB" w:rsidRPr="008079FF">
        <w:t xml:space="preserve">important factor </w:t>
      </w:r>
      <w:r w:rsidR="009834DB">
        <w:t>affecting university enrolments, access to first-tier institutions, and certain fields of study</w:t>
      </w:r>
      <w:r>
        <w:t>.</w:t>
      </w:r>
    </w:p>
    <w:p w14:paraId="308E369D" w14:textId="5293E2AE" w:rsidR="007E524B" w:rsidRDefault="007E524B" w:rsidP="007E524B">
      <w:r>
        <w:t xml:space="preserve">As we noted describing the study’s limitations, we could identify mechanisms that contribute most to the observed differences in educational pathways between FiF individuals and their peers. This was partly because of the nature of administrative data, which by definition do not capture attitudes and opinions, and partly because the different Australian data assets </w:t>
      </w:r>
      <w:r w:rsidR="00C2325E">
        <w:t xml:space="preserve">are </w:t>
      </w:r>
      <w:r>
        <w:t>still not being fully integrated. We therefore further recommend that:</w:t>
      </w:r>
    </w:p>
    <w:p w14:paraId="5757EC96" w14:textId="1E50A9C5" w:rsidR="007E524B" w:rsidRDefault="007E524B" w:rsidP="007E524B">
      <w:r w:rsidRPr="000C47FA">
        <w:rPr>
          <w:b/>
          <w:bCs/>
        </w:rPr>
        <w:t xml:space="preserve">Recommendation </w:t>
      </w:r>
      <w:r>
        <w:rPr>
          <w:b/>
          <w:bCs/>
        </w:rPr>
        <w:t>2</w:t>
      </w:r>
      <w:r w:rsidRPr="000C47FA">
        <w:rPr>
          <w:b/>
          <w:bCs/>
        </w:rPr>
        <w:t>.</w:t>
      </w:r>
      <w:r w:rsidRPr="000C47FA">
        <w:t xml:space="preserve"> </w:t>
      </w:r>
      <w:r w:rsidR="00003BB3">
        <w:t xml:space="preserve">The different levels of the Australian </w:t>
      </w:r>
      <w:r w:rsidR="005F0AA8">
        <w:t>G</w:t>
      </w:r>
      <w:r w:rsidR="00003BB3">
        <w:t>overnment and other stakeholders should work together to build a data asset covering the full educational paths that would allow investigation of when and how the educational pathways of FiF individuals and their peers diverge.</w:t>
      </w:r>
      <w:r>
        <w:t xml:space="preserve"> </w:t>
      </w:r>
    </w:p>
    <w:p w14:paraId="4898BD85" w14:textId="2B981B19" w:rsidR="007E524B" w:rsidRDefault="005F0AA8" w:rsidP="007E524B">
      <w:r>
        <w:t>A</w:t>
      </w:r>
      <w:r w:rsidR="007E524B">
        <w:t>nd</w:t>
      </w:r>
      <w:r>
        <w:t>:</w:t>
      </w:r>
    </w:p>
    <w:p w14:paraId="4EE333D2" w14:textId="69E66B9C" w:rsidR="007E524B" w:rsidRDefault="007E524B" w:rsidP="007E524B">
      <w:r w:rsidRPr="000C47FA">
        <w:rPr>
          <w:b/>
          <w:bCs/>
        </w:rPr>
        <w:t xml:space="preserve">Recommendation </w:t>
      </w:r>
      <w:r>
        <w:rPr>
          <w:b/>
          <w:bCs/>
        </w:rPr>
        <w:t>3</w:t>
      </w:r>
      <w:r w:rsidRPr="000C47FA">
        <w:rPr>
          <w:b/>
          <w:bCs/>
        </w:rPr>
        <w:t>.</w:t>
      </w:r>
      <w:r>
        <w:rPr>
          <w:b/>
          <w:bCs/>
        </w:rPr>
        <w:t xml:space="preserve"> </w:t>
      </w:r>
      <w:r w:rsidR="00C14FB5">
        <w:t xml:space="preserve">The Australian Government should consider funding further research exploring why attitudes and aspirations of FiF young people differ from those of non-FiF youth and how they shape educational outcomes. This is needed to better understand </w:t>
      </w:r>
      <w:r w:rsidR="00C14FB5" w:rsidRPr="00E014AD">
        <w:t>the mechanisms leading to the divergence of educational pathways.</w:t>
      </w:r>
    </w:p>
    <w:p w14:paraId="732739CA" w14:textId="5258B5BE" w:rsidR="007E524B" w:rsidRDefault="00DD015F" w:rsidP="007E524B">
      <w:r>
        <w:t>While prior studies described attitudes and aspirations of FiF students and documented differences in aspirations between FiF and non-FiF students (</w:t>
      </w:r>
      <w:r w:rsidRPr="00183B2F">
        <w:rPr>
          <w:rStyle w:val="Emphasis"/>
          <w:rFonts w:eastAsiaTheme="majorEastAsia"/>
          <w:i w:val="0"/>
          <w:iCs w:val="0"/>
          <w:color w:val="0E101A"/>
        </w:rPr>
        <w:t xml:space="preserve">Patfield, Gore, </w:t>
      </w:r>
      <w:r>
        <w:rPr>
          <w:rStyle w:val="Emphasis"/>
          <w:rFonts w:eastAsiaTheme="majorEastAsia"/>
          <w:i w:val="0"/>
          <w:iCs w:val="0"/>
          <w:color w:val="0E101A"/>
        </w:rPr>
        <w:t>&amp;</w:t>
      </w:r>
      <w:r w:rsidRPr="00183B2F">
        <w:rPr>
          <w:rStyle w:val="Emphasis"/>
          <w:rFonts w:eastAsiaTheme="majorEastAsia"/>
          <w:i w:val="0"/>
          <w:iCs w:val="0"/>
          <w:color w:val="0E101A"/>
        </w:rPr>
        <w:t xml:space="preserve"> Weaver</w:t>
      </w:r>
      <w:r>
        <w:rPr>
          <w:rStyle w:val="Emphasis"/>
          <w:rFonts w:eastAsiaTheme="majorEastAsia"/>
          <w:i w:val="0"/>
          <w:iCs w:val="0"/>
          <w:color w:val="0E101A"/>
        </w:rPr>
        <w:t xml:space="preserve">, </w:t>
      </w:r>
      <w:r w:rsidRPr="00183B2F">
        <w:rPr>
          <w:rStyle w:val="Emphasis"/>
          <w:rFonts w:eastAsiaTheme="majorEastAsia"/>
          <w:i w:val="0"/>
          <w:iCs w:val="0"/>
          <w:color w:val="0E101A"/>
        </w:rPr>
        <w:t>2022</w:t>
      </w:r>
      <w:r>
        <w:rPr>
          <w:lang w:eastAsia="zh-CN"/>
        </w:rPr>
        <w:t xml:space="preserve">), they did not explain how those differences had </w:t>
      </w:r>
      <w:r w:rsidR="00C14FB5">
        <w:rPr>
          <w:lang w:eastAsia="zh-CN"/>
        </w:rPr>
        <w:t>arisen</w:t>
      </w:r>
      <w:r>
        <w:rPr>
          <w:lang w:eastAsia="zh-CN"/>
        </w:rPr>
        <w:t xml:space="preserve">, nor to what extent they impacted enrolment patterns. </w:t>
      </w:r>
      <w:r w:rsidR="007E524B">
        <w:t xml:space="preserve">While further studies are needed to fully understand the </w:t>
      </w:r>
      <w:r w:rsidR="007E524B">
        <w:lastRenderedPageBreak/>
        <w:t xml:space="preserve">causes of the educational disadvantage of FiF students in Australia, the research will take time. Therefore, we should leverage existing literature to design policy interventions that might mitigate some of the effects </w:t>
      </w:r>
      <w:r w:rsidR="00C2325E">
        <w:t xml:space="preserve">of </w:t>
      </w:r>
      <w:r w:rsidR="007E524B">
        <w:t>FiF status. The lack of cultural capital and the knowledge necessary to navigate the higher education system is a common thread in the literature. This leads us to our final recommendation:</w:t>
      </w:r>
    </w:p>
    <w:p w14:paraId="077E8E7D" w14:textId="1CD184E9" w:rsidR="007E524B" w:rsidRDefault="007E524B" w:rsidP="007E524B">
      <w:r w:rsidRPr="000C47FA">
        <w:rPr>
          <w:b/>
          <w:bCs/>
        </w:rPr>
        <w:t xml:space="preserve">Recommendation </w:t>
      </w:r>
      <w:r>
        <w:rPr>
          <w:b/>
          <w:bCs/>
        </w:rPr>
        <w:t>4</w:t>
      </w:r>
      <w:r w:rsidRPr="000C47FA">
        <w:rPr>
          <w:b/>
          <w:bCs/>
        </w:rPr>
        <w:t>.</w:t>
      </w:r>
      <w:r>
        <w:rPr>
          <w:b/>
          <w:bCs/>
        </w:rPr>
        <w:t xml:space="preserve"> </w:t>
      </w:r>
      <w:r w:rsidR="00003BB3">
        <w:t>The Australian Government and other</w:t>
      </w:r>
      <w:r w:rsidR="00003BB3" w:rsidRPr="008079FF">
        <w:t xml:space="preserve"> </w:t>
      </w:r>
      <w:r w:rsidR="00003BB3">
        <w:t>s</w:t>
      </w:r>
      <w:r w:rsidR="00003BB3" w:rsidRPr="008079FF">
        <w:t xml:space="preserve">takeholders </w:t>
      </w:r>
      <w:r w:rsidR="00003BB3">
        <w:t xml:space="preserve">should invest in approaches to assist FiF </w:t>
      </w:r>
      <w:r w:rsidR="005F0AA8">
        <w:t xml:space="preserve">individuals in gaining </w:t>
      </w:r>
      <w:r w:rsidR="00003BB3">
        <w:t>access to higher education, selective institutions, and fields in which they are underrepresented</w:t>
      </w:r>
      <w:r w:rsidR="005F0AA8">
        <w:t xml:space="preserve"> and e</w:t>
      </w:r>
      <w:r w:rsidR="00880C0E">
        <w:t>xpand</w:t>
      </w:r>
      <w:r w:rsidR="00003BB3">
        <w:t xml:space="preserve"> outreach and career</w:t>
      </w:r>
      <w:r w:rsidR="00003BB3" w:rsidRPr="007E524B">
        <w:t xml:space="preserve"> counselling </w:t>
      </w:r>
      <w:r w:rsidR="00003BB3">
        <w:t>programs that would equip FiF individuals with the knowledge necessary to navigate the higher education system as well as help them understand various career paths.</w:t>
      </w:r>
    </w:p>
    <w:p w14:paraId="0878AAE8" w14:textId="38EF50B4" w:rsidR="007E524B" w:rsidRDefault="007E524B">
      <w:pPr>
        <w:spacing w:line="259" w:lineRule="auto"/>
      </w:pPr>
      <w:r>
        <w:t xml:space="preserve">The programs should aim to engage young people early enough to give them time to choose a more university-oriented path in secondary education. While such programs will not solve the problem entirely, </w:t>
      </w:r>
      <w:r w:rsidR="00C2325E">
        <w:t>they</w:t>
      </w:r>
      <w:r>
        <w:t xml:space="preserve"> are relatively easy to implement. They should not only benefit young people before the access stage but might also help those who enter higher education to stay on track.</w:t>
      </w:r>
    </w:p>
    <w:p w14:paraId="25ACD7CB" w14:textId="7E57C6F5" w:rsidR="009D6D47" w:rsidRPr="002F3A26" w:rsidRDefault="009D6D47">
      <w:pPr>
        <w:spacing w:line="259" w:lineRule="auto"/>
      </w:pPr>
      <w:r w:rsidRPr="002F3A26">
        <w:br w:type="page"/>
      </w:r>
    </w:p>
    <w:p w14:paraId="72DF5DE3" w14:textId="77777777" w:rsidR="009D6D47" w:rsidRPr="002F3A26" w:rsidRDefault="009D6D47" w:rsidP="00942F29">
      <w:pPr>
        <w:pStyle w:val="Heading1"/>
      </w:pPr>
      <w:bookmarkStart w:id="75" w:name="_Toc202791810"/>
      <w:r w:rsidRPr="002F3A26">
        <w:lastRenderedPageBreak/>
        <w:t>References</w:t>
      </w:r>
      <w:bookmarkEnd w:id="75"/>
    </w:p>
    <w:p w14:paraId="00E105F5" w14:textId="77777777" w:rsidR="00694737" w:rsidRPr="00D23949" w:rsidRDefault="00694737" w:rsidP="005107FC">
      <w:pPr>
        <w:pStyle w:val="StyleJustifiedLeft0cmHanging127cm"/>
        <w:jc w:val="left"/>
      </w:pPr>
      <w:r w:rsidRPr="00991659">
        <w:t xml:space="preserve">Appadurai, A. (2004). The capacity to aspire: Culture and the terms of recognition. In V. Rao &amp; M. Walton (Eds.), </w:t>
      </w:r>
      <w:r w:rsidRPr="00991659">
        <w:rPr>
          <w:i/>
          <w:iCs/>
        </w:rPr>
        <w:t>Culture and public action</w:t>
      </w:r>
      <w:r w:rsidRPr="00991659">
        <w:t xml:space="preserve"> (pp. 59–84). Stanford University Press.</w:t>
      </w:r>
    </w:p>
    <w:p w14:paraId="53AE2872" w14:textId="77777777" w:rsidR="00694737" w:rsidRPr="00991659" w:rsidRDefault="00694737" w:rsidP="005107FC">
      <w:pPr>
        <w:pStyle w:val="StyleJustifiedLeft0cmHanging127cm"/>
        <w:jc w:val="left"/>
      </w:pPr>
      <w:r w:rsidRPr="00991659">
        <w:t xml:space="preserve">Aries, E., &amp; Seider, M. (2005). The interactive relationship between class identity and the college experience: The case of lower income students. </w:t>
      </w:r>
      <w:r w:rsidRPr="00991659">
        <w:rPr>
          <w:i/>
          <w:iCs/>
        </w:rPr>
        <w:t>Qualitative Sociology, 28</w:t>
      </w:r>
      <w:r w:rsidRPr="00991659">
        <w:t xml:space="preserve">, 419–443. </w:t>
      </w:r>
      <w:hyperlink r:id="rId24" w:tgtFrame="_blank" w:history="1">
        <w:r w:rsidRPr="00790AF1">
          <w:rPr>
            <w:rStyle w:val="Hyperlink"/>
          </w:rPr>
          <w:t>https://doi.org/10.1007/s11133-005-8366-1</w:t>
        </w:r>
      </w:hyperlink>
    </w:p>
    <w:p w14:paraId="5B529034" w14:textId="77777777" w:rsidR="00694737" w:rsidRPr="00991659" w:rsidRDefault="00694737" w:rsidP="005107FC">
      <w:pPr>
        <w:pStyle w:val="StyleJustifiedLeft0cmHanging127cm"/>
        <w:jc w:val="left"/>
      </w:pPr>
      <w:r w:rsidRPr="00991659">
        <w:t>Australian Government. (2009). Transforming Australia’s higher education system. DEEWR.  </w:t>
      </w:r>
    </w:p>
    <w:p w14:paraId="1D6DB5B7" w14:textId="77777777" w:rsidR="00694737" w:rsidRPr="00991659" w:rsidRDefault="00694737" w:rsidP="005107FC">
      <w:pPr>
        <w:pStyle w:val="StyleJustifiedLeft0cmHanging127cm"/>
        <w:jc w:val="left"/>
      </w:pPr>
      <w:r w:rsidRPr="00991659">
        <w:t xml:space="preserve">Australian Institute of Health and Welfare (AIHW). (2014). </w:t>
      </w:r>
      <w:r w:rsidRPr="00991659">
        <w:rPr>
          <w:i/>
          <w:iCs/>
        </w:rPr>
        <w:t>Towards a performance measurement framework for equity in higher education</w:t>
      </w:r>
      <w:r w:rsidRPr="00991659">
        <w:t>. Australian Institute of Health and Welfare.</w:t>
      </w:r>
    </w:p>
    <w:p w14:paraId="14E0F4AA" w14:textId="77777777" w:rsidR="00694737" w:rsidRPr="00991659" w:rsidRDefault="00694737" w:rsidP="005107FC">
      <w:pPr>
        <w:pStyle w:val="StyleJustifiedLeft0cmHanging127cm"/>
        <w:jc w:val="left"/>
      </w:pPr>
      <w:r w:rsidRPr="00991659">
        <w:t xml:space="preserve">Barsegyan, V., &amp; Maas, I. (2024). First-generation students’ educational outcomes: the role of parental educational, cultural, and economic capital–a 9-years panel study. </w:t>
      </w:r>
      <w:r w:rsidRPr="00991659">
        <w:rPr>
          <w:i/>
          <w:iCs/>
        </w:rPr>
        <w:t>Research in Social Stratification and Mobility</w:t>
      </w:r>
      <w:r w:rsidRPr="00991659">
        <w:t xml:space="preserve">, 100939. </w:t>
      </w:r>
      <w:hyperlink r:id="rId25" w:tgtFrame="_blank" w:history="1">
        <w:r w:rsidRPr="00790AF1">
          <w:rPr>
            <w:rStyle w:val="Hyperlink"/>
          </w:rPr>
          <w:t>https://doi.org/10.1016/j.rssm.2024.100939</w:t>
        </w:r>
      </w:hyperlink>
    </w:p>
    <w:p w14:paraId="2C91B4F9" w14:textId="1B834A52" w:rsidR="009E1B26" w:rsidRPr="00991659" w:rsidRDefault="009E1B26" w:rsidP="005107FC">
      <w:pPr>
        <w:pStyle w:val="StyleJustifiedLeft0cmHanging127cm"/>
        <w:jc w:val="left"/>
      </w:pPr>
      <w:r w:rsidRPr="003200B8">
        <w:t xml:space="preserve">Bennett, A., &amp; Southgate, E. (2014). Excavating widening participation policy in Australian higher education: Subject positions, representational effects, emotion. </w:t>
      </w:r>
      <w:r w:rsidRPr="003200B8">
        <w:rPr>
          <w:i/>
          <w:iCs/>
        </w:rPr>
        <w:t>Creative Approaches</w:t>
      </w:r>
      <w:r w:rsidRPr="00991659">
        <w:rPr>
          <w:i/>
          <w:iCs/>
        </w:rPr>
        <w:t xml:space="preserve"> to Research, 7</w:t>
      </w:r>
      <w:r w:rsidRPr="00991659">
        <w:t>(1), 21–45.</w:t>
      </w:r>
    </w:p>
    <w:p w14:paraId="2A9BD77C" w14:textId="77777777" w:rsidR="00694737" w:rsidRPr="00991659" w:rsidRDefault="00694737" w:rsidP="005107FC">
      <w:pPr>
        <w:pStyle w:val="StyleJustifiedLeft0cmHanging127cm"/>
        <w:jc w:val="left"/>
      </w:pPr>
      <w:r w:rsidRPr="00991659">
        <w:t xml:space="preserve">Bernstein, B. (1962) Social class, linguistic codes and grammatical elements.  </w:t>
      </w:r>
      <w:r w:rsidRPr="00991659">
        <w:rPr>
          <w:i/>
          <w:iCs/>
        </w:rPr>
        <w:t>Language and Speech</w:t>
      </w:r>
      <w:r w:rsidRPr="00991659">
        <w:t>, Vol 5, Issue 4.</w:t>
      </w:r>
    </w:p>
    <w:p w14:paraId="06CBCBC4" w14:textId="77777777" w:rsidR="00694737" w:rsidRPr="00991659" w:rsidRDefault="00694737" w:rsidP="005107FC">
      <w:pPr>
        <w:pStyle w:val="StyleJustifiedLeft0cmHanging127cm"/>
        <w:jc w:val="left"/>
      </w:pPr>
      <w:r w:rsidRPr="00991659">
        <w:t xml:space="preserve">Blossfeld, P. N. (2019). A multidimensional measure of social origin: theoretical perspectives, operationalization and empirical application in the field of educational inequality research. </w:t>
      </w:r>
      <w:r w:rsidRPr="00991659">
        <w:rPr>
          <w:i/>
          <w:iCs/>
        </w:rPr>
        <w:t>Quality &amp; Quantity, 53</w:t>
      </w:r>
      <w:r w:rsidRPr="00991659">
        <w:t xml:space="preserve">(3), 1347-1367. </w:t>
      </w:r>
      <w:hyperlink r:id="rId26" w:tgtFrame="_blank" w:history="1">
        <w:r w:rsidRPr="00790AF1">
          <w:rPr>
            <w:rStyle w:val="Hyperlink"/>
          </w:rPr>
          <w:t>https://doi.org/10.1007/s11135-018-0818-2</w:t>
        </w:r>
      </w:hyperlink>
    </w:p>
    <w:p w14:paraId="5354E037" w14:textId="77777777" w:rsidR="00694737" w:rsidRPr="00991659" w:rsidRDefault="00694737" w:rsidP="005107FC">
      <w:pPr>
        <w:pStyle w:val="StyleJustifiedLeft0cmHanging127cm"/>
        <w:jc w:val="left"/>
      </w:pPr>
      <w:r w:rsidRPr="00991659">
        <w:t xml:space="preserve">Blossfeld, P. N. (2020). The role of the changing social background composition for changes in inequality of educational opportunity: An analysis of the process of educational expansion in Germany 1950–2010. </w:t>
      </w:r>
      <w:r w:rsidRPr="00991659">
        <w:rPr>
          <w:i/>
          <w:iCs/>
        </w:rPr>
        <w:t>Advances in Life Course Research</w:t>
      </w:r>
      <w:r w:rsidRPr="00991659">
        <w:t xml:space="preserve">, 100338. </w:t>
      </w:r>
      <w:hyperlink r:id="rId27" w:tgtFrame="_blank" w:history="1">
        <w:r w:rsidRPr="00790AF1">
          <w:rPr>
            <w:rStyle w:val="Hyperlink"/>
          </w:rPr>
          <w:t>https://doi.org/10.1016/j.alcr.2020.100338</w:t>
        </w:r>
      </w:hyperlink>
    </w:p>
    <w:p w14:paraId="7A2A78CA" w14:textId="400916F3" w:rsidR="00694737" w:rsidRPr="00991659" w:rsidRDefault="00694737" w:rsidP="005107FC">
      <w:pPr>
        <w:pStyle w:val="StyleJustifiedLeft0cmHanging127cm"/>
        <w:jc w:val="left"/>
      </w:pPr>
      <w:r w:rsidRPr="00991659">
        <w:t>Bok, J. (2010). The capacity to aspire to higher education:</w:t>
      </w:r>
      <w:r w:rsidR="005F0AA8">
        <w:t xml:space="preserve"> </w:t>
      </w:r>
      <w:r w:rsidRPr="00991659">
        <w:t xml:space="preserve">‘It's like making them do a play without a script. </w:t>
      </w:r>
      <w:r w:rsidRPr="00991659">
        <w:rPr>
          <w:i/>
          <w:iCs/>
        </w:rPr>
        <w:t>Critical studies in education, 51</w:t>
      </w:r>
      <w:r w:rsidRPr="00991659">
        <w:t xml:space="preserve">(2), 163-178. </w:t>
      </w:r>
      <w:hyperlink r:id="rId28" w:tgtFrame="_blank" w:history="1">
        <w:r w:rsidRPr="00790AF1">
          <w:rPr>
            <w:rStyle w:val="Hyperlink"/>
          </w:rPr>
          <w:t>https://doi.org/10.1080/17508481003731042</w:t>
        </w:r>
      </w:hyperlink>
    </w:p>
    <w:p w14:paraId="34E40B69" w14:textId="77777777" w:rsidR="00694737" w:rsidRPr="00991659" w:rsidRDefault="00694737" w:rsidP="005107FC">
      <w:pPr>
        <w:pStyle w:val="StyleJustifiedLeft0cmHanging127cm"/>
        <w:jc w:val="left"/>
      </w:pPr>
      <w:r w:rsidRPr="00991659">
        <w:t>Boudon, R. (1974). Education, Opportunity and Social Inequality. Wiley.</w:t>
      </w:r>
    </w:p>
    <w:p w14:paraId="2B969536" w14:textId="77777777" w:rsidR="00694737" w:rsidRPr="00991659" w:rsidRDefault="00694737" w:rsidP="005107FC">
      <w:pPr>
        <w:pStyle w:val="StyleJustifiedLeft0cmHanging127cm"/>
        <w:jc w:val="left"/>
      </w:pPr>
      <w:r w:rsidRPr="00991659">
        <w:t xml:space="preserve">Bourdieu, P. (1973). Cultural reproduction and social reproduction. In R. Brown (Ed.), </w:t>
      </w:r>
      <w:r w:rsidRPr="00991659">
        <w:rPr>
          <w:i/>
          <w:iCs/>
        </w:rPr>
        <w:t>Knowledge, Education and Cultural Change: Papers in the Sociology of Education</w:t>
      </w:r>
      <w:r w:rsidRPr="00991659">
        <w:t xml:space="preserve"> (pp. 71-112). Tavistock.</w:t>
      </w:r>
    </w:p>
    <w:p w14:paraId="4AE6F8D5" w14:textId="77777777" w:rsidR="00694737" w:rsidRPr="00991659" w:rsidRDefault="00694737" w:rsidP="005107FC">
      <w:pPr>
        <w:pStyle w:val="StyleJustifiedLeft0cmHanging127cm"/>
        <w:jc w:val="left"/>
      </w:pPr>
      <w:r w:rsidRPr="00991659">
        <w:t>Bourdieu, P. (1984). Distinction.  A Social Critique of the Judgement of Taste. Harvard University Press.</w:t>
      </w:r>
    </w:p>
    <w:p w14:paraId="19E4D068" w14:textId="77777777" w:rsidR="00694737" w:rsidRPr="00991659" w:rsidRDefault="00694737" w:rsidP="005107FC">
      <w:pPr>
        <w:pStyle w:val="StyleJustifiedLeft0cmHanging127cm"/>
        <w:jc w:val="left"/>
      </w:pPr>
      <w:r w:rsidRPr="00991659">
        <w:t xml:space="preserve">Bourne, M., Bukodi, E., Betthäuser, B., &amp; Goldthorpe, J. H. (2018). ‘Persistence of the social’: The role of cognitive ability in mediating the effects of social origins on </w:t>
      </w:r>
      <w:r w:rsidRPr="00991659">
        <w:lastRenderedPageBreak/>
        <w:t xml:space="preserve">educational attainment in Britain. </w:t>
      </w:r>
      <w:r w:rsidRPr="00991659">
        <w:rPr>
          <w:i/>
          <w:iCs/>
        </w:rPr>
        <w:t>Research in Social Stratification and Mobility, 58</w:t>
      </w:r>
      <w:r w:rsidRPr="00991659">
        <w:t>, 11-21.</w:t>
      </w:r>
    </w:p>
    <w:p w14:paraId="7A1BF521" w14:textId="77777777" w:rsidR="00694737" w:rsidRPr="00991659" w:rsidRDefault="00694737" w:rsidP="005107FC">
      <w:pPr>
        <w:pStyle w:val="StyleJustifiedLeft0cmHanging127cm"/>
        <w:jc w:val="left"/>
      </w:pPr>
      <w:r w:rsidRPr="00991659">
        <w:t xml:space="preserve">Bowl, M. (2001). Experiencing the barriers: Non-traditional students entering higher education. </w:t>
      </w:r>
      <w:r w:rsidRPr="00991659">
        <w:rPr>
          <w:i/>
          <w:iCs/>
        </w:rPr>
        <w:t>Research Papers in Education, 16</w:t>
      </w:r>
      <w:r w:rsidRPr="00991659">
        <w:t xml:space="preserve">(2), 141-160. </w:t>
      </w:r>
      <w:hyperlink r:id="rId29" w:tgtFrame="_blank" w:history="1">
        <w:r w:rsidRPr="00790AF1">
          <w:rPr>
            <w:rStyle w:val="Hyperlink"/>
          </w:rPr>
          <w:t>https://doi.org/10.1080/02671520110037410</w:t>
        </w:r>
      </w:hyperlink>
    </w:p>
    <w:p w14:paraId="207330D9" w14:textId="77777777" w:rsidR="00694737" w:rsidRPr="00991659" w:rsidRDefault="00694737" w:rsidP="005107FC">
      <w:pPr>
        <w:pStyle w:val="StyleJustifiedLeft0cmHanging127cm"/>
        <w:jc w:val="left"/>
      </w:pPr>
      <w:r w:rsidRPr="00991659">
        <w:t xml:space="preserve">Breen, R., &amp; Goldthorpe, J. H. (1997). Explaining educational differentials towards a formal rational action theory. </w:t>
      </w:r>
      <w:r w:rsidRPr="00991659">
        <w:rPr>
          <w:i/>
          <w:iCs/>
        </w:rPr>
        <w:t>Rationality and Society, 9</w:t>
      </w:r>
      <w:r w:rsidRPr="00991659">
        <w:t xml:space="preserve">(3), 275-305. </w:t>
      </w:r>
      <w:hyperlink r:id="rId30" w:tgtFrame="_blank" w:history="1">
        <w:r w:rsidRPr="00790AF1">
          <w:rPr>
            <w:rStyle w:val="Hyperlink"/>
          </w:rPr>
          <w:t>https://doi.org/10.1177/104346397009003002</w:t>
        </w:r>
      </w:hyperlink>
    </w:p>
    <w:p w14:paraId="576D93D8" w14:textId="2180922F" w:rsidR="00301675" w:rsidRPr="00991659" w:rsidRDefault="00301675" w:rsidP="005107FC">
      <w:pPr>
        <w:pStyle w:val="StyleJustifiedLeft0cmHanging127cm"/>
        <w:jc w:val="left"/>
      </w:pPr>
      <w:r w:rsidRPr="00991659">
        <w:t xml:space="preserve">Breen, R., van de Werfhorst, H. G., &amp; Jæger, M. M. (2014). Deciding under doubt: A theory of risk aversion, time discounting preferences, and educational decision-making. </w:t>
      </w:r>
      <w:r w:rsidRPr="00991659">
        <w:rPr>
          <w:i/>
          <w:iCs/>
        </w:rPr>
        <w:t>European Sociological Review, 30</w:t>
      </w:r>
      <w:r w:rsidRPr="00991659">
        <w:t>(2), 258–270.</w:t>
      </w:r>
    </w:p>
    <w:p w14:paraId="7E25C860" w14:textId="77777777" w:rsidR="00694737" w:rsidRPr="00991659" w:rsidRDefault="00694737" w:rsidP="005107FC">
      <w:pPr>
        <w:pStyle w:val="StyleJustifiedLeft0cmHanging127cm"/>
        <w:jc w:val="left"/>
      </w:pPr>
      <w:r w:rsidRPr="00991659">
        <w:t xml:space="preserve">Buis, M. L. (2013). The composition of family background: The influence of the economic and cultural resources of both parents on the offspring's educational attainment in the Netherlands between 1939 and 1991. </w:t>
      </w:r>
      <w:r w:rsidRPr="00991659">
        <w:rPr>
          <w:i/>
          <w:iCs/>
        </w:rPr>
        <w:t>European sociological review, 29</w:t>
      </w:r>
      <w:r w:rsidRPr="00991659">
        <w:t>(3), 593-602.</w:t>
      </w:r>
    </w:p>
    <w:p w14:paraId="0A84F906" w14:textId="77777777" w:rsidR="00694737" w:rsidRPr="00991659" w:rsidRDefault="00694737" w:rsidP="005107FC">
      <w:pPr>
        <w:pStyle w:val="StyleJustifiedLeft0cmHanging127cm"/>
        <w:jc w:val="left"/>
      </w:pPr>
      <w:r w:rsidRPr="00991659">
        <w:t xml:space="preserve">Bukodi, E., Eibl, F., Buchholz, S., Marzadro, S., Minello, A., Wahler, S., Blossfeld, H.-P., Erikson, R., &amp; Schizzerotto, A. (2018). Linking the macro to the micro: a multidimensional approach to educational inequalities in four European countries. </w:t>
      </w:r>
      <w:r w:rsidRPr="00991659">
        <w:rPr>
          <w:i/>
          <w:iCs/>
        </w:rPr>
        <w:t>European Societies, 20</w:t>
      </w:r>
      <w:r w:rsidRPr="00991659">
        <w:t xml:space="preserve">(1), 26-64. </w:t>
      </w:r>
      <w:hyperlink r:id="rId31" w:tgtFrame="_blank" w:history="1">
        <w:r w:rsidRPr="00790AF1">
          <w:rPr>
            <w:rStyle w:val="Hyperlink"/>
          </w:rPr>
          <w:t>https://doi.org/10.1080/14616696.2017.1329934</w:t>
        </w:r>
      </w:hyperlink>
    </w:p>
    <w:p w14:paraId="2A520F1B" w14:textId="77777777" w:rsidR="00694737" w:rsidRPr="00991659" w:rsidRDefault="00694737" w:rsidP="005107FC">
      <w:pPr>
        <w:pStyle w:val="StyleJustifiedLeft0cmHanging127cm"/>
        <w:jc w:val="left"/>
      </w:pPr>
      <w:r w:rsidRPr="00991659">
        <w:t xml:space="preserve">Bukodi, E., &amp; Goldthorpe, J. H. (2013). Decomposing ‘social origins’: The effects of parents’ class, status, and education on the educational attainment of their children. </w:t>
      </w:r>
      <w:r w:rsidRPr="00991659">
        <w:rPr>
          <w:i/>
          <w:iCs/>
        </w:rPr>
        <w:t>European sociological review, 29</w:t>
      </w:r>
      <w:r w:rsidRPr="00991659">
        <w:t>(5), 1024-1039.</w:t>
      </w:r>
    </w:p>
    <w:p w14:paraId="291A53EE" w14:textId="77777777" w:rsidR="00694737" w:rsidRPr="00991659" w:rsidRDefault="00694737" w:rsidP="005107FC">
      <w:pPr>
        <w:pStyle w:val="StyleJustifiedLeft0cmHanging127cm"/>
        <w:jc w:val="left"/>
      </w:pPr>
      <w:r w:rsidRPr="00991659">
        <w:t xml:space="preserve">Bunn, M., Burke, P. J., &amp; Threadgold, S. </w:t>
      </w:r>
      <w:r w:rsidRPr="00790AF1">
        <w:t xml:space="preserve">(2022). </w:t>
      </w:r>
      <w:r w:rsidRPr="00991659">
        <w:t xml:space="preserve">Classed trajectories in higher education and the graduate labour market: Affective affinities in a ‘meritocracy’. </w:t>
      </w:r>
      <w:r w:rsidRPr="00991659">
        <w:rPr>
          <w:i/>
          <w:iCs/>
        </w:rPr>
        <w:t>British Journal of Sociology of Education</w:t>
      </w:r>
      <w:r w:rsidRPr="00991659">
        <w:t>, 43(8), 1273–1287.</w:t>
      </w:r>
    </w:p>
    <w:p w14:paraId="7212921F" w14:textId="77777777" w:rsidR="00694737" w:rsidRPr="00991659" w:rsidRDefault="00694737" w:rsidP="005107FC">
      <w:pPr>
        <w:pStyle w:val="StyleJustifiedLeft0cmHanging127cm"/>
        <w:jc w:val="left"/>
      </w:pPr>
      <w:r w:rsidRPr="00991659">
        <w:t xml:space="preserve">Byrd, K. L., &amp; MacDonald, G. (2005). Defining college readiness from the inside out: First-generation college student perspectives. </w:t>
      </w:r>
      <w:r w:rsidRPr="00991659">
        <w:rPr>
          <w:i/>
          <w:iCs/>
        </w:rPr>
        <w:t>Community College Review, 33</w:t>
      </w:r>
      <w:r w:rsidRPr="00991659">
        <w:t xml:space="preserve">(1), 22-37. </w:t>
      </w:r>
      <w:hyperlink r:id="rId32" w:tgtFrame="_blank" w:history="1">
        <w:r w:rsidRPr="00790AF1">
          <w:rPr>
            <w:rStyle w:val="Hyperlink"/>
          </w:rPr>
          <w:t>https://doi.org/10.1177/009155210503300102</w:t>
        </w:r>
      </w:hyperlink>
    </w:p>
    <w:p w14:paraId="0EAFA3EF" w14:textId="5539045D" w:rsidR="00AC60F6" w:rsidRPr="00991659" w:rsidRDefault="00AC60F6" w:rsidP="005107FC">
      <w:pPr>
        <w:pStyle w:val="StyleJustifiedLeft0cmHanging127cm"/>
        <w:jc w:val="left"/>
      </w:pPr>
      <w:r w:rsidRPr="00991659">
        <w:t xml:space="preserve">Cardak, B. A. and C. Ryan, 2009. Participation in Higher Education in Australia: Equity and Access*. </w:t>
      </w:r>
      <w:r w:rsidRPr="00991659">
        <w:rPr>
          <w:i/>
          <w:iCs/>
        </w:rPr>
        <w:t>Economic Record 85</w:t>
      </w:r>
      <w:r w:rsidRPr="00991659">
        <w:t>: 433-448.</w:t>
      </w:r>
    </w:p>
    <w:p w14:paraId="59837794" w14:textId="77777777" w:rsidR="00694737" w:rsidRPr="00991659" w:rsidRDefault="00694737" w:rsidP="005107FC">
      <w:pPr>
        <w:pStyle w:val="StyleJustifiedLeft0cmHanging127cm"/>
        <w:jc w:val="left"/>
      </w:pPr>
      <w:r w:rsidRPr="00991659">
        <w:t xml:space="preserve">Chesters, J., &amp; Watson, L. (2013). Understanding the persistence of inequality in higher education: Evidence from Australia. </w:t>
      </w:r>
      <w:r w:rsidRPr="00991659">
        <w:rPr>
          <w:i/>
          <w:iCs/>
        </w:rPr>
        <w:t>Journal of Education Policy, 28</w:t>
      </w:r>
      <w:r w:rsidRPr="00991659">
        <w:t>(2), 198-215.</w:t>
      </w:r>
    </w:p>
    <w:p w14:paraId="25CD58A7" w14:textId="346EC012" w:rsidR="00AC60F6" w:rsidRPr="00991659" w:rsidRDefault="00AC60F6" w:rsidP="005107FC">
      <w:pPr>
        <w:pStyle w:val="StyleJustifiedLeft0cmHanging127cm"/>
        <w:jc w:val="left"/>
        <w:rPr>
          <w:rFonts w:cs="Arial"/>
        </w:rPr>
      </w:pPr>
      <w:r w:rsidRPr="00991659">
        <w:t xml:space="preserve">Chesters, J. &amp; Watson, L. (2014). Returns to education for those returning to education: evidence from Australia. </w:t>
      </w:r>
      <w:r w:rsidRPr="00991659">
        <w:rPr>
          <w:rFonts w:cs="Arial"/>
        </w:rPr>
        <w:t>Studies</w:t>
      </w:r>
      <w:r w:rsidRPr="00991659">
        <w:rPr>
          <w:i/>
          <w:iCs/>
        </w:rPr>
        <w:t xml:space="preserve"> in Higher Education</w:t>
      </w:r>
      <w:r w:rsidRPr="00991659">
        <w:t xml:space="preserve">. </w:t>
      </w:r>
      <w:r w:rsidRPr="00991659">
        <w:rPr>
          <w:i/>
          <w:iCs/>
        </w:rPr>
        <w:t>39</w:t>
      </w:r>
      <w:r w:rsidRPr="00991659">
        <w:t>(9): 1634-1648.</w:t>
      </w:r>
    </w:p>
    <w:p w14:paraId="238F46BA" w14:textId="77777777" w:rsidR="00694737" w:rsidRPr="00991659" w:rsidRDefault="00694737" w:rsidP="005107FC">
      <w:pPr>
        <w:pStyle w:val="StyleJustifiedLeft0cmHanging127cm"/>
        <w:jc w:val="left"/>
      </w:pPr>
      <w:r w:rsidRPr="00991659">
        <w:t>Chesters, J. (</w:t>
      </w:r>
      <w:r w:rsidRPr="00991659">
        <w:rPr>
          <w:color w:val="000071"/>
        </w:rPr>
        <w:t>2015</w:t>
      </w:r>
      <w:r w:rsidRPr="00991659">
        <w:t xml:space="preserve">). Maintaining inequality despite expansion: Evidence of the link between parents’ education and qualitative differences in educational attainment. </w:t>
      </w:r>
      <w:r w:rsidRPr="00991659">
        <w:rPr>
          <w:i/>
          <w:iCs/>
        </w:rPr>
        <w:t>Higher Education Quarterly, 69</w:t>
      </w:r>
      <w:r w:rsidRPr="00991659">
        <w:t xml:space="preserve"> (2), 138–157.</w:t>
      </w:r>
    </w:p>
    <w:p w14:paraId="24CD2518" w14:textId="277DFD4D" w:rsidR="00AC60F6" w:rsidRPr="00991659" w:rsidRDefault="00AC60F6" w:rsidP="005107FC">
      <w:pPr>
        <w:pStyle w:val="StyleJustifiedLeft0cmHanging127cm"/>
        <w:jc w:val="left"/>
      </w:pPr>
      <w:r w:rsidRPr="00991659">
        <w:t>Chesters, J. (2019). Alleviating or exacerbating disadvantage: Does school attended mediate the association between family background and educational attainment?. </w:t>
      </w:r>
      <w:r w:rsidRPr="00991659">
        <w:rPr>
          <w:i/>
          <w:iCs/>
        </w:rPr>
        <w:t>Journal of Education Policy, 34</w:t>
      </w:r>
      <w:r w:rsidRPr="00991659">
        <w:t>(3), 331-350.</w:t>
      </w:r>
    </w:p>
    <w:p w14:paraId="5328DBC7" w14:textId="77777777" w:rsidR="00694737" w:rsidRPr="00991659" w:rsidRDefault="00694737" w:rsidP="005107FC">
      <w:pPr>
        <w:pStyle w:val="StyleJustifiedLeft0cmHanging127cm"/>
        <w:jc w:val="left"/>
      </w:pPr>
      <w:r w:rsidRPr="00991659">
        <w:t xml:space="preserve">Collier, P. J., &amp; Morgan, D. L. (2008). “Is that paper really due today?”: Differences in first-generation and traditional college students’ understandings of faculty expectations. </w:t>
      </w:r>
      <w:r w:rsidRPr="00991659">
        <w:rPr>
          <w:i/>
          <w:iCs/>
        </w:rPr>
        <w:t>Higher education, 55</w:t>
      </w:r>
      <w:r w:rsidRPr="00991659">
        <w:t xml:space="preserve">, 425-446. </w:t>
      </w:r>
      <w:hyperlink r:id="rId33" w:tgtFrame="_blank" w:history="1">
        <w:r w:rsidRPr="00790AF1">
          <w:rPr>
            <w:rStyle w:val="Hyperlink"/>
          </w:rPr>
          <w:t>https://doi.org/10.1007/s10734-007-9065-5</w:t>
        </w:r>
      </w:hyperlink>
    </w:p>
    <w:p w14:paraId="6184519C" w14:textId="77777777" w:rsidR="00694737" w:rsidRDefault="00694737" w:rsidP="005107FC">
      <w:pPr>
        <w:pStyle w:val="StyleJustifiedLeft0cmHanging127cm"/>
        <w:jc w:val="left"/>
      </w:pPr>
      <w:r w:rsidRPr="00991659">
        <w:lastRenderedPageBreak/>
        <w:t xml:space="preserve">Czarnecki, K. (2018). Less inequality through universal access? Socioeconomic background of tertiary entrants in Australia after the expansion of university participation. </w:t>
      </w:r>
      <w:r w:rsidRPr="00991659">
        <w:rPr>
          <w:i/>
          <w:iCs/>
        </w:rPr>
        <w:t>Higher education, 76</w:t>
      </w:r>
      <w:r w:rsidRPr="00991659">
        <w:t xml:space="preserve">(3), 501-518. </w:t>
      </w:r>
      <w:hyperlink r:id="rId34" w:tgtFrame="_blank" w:history="1">
        <w:r w:rsidRPr="00790AF1">
          <w:rPr>
            <w:rStyle w:val="Hyperlink"/>
          </w:rPr>
          <w:t>https://doi.org/10.1007/s10734-017-0222-1</w:t>
        </w:r>
      </w:hyperlink>
    </w:p>
    <w:p w14:paraId="254FA46E" w14:textId="3C73E88F" w:rsidR="00A35504" w:rsidRPr="00991659" w:rsidRDefault="005B79BC" w:rsidP="005107FC">
      <w:pPr>
        <w:pStyle w:val="StyleJustifiedLeft0cmHanging127cm"/>
        <w:jc w:val="left"/>
      </w:pPr>
      <w:r w:rsidRPr="003200B8">
        <w:t>Dawkins, J. S. (1988).</w:t>
      </w:r>
      <w:r w:rsidRPr="007151CB">
        <w:t> </w:t>
      </w:r>
      <w:r w:rsidRPr="007151CB">
        <w:rPr>
          <w:i/>
          <w:iCs/>
        </w:rPr>
        <w:t>Higher education: a policy statement</w:t>
      </w:r>
      <w:r w:rsidRPr="007151CB">
        <w:t>. Canberra: Australian Government Publishing Service.</w:t>
      </w:r>
    </w:p>
    <w:p w14:paraId="2C3BB23A" w14:textId="77777777" w:rsidR="00694737" w:rsidRPr="00991659" w:rsidRDefault="00694737" w:rsidP="005107FC">
      <w:pPr>
        <w:pStyle w:val="StyleJustifiedLeft0cmHanging127cm"/>
        <w:jc w:val="left"/>
      </w:pPr>
      <w:r w:rsidRPr="00991659">
        <w:t xml:space="preserve">Davies, S., &amp; Rizk, J. (2018). The three generations of cultural capital research: A narrative review. </w:t>
      </w:r>
      <w:r w:rsidRPr="00991659">
        <w:rPr>
          <w:i/>
          <w:iCs/>
        </w:rPr>
        <w:t>Review of educational research, 88</w:t>
      </w:r>
      <w:r w:rsidRPr="00991659">
        <w:t>(3), 331-365.</w:t>
      </w:r>
    </w:p>
    <w:p w14:paraId="09312BC6" w14:textId="77777777" w:rsidR="00694737" w:rsidRPr="00991659" w:rsidRDefault="00694737" w:rsidP="005107FC">
      <w:pPr>
        <w:pStyle w:val="StyleJustifiedLeft0cmHanging127cm"/>
        <w:jc w:val="left"/>
      </w:pPr>
      <w:r w:rsidRPr="00991659">
        <w:t xml:space="preserve">David, M. (2021). Feminist imaginings challenging the world of academic capitalism for gender equality in global higher education. In C. Fontanini, K. M. Joshi, &amp; S. Paivandi (Eds.), </w:t>
      </w:r>
      <w:r w:rsidRPr="00991659">
        <w:rPr>
          <w:i/>
          <w:iCs/>
        </w:rPr>
        <w:t>International perspectives on gender and higher education</w:t>
      </w:r>
      <w:r w:rsidRPr="00991659">
        <w:t xml:space="preserve"> (pp. xv–xxx). Bingley: Emerald Publishing.</w:t>
      </w:r>
    </w:p>
    <w:p w14:paraId="5ACFA627" w14:textId="77777777" w:rsidR="00694737" w:rsidRDefault="00694737" w:rsidP="005107FC">
      <w:pPr>
        <w:pStyle w:val="StyleJustifiedLeft0cmHanging127cm"/>
        <w:jc w:val="left"/>
      </w:pPr>
      <w:r w:rsidRPr="00991659">
        <w:t>Department of Education Employment and Workplace Relations. (2009). Measuring the Socio</w:t>
      </w:r>
      <w:r w:rsidRPr="00991659">
        <w:rPr>
          <w:rFonts w:ascii="Cambria Math" w:hAnsi="Cambria Math" w:cs="Cambria Math"/>
        </w:rPr>
        <w:t>‐</w:t>
      </w:r>
      <w:r w:rsidRPr="00991659">
        <w:t>economic Status of Higher Education Students: Discussion Paper. DEEWR.</w:t>
      </w:r>
    </w:p>
    <w:p w14:paraId="5EE3B4D4" w14:textId="7CAC3CCD" w:rsidR="00C47E71" w:rsidRPr="00991659" w:rsidRDefault="00C47E71" w:rsidP="005107FC">
      <w:pPr>
        <w:pStyle w:val="StyleJustifiedLeft0cmHanging127cm"/>
        <w:jc w:val="left"/>
      </w:pPr>
      <w:r w:rsidRPr="003200B8">
        <w:t>Department of Employment, Education and Training (DEET). (1990).</w:t>
      </w:r>
      <w:r>
        <w:t xml:space="preserve"> </w:t>
      </w:r>
      <w:r w:rsidRPr="007151CB">
        <w:rPr>
          <w:i/>
          <w:iCs/>
        </w:rPr>
        <w:t>A fair chance for all: National and institutional planning for equity in higher education</w:t>
      </w:r>
      <w:r w:rsidRPr="007151CB">
        <w:t>. Canberra: Australian Government Publishing Service.</w:t>
      </w:r>
    </w:p>
    <w:p w14:paraId="6B261369" w14:textId="77777777" w:rsidR="00694737" w:rsidRPr="00991659" w:rsidRDefault="00694737" w:rsidP="005107FC">
      <w:pPr>
        <w:pStyle w:val="StyleJustifiedLeft0cmHanging127cm"/>
        <w:jc w:val="left"/>
      </w:pPr>
      <w:r w:rsidRPr="00991659">
        <w:t xml:space="preserve">Dillabough, J. A., (2004). "Class, Culture and the "Predicaments of Masculine Domination': Encountering Pierre Bourdieu." </w:t>
      </w:r>
      <w:r w:rsidRPr="00991659">
        <w:rPr>
          <w:i/>
          <w:iCs/>
        </w:rPr>
        <w:t>British Journal of Sociology of Education</w:t>
      </w:r>
      <w:r w:rsidRPr="00991659">
        <w:t xml:space="preserve"> 25(4): 489-506.</w:t>
      </w:r>
    </w:p>
    <w:p w14:paraId="2EC39CE8" w14:textId="77777777" w:rsidR="00694737" w:rsidRPr="00991659" w:rsidRDefault="00694737" w:rsidP="005107FC">
      <w:pPr>
        <w:pStyle w:val="StyleJustifiedLeft0cmHanging127cm"/>
        <w:jc w:val="left"/>
      </w:pPr>
      <w:r w:rsidRPr="00991659">
        <w:t xml:space="preserve">DIICSRTE. (2013). </w:t>
      </w:r>
      <w:r w:rsidRPr="00991659">
        <w:rPr>
          <w:i/>
          <w:iCs/>
        </w:rPr>
        <w:t>Moving to an enhanced indicator of higher education students' socio-economic status</w:t>
      </w:r>
      <w:r w:rsidRPr="00991659">
        <w:t>. Department of Industry, Innovation, Climate change, Science, Research and Tertiary Education.</w:t>
      </w:r>
    </w:p>
    <w:p w14:paraId="21672A34" w14:textId="77777777" w:rsidR="00694737" w:rsidRPr="00991659" w:rsidRDefault="00694737" w:rsidP="005107FC">
      <w:pPr>
        <w:pStyle w:val="StyleJustifiedLeft0cmHanging127cm"/>
        <w:jc w:val="left"/>
      </w:pPr>
      <w:r w:rsidRPr="00991659">
        <w:t xml:space="preserve">Dobson, I. R. (2001). How has massification changed the shape of Australian universities? </w:t>
      </w:r>
      <w:r w:rsidRPr="00991659">
        <w:rPr>
          <w:i/>
          <w:iCs/>
        </w:rPr>
        <w:t>Tertiary Education and Management, 7</w:t>
      </w:r>
      <w:r w:rsidRPr="00991659">
        <w:t>(4), 295-310.</w:t>
      </w:r>
    </w:p>
    <w:p w14:paraId="0DCAD008" w14:textId="77777777" w:rsidR="00694737" w:rsidRPr="00991659" w:rsidRDefault="00694737" w:rsidP="005107FC">
      <w:pPr>
        <w:pStyle w:val="StyleJustifiedLeft0cmHanging127cm"/>
        <w:jc w:val="left"/>
      </w:pPr>
      <w:r w:rsidRPr="00991659">
        <w:t xml:space="preserve">Dockery, A. M., Seymour, R., &amp; Koshy, P. (2016). Promoting low socio-economic participation in higher education: a comparison of area-based and individual measures. </w:t>
      </w:r>
      <w:r w:rsidRPr="00991659">
        <w:rPr>
          <w:i/>
          <w:iCs/>
        </w:rPr>
        <w:t>Studies in Higher Education, 41</w:t>
      </w:r>
      <w:r w:rsidRPr="00991659">
        <w:t xml:space="preserve">(9), 1692-1714. </w:t>
      </w:r>
      <w:hyperlink r:id="rId35" w:tgtFrame="_blank" w:history="1">
        <w:r w:rsidRPr="00790AF1">
          <w:rPr>
            <w:rStyle w:val="Hyperlink"/>
          </w:rPr>
          <w:t>https://doi.org/10.1080/03075079.2015.1020777</w:t>
        </w:r>
      </w:hyperlink>
    </w:p>
    <w:p w14:paraId="389B6CCB" w14:textId="77777777" w:rsidR="00694737" w:rsidRPr="00991659" w:rsidRDefault="00694737" w:rsidP="005107FC">
      <w:pPr>
        <w:pStyle w:val="StyleJustifiedLeft0cmHanging127cm"/>
        <w:jc w:val="left"/>
      </w:pPr>
      <w:r w:rsidRPr="00991659">
        <w:t xml:space="preserve">Delahunty, J., &amp; O’Shea, S. (2024). A critical exploration of first in family student persistence and the enactment of sisu. </w:t>
      </w:r>
      <w:r w:rsidRPr="00991659">
        <w:rPr>
          <w:i/>
          <w:iCs/>
        </w:rPr>
        <w:t>Higher Education</w:t>
      </w:r>
      <w:r w:rsidRPr="00991659">
        <w:t>, 1-18.</w:t>
      </w:r>
    </w:p>
    <w:p w14:paraId="3DA96FD4" w14:textId="77777777" w:rsidR="00694737" w:rsidRPr="00991659" w:rsidRDefault="00694737" w:rsidP="005107FC">
      <w:pPr>
        <w:pStyle w:val="StyleJustifiedLeft0cmHanging127cm"/>
        <w:jc w:val="left"/>
      </w:pPr>
      <w:r w:rsidRPr="00991659">
        <w:t xml:space="preserve">Dumais, S. A. (2002). Cultural capital, gender, and school success: The role of habitus. </w:t>
      </w:r>
      <w:r w:rsidRPr="00991659">
        <w:rPr>
          <w:i/>
          <w:iCs/>
        </w:rPr>
        <w:t>Sociology of Education, 75</w:t>
      </w:r>
      <w:r w:rsidRPr="00991659">
        <w:t xml:space="preserve">(1), 44-68. </w:t>
      </w:r>
      <w:hyperlink r:id="rId36" w:tgtFrame="_blank" w:history="1">
        <w:r w:rsidRPr="00790AF1">
          <w:rPr>
            <w:rStyle w:val="Hyperlink"/>
          </w:rPr>
          <w:t>https://doi.org/10.2307/3090253</w:t>
        </w:r>
      </w:hyperlink>
    </w:p>
    <w:p w14:paraId="40B5B379" w14:textId="77777777" w:rsidR="00694737" w:rsidRPr="00991659" w:rsidRDefault="00694737" w:rsidP="005107FC">
      <w:pPr>
        <w:pStyle w:val="StyleJustifiedLeft0cmHanging127cm"/>
        <w:jc w:val="left"/>
      </w:pPr>
      <w:r w:rsidRPr="00991659">
        <w:t xml:space="preserve">Erikson, R. (2016). Is it enough to be bright? Parental background, cognitive ability and educational attainment. </w:t>
      </w:r>
      <w:r w:rsidRPr="00991659">
        <w:rPr>
          <w:i/>
          <w:iCs/>
        </w:rPr>
        <w:t>European Societies, 18</w:t>
      </w:r>
      <w:r w:rsidRPr="00991659">
        <w:t xml:space="preserve">(2), 117-135. </w:t>
      </w:r>
      <w:hyperlink r:id="rId37" w:tgtFrame="_blank" w:history="1">
        <w:r w:rsidRPr="00790AF1">
          <w:rPr>
            <w:rStyle w:val="Hyperlink"/>
          </w:rPr>
          <w:t>https://doi.org/10.1080/14616696.2016.1141306</w:t>
        </w:r>
      </w:hyperlink>
    </w:p>
    <w:p w14:paraId="5362AB49" w14:textId="626733C4" w:rsidR="00694737" w:rsidRPr="00991659" w:rsidRDefault="00694737" w:rsidP="005107FC">
      <w:pPr>
        <w:pStyle w:val="StyleJustifiedLeft0cmHanging127cm"/>
        <w:jc w:val="left"/>
      </w:pPr>
      <w:r w:rsidRPr="00991659">
        <w:t xml:space="preserve">Erikson, R. (2019). How does education depend on social origin? In R. Becker (Ed.), </w:t>
      </w:r>
      <w:r w:rsidRPr="00991659">
        <w:rPr>
          <w:i/>
          <w:iCs/>
        </w:rPr>
        <w:t>Research Handbook on the Sociology of Education</w:t>
      </w:r>
      <w:r w:rsidRPr="00991659">
        <w:t xml:space="preserve"> (pp. 35-56). Edward Elgar Publishing.</w:t>
      </w:r>
      <w:r w:rsidR="00930C2D" w:rsidRPr="00991659" w:rsidDel="00930C2D">
        <w:t xml:space="preserve"> </w:t>
      </w:r>
    </w:p>
    <w:p w14:paraId="0B5201F0" w14:textId="77777777" w:rsidR="00694737" w:rsidRPr="00991659" w:rsidRDefault="00694737" w:rsidP="005107FC">
      <w:pPr>
        <w:pStyle w:val="StyleJustifiedLeft0cmHanging127cm"/>
        <w:jc w:val="left"/>
      </w:pPr>
      <w:r w:rsidRPr="00991659">
        <w:t xml:space="preserve">Erola, J., Jalonen, S., &amp; Lehti, H. (2016). Parental education, class and income over early life course and children's achievement. </w:t>
      </w:r>
      <w:r w:rsidRPr="00991659">
        <w:rPr>
          <w:i/>
          <w:iCs/>
        </w:rPr>
        <w:t>Research in Social Stratification and Mobility, 44</w:t>
      </w:r>
      <w:r w:rsidRPr="00991659">
        <w:t xml:space="preserve">, 33-43. </w:t>
      </w:r>
      <w:hyperlink r:id="rId38" w:tgtFrame="_blank" w:history="1">
        <w:r w:rsidRPr="00790AF1">
          <w:rPr>
            <w:rStyle w:val="Hyperlink"/>
          </w:rPr>
          <w:t>https://doi.org/10.1016/j.rssm.2016.01.003</w:t>
        </w:r>
      </w:hyperlink>
    </w:p>
    <w:p w14:paraId="64495E3E" w14:textId="77777777" w:rsidR="00694737" w:rsidRPr="00991659" w:rsidRDefault="00694737" w:rsidP="005107FC">
      <w:pPr>
        <w:pStyle w:val="StyleJustifiedLeft0cmHanging127cm"/>
        <w:jc w:val="left"/>
      </w:pPr>
      <w:r w:rsidRPr="00991659">
        <w:lastRenderedPageBreak/>
        <w:t xml:space="preserve">Evans, S. (2009). In a different place: Working-class girls and higher education. </w:t>
      </w:r>
      <w:r w:rsidRPr="00991659">
        <w:rPr>
          <w:i/>
          <w:iCs/>
        </w:rPr>
        <w:t>Sociology, 43</w:t>
      </w:r>
      <w:r w:rsidRPr="00991659">
        <w:t xml:space="preserve">(2), 340-355. </w:t>
      </w:r>
      <w:hyperlink r:id="rId39" w:tgtFrame="_blank" w:history="1">
        <w:r w:rsidRPr="00790AF1">
          <w:rPr>
            <w:rStyle w:val="Hyperlink"/>
          </w:rPr>
          <w:t>https://doi.org/10.1177/0038038508101169</w:t>
        </w:r>
      </w:hyperlink>
    </w:p>
    <w:p w14:paraId="35CB9A2C" w14:textId="51B9F680" w:rsidR="003A27C0" w:rsidRPr="00991659" w:rsidRDefault="003A27C0" w:rsidP="005107FC">
      <w:pPr>
        <w:pStyle w:val="StyleJustifiedLeft0cmHanging127cm"/>
        <w:jc w:val="left"/>
      </w:pPr>
      <w:r w:rsidRPr="00991659">
        <w:t>Gale, T., &amp; Tranter, D. (2011). Social justice in Australian higher education policy: An historical and conceptual account of student participation. </w:t>
      </w:r>
      <w:r w:rsidRPr="00991659">
        <w:rPr>
          <w:i/>
          <w:iCs/>
        </w:rPr>
        <w:t>Critical studies in education, 52</w:t>
      </w:r>
      <w:r w:rsidRPr="00991659">
        <w:t>(1), 29-46.</w:t>
      </w:r>
    </w:p>
    <w:p w14:paraId="3B1E4891" w14:textId="77777777" w:rsidR="00694737" w:rsidRPr="00991659" w:rsidRDefault="00694737" w:rsidP="005107FC">
      <w:pPr>
        <w:pStyle w:val="StyleJustifiedLeft0cmHanging127cm"/>
        <w:jc w:val="left"/>
      </w:pPr>
      <w:r w:rsidRPr="00991659">
        <w:t xml:space="preserve">Goldthorpe, J. H. (1996). Class analysis and the reorientation of class theory: The case of persisting differentials in educational attainment. </w:t>
      </w:r>
      <w:r w:rsidRPr="00991659">
        <w:rPr>
          <w:i/>
          <w:iCs/>
        </w:rPr>
        <w:t>British Journal of Sociology, 47</w:t>
      </w:r>
      <w:r w:rsidRPr="00991659">
        <w:t xml:space="preserve">(3), 481-505. </w:t>
      </w:r>
      <w:hyperlink r:id="rId40" w:tgtFrame="_blank" w:history="1">
        <w:r w:rsidRPr="00790AF1">
          <w:rPr>
            <w:rStyle w:val="Hyperlink"/>
          </w:rPr>
          <w:t>https://doi.org/10.2307/591365</w:t>
        </w:r>
      </w:hyperlink>
    </w:p>
    <w:p w14:paraId="3743792A" w14:textId="0B3B8F04" w:rsidR="00377DBD" w:rsidRPr="00293258" w:rsidRDefault="00F5356E" w:rsidP="005107FC">
      <w:pPr>
        <w:pStyle w:val="StyleJustifiedLeft0cmHanging127cm"/>
        <w:jc w:val="left"/>
      </w:pPr>
      <w:r w:rsidRPr="00293258">
        <w:t xml:space="preserve">Goldthorpe, J. H. (2014). The role of education in intergenerational social mobility: Problems from empirical research in sociology and some theoretical pointers from economics. </w:t>
      </w:r>
      <w:r w:rsidRPr="00293258">
        <w:rPr>
          <w:i/>
          <w:iCs/>
        </w:rPr>
        <w:t>Rationality and Society, 26</w:t>
      </w:r>
      <w:r w:rsidRPr="00293258">
        <w:t>(3), 265–289.</w:t>
      </w:r>
    </w:p>
    <w:p w14:paraId="13D2A4C4" w14:textId="77777777" w:rsidR="00694737" w:rsidRPr="00991659" w:rsidRDefault="00694737" w:rsidP="005107FC">
      <w:pPr>
        <w:pStyle w:val="StyleJustifiedLeft0cmHanging127cm"/>
        <w:jc w:val="left"/>
      </w:pPr>
      <w:r w:rsidRPr="00991659">
        <w:t>Gore, J., Holmes, K., Smith, M., Lyell, A., Ellis, H., &amp; Fray, L. (2015). Choosing University: The Impact of Schools and Schooling: Final Report to the National Centre for Student Equity in Higher Education. National Centre for Student Equity in Higher Education, Curtin University.</w:t>
      </w:r>
    </w:p>
    <w:p w14:paraId="1307AEA0" w14:textId="77777777" w:rsidR="00694737" w:rsidRPr="00991659" w:rsidRDefault="00694737" w:rsidP="005107FC">
      <w:pPr>
        <w:pStyle w:val="StyleJustifiedLeft0cmHanging127cm"/>
        <w:jc w:val="left"/>
      </w:pPr>
      <w:r w:rsidRPr="00991659">
        <w:t xml:space="preserve">Gore, J., Holmes, K., Smith, M., Southgate, E., &amp; Albright, J. (2015). Socioeconomic status and the career aspirations of Australian school students: Testing enduring assumptions. </w:t>
      </w:r>
      <w:r w:rsidRPr="00991659">
        <w:rPr>
          <w:i/>
          <w:iCs/>
        </w:rPr>
        <w:t>The Australian Educational Researcher, 42</w:t>
      </w:r>
      <w:r w:rsidRPr="00991659">
        <w:t>(2), 155-177.</w:t>
      </w:r>
    </w:p>
    <w:p w14:paraId="57DEB9E6" w14:textId="77777777" w:rsidR="00694737" w:rsidRPr="00991659" w:rsidRDefault="00694737" w:rsidP="005107FC">
      <w:pPr>
        <w:pStyle w:val="StyleJustifiedLeft0cmHanging127cm"/>
        <w:jc w:val="left"/>
      </w:pPr>
      <w:r w:rsidRPr="00991659">
        <w:t xml:space="preserve">Gunn, S. (2005). Translating Bourdieu: Cultural capital and the English middle class in historical perspective. </w:t>
      </w:r>
      <w:r w:rsidRPr="00991659">
        <w:rPr>
          <w:i/>
          <w:iCs/>
        </w:rPr>
        <w:t>British Journal of Sociology, 56</w:t>
      </w:r>
      <w:r w:rsidRPr="00991659">
        <w:t xml:space="preserve">(1), 49-64. </w:t>
      </w:r>
      <w:hyperlink r:id="rId41" w:tgtFrame="_blank" w:history="1">
        <w:r w:rsidRPr="00790AF1">
          <w:rPr>
            <w:rStyle w:val="Hyperlink"/>
          </w:rPr>
          <w:t>https://doi.org/10.1111/j.1468-4446.2005.00046.x</w:t>
        </w:r>
      </w:hyperlink>
    </w:p>
    <w:p w14:paraId="78FC91DD" w14:textId="0852438D" w:rsidR="00694737" w:rsidRPr="00991659" w:rsidRDefault="00694737" w:rsidP="005107FC">
      <w:pPr>
        <w:pStyle w:val="StyleJustifiedLeft0cmHanging127cm"/>
        <w:jc w:val="left"/>
      </w:pPr>
      <w:r w:rsidRPr="00991659">
        <w:t xml:space="preserve">Harvey, A., Andrewartha, L., &amp; Burnheim, C. (2016). Out of Reach? University for People from Low Socio-Economic Status Backgrounds. In A. Harvey, C. Burnheim, &amp; M. Brett (Eds.), </w:t>
      </w:r>
      <w:r w:rsidRPr="00991659">
        <w:rPr>
          <w:i/>
          <w:iCs/>
        </w:rPr>
        <w:t>Student Equity in Australian Higher Education: Twenty-five years of A Fair Chance for All</w:t>
      </w:r>
      <w:r w:rsidRPr="00991659">
        <w:t xml:space="preserve"> (pp. 69-85). Springer Singapore. </w:t>
      </w:r>
      <w:hyperlink r:id="rId42" w:tgtFrame="_blank" w:history="1">
        <w:r w:rsidRPr="00790AF1">
          <w:rPr>
            <w:rStyle w:val="Hyperlink"/>
          </w:rPr>
          <w:t>https://doi.org/10.1007/978-981-10-0315-8</w:t>
        </w:r>
      </w:hyperlink>
    </w:p>
    <w:p w14:paraId="46CEB208" w14:textId="77777777" w:rsidR="00694737" w:rsidRPr="00991659" w:rsidRDefault="00694737" w:rsidP="005107FC">
      <w:pPr>
        <w:pStyle w:val="StyleJustifiedLeft0cmHanging127cm"/>
        <w:jc w:val="left"/>
      </w:pPr>
      <w:r w:rsidRPr="00991659">
        <w:t>Jackson, M. (Ed.). (2013). Determined to Succeed? Performance versus Choice in Educational Attainment. Stanford University Press.</w:t>
      </w:r>
    </w:p>
    <w:p w14:paraId="03442022" w14:textId="77777777" w:rsidR="00694737" w:rsidRPr="00991659" w:rsidRDefault="00694737" w:rsidP="005107FC">
      <w:pPr>
        <w:pStyle w:val="StyleJustifiedLeft0cmHanging127cm"/>
        <w:jc w:val="left"/>
      </w:pPr>
      <w:r w:rsidRPr="00991659">
        <w:t xml:space="preserve">Jæger, M. M., &amp; Holm, A. (2007). Does parents’ economic, cultural, and social capital explain the social class effect on educational attainment in the Scandinavian mobility regime? </w:t>
      </w:r>
      <w:r w:rsidRPr="00991659">
        <w:rPr>
          <w:i/>
          <w:iCs/>
        </w:rPr>
        <w:t>Social science research, 36</w:t>
      </w:r>
      <w:r w:rsidRPr="00991659">
        <w:t xml:space="preserve">(2), 719-744. </w:t>
      </w:r>
      <w:hyperlink r:id="rId43" w:tgtFrame="_blank" w:history="1">
        <w:r w:rsidRPr="00790AF1">
          <w:rPr>
            <w:rStyle w:val="Hyperlink"/>
          </w:rPr>
          <w:t>https://doi.org/10.1016/j.ssresearch.2006.11.003</w:t>
        </w:r>
      </w:hyperlink>
    </w:p>
    <w:p w14:paraId="67917245" w14:textId="77777777" w:rsidR="00694737" w:rsidRPr="00991659" w:rsidRDefault="00694737" w:rsidP="005107FC">
      <w:pPr>
        <w:pStyle w:val="StyleJustifiedLeft0cmHanging127cm"/>
        <w:jc w:val="left"/>
      </w:pPr>
      <w:r w:rsidRPr="00991659">
        <w:t>James, R., Bexley, E., Anderson, A., Devlin, M., Garnett, R., Marginson, S., &amp; Maxwell, L. (2008). Participation and equity: A review of the participation in higher education of people from low socioeconomic backgrounds and indigenous people. Centre for the Study of Higher Education, University of Melbourne.</w:t>
      </w:r>
    </w:p>
    <w:p w14:paraId="51D9C190" w14:textId="77777777" w:rsidR="00694737" w:rsidRPr="00991659" w:rsidRDefault="00694737" w:rsidP="005107FC">
      <w:pPr>
        <w:pStyle w:val="StyleJustifiedLeft0cmHanging127cm"/>
        <w:jc w:val="left"/>
      </w:pPr>
      <w:r w:rsidRPr="00991659">
        <w:t xml:space="preserve">King, S., Luzeckyj, A., McCann, B., &amp; Graham, C. (2015). </w:t>
      </w:r>
      <w:r w:rsidRPr="00991659">
        <w:rPr>
          <w:i/>
          <w:iCs/>
        </w:rPr>
        <w:t>Exploring the experience of being first in family at university</w:t>
      </w:r>
      <w:r w:rsidRPr="00991659">
        <w:t>. National Centre for Student Equity: Curtin University.</w:t>
      </w:r>
    </w:p>
    <w:p w14:paraId="1B2CF405" w14:textId="77777777" w:rsidR="00694737" w:rsidRPr="00991659" w:rsidRDefault="00694737" w:rsidP="005107FC">
      <w:pPr>
        <w:pStyle w:val="StyleJustifiedLeft0cmHanging127cm"/>
        <w:jc w:val="left"/>
      </w:pPr>
      <w:r w:rsidRPr="00991659">
        <w:t xml:space="preserve">Krause, K.-L., Hartley, R., James, R., &amp; McInnis, C. (2005). </w:t>
      </w:r>
      <w:r w:rsidRPr="00991659">
        <w:rPr>
          <w:i/>
          <w:iCs/>
        </w:rPr>
        <w:t>The first year experience in Australian universities: Findings from a decade of national studies</w:t>
      </w:r>
      <w:r w:rsidRPr="00991659">
        <w:t>. Australian Department of Education, Science and Training.</w:t>
      </w:r>
    </w:p>
    <w:p w14:paraId="269A31E5" w14:textId="77777777" w:rsidR="00694737" w:rsidRPr="00991659" w:rsidRDefault="00694737" w:rsidP="005107FC">
      <w:pPr>
        <w:pStyle w:val="StyleJustifiedLeft0cmHanging127cm"/>
        <w:jc w:val="left"/>
      </w:pPr>
      <w:r w:rsidRPr="00991659">
        <w:t xml:space="preserve">Lareau, A., 2003. </w:t>
      </w:r>
      <w:r w:rsidRPr="00991659">
        <w:rPr>
          <w:i/>
          <w:iCs/>
        </w:rPr>
        <w:t>Unequal Childhoods</w:t>
      </w:r>
      <w:r w:rsidRPr="00991659">
        <w:t>. Berkley, Los Angeles, London, University of California Press.</w:t>
      </w:r>
    </w:p>
    <w:p w14:paraId="0478DC03" w14:textId="46A496CB" w:rsidR="00694737" w:rsidRPr="00991659" w:rsidRDefault="00694737" w:rsidP="005107FC">
      <w:pPr>
        <w:pStyle w:val="StyleJustifiedLeft0cmHanging127cm"/>
        <w:jc w:val="left"/>
      </w:pPr>
      <w:r w:rsidRPr="00991659">
        <w:lastRenderedPageBreak/>
        <w:t>Lehmann, W. (200</w:t>
      </w:r>
      <w:r w:rsidR="00B66525" w:rsidRPr="00991659">
        <w:t>9</w:t>
      </w:r>
      <w:r w:rsidRPr="00991659">
        <w:t xml:space="preserve">). " I just didn't feel like I fit in": The role of habitus in university dropout decisions. </w:t>
      </w:r>
      <w:r w:rsidRPr="00991659">
        <w:rPr>
          <w:i/>
          <w:iCs/>
        </w:rPr>
        <w:t>Canadian Journal of Higher Education, 37</w:t>
      </w:r>
      <w:r w:rsidRPr="00991659">
        <w:t>(2).</w:t>
      </w:r>
    </w:p>
    <w:p w14:paraId="7928D435" w14:textId="2FA54AC8" w:rsidR="005567E5" w:rsidRPr="00991659" w:rsidRDefault="001E550C" w:rsidP="005107FC">
      <w:pPr>
        <w:pStyle w:val="StyleJustifiedLeft0cmHanging127cm"/>
        <w:jc w:val="left"/>
      </w:pPr>
      <w:r w:rsidRPr="00991659">
        <w:t>Loveday, V. (2016). Embodying deficiency through ‘affective practice’: Shame, relationality, and the lived experience of social class and gender in higher education. </w:t>
      </w:r>
      <w:r w:rsidRPr="00991659">
        <w:rPr>
          <w:i/>
          <w:iCs/>
        </w:rPr>
        <w:t>Sociology, 50</w:t>
      </w:r>
      <w:r w:rsidRPr="00991659">
        <w:t>(6), 1140-1155.</w:t>
      </w:r>
    </w:p>
    <w:p w14:paraId="100E1815" w14:textId="62251C0C" w:rsidR="00722091" w:rsidRPr="00991659" w:rsidRDefault="000F023F" w:rsidP="005107FC">
      <w:pPr>
        <w:pStyle w:val="StyleJustifiedLeft0cmHanging127cm"/>
        <w:jc w:val="left"/>
      </w:pPr>
      <w:r w:rsidRPr="00991659">
        <w:t xml:space="preserve">Lucas, S. R. (2001). Effectively maintained inequality: Education transitions, track mobility, and social background effects. </w:t>
      </w:r>
      <w:r w:rsidRPr="00991659">
        <w:rPr>
          <w:i/>
          <w:iCs/>
        </w:rPr>
        <w:t>American Journal of Sociology, 106</w:t>
      </w:r>
      <w:r w:rsidRPr="00991659">
        <w:t>(6), 1642–1690.</w:t>
      </w:r>
    </w:p>
    <w:p w14:paraId="6B6B27EB" w14:textId="77777777" w:rsidR="00694737" w:rsidRPr="00991659" w:rsidRDefault="00694737" w:rsidP="005107FC">
      <w:pPr>
        <w:pStyle w:val="StyleJustifiedLeft0cmHanging127cm"/>
        <w:jc w:val="left"/>
      </w:pPr>
      <w:r w:rsidRPr="00991659">
        <w:t xml:space="preserve">Luzeckyj, A., King, S., Scutter, S., &amp; Brinkworth, R. (2011). The significance of being first: A consideration of cultural capital in relation to “first in family” student’s choices of university and program. A Practice Report. </w:t>
      </w:r>
      <w:r w:rsidRPr="00991659">
        <w:rPr>
          <w:i/>
          <w:iCs/>
        </w:rPr>
        <w:t>The International Journal of the First Year in Higher Education, 2</w:t>
      </w:r>
      <w:r w:rsidRPr="00991659">
        <w:t xml:space="preserve">(2), 91-96. </w:t>
      </w:r>
      <w:hyperlink r:id="rId44" w:tgtFrame="_blank" w:history="1">
        <w:r w:rsidRPr="00790AF1">
          <w:rPr>
            <w:rStyle w:val="Hyperlink"/>
          </w:rPr>
          <w:t>https://doi.org/10.5204/intjfyhe.v2i2.89</w:t>
        </w:r>
      </w:hyperlink>
    </w:p>
    <w:p w14:paraId="08E7613A" w14:textId="77777777" w:rsidR="00694737" w:rsidRDefault="00694737" w:rsidP="005107FC">
      <w:pPr>
        <w:pStyle w:val="StyleJustifiedLeft0cmHanging127cm"/>
        <w:jc w:val="left"/>
      </w:pPr>
      <w:r w:rsidRPr="00991659">
        <w:t xml:space="preserve">Luzeckyj, A., McCann, B., Graham, C., King, S., &amp; McCann, J. (2017). Being first in family: Motivations and metaphors. </w:t>
      </w:r>
      <w:r w:rsidRPr="00991659">
        <w:rPr>
          <w:i/>
          <w:iCs/>
        </w:rPr>
        <w:t>Higher Education Research &amp; Development, 36</w:t>
      </w:r>
      <w:r w:rsidRPr="00991659">
        <w:t xml:space="preserve">(6), 1237-1250. </w:t>
      </w:r>
      <w:hyperlink r:id="rId45" w:tgtFrame="_blank" w:history="1">
        <w:r w:rsidRPr="00790AF1">
          <w:rPr>
            <w:rStyle w:val="Hyperlink"/>
          </w:rPr>
          <w:t>https://doi.org/10.1080/07294360.2017.1300138</w:t>
        </w:r>
      </w:hyperlink>
    </w:p>
    <w:p w14:paraId="171F2B1C" w14:textId="08A55F36" w:rsidR="00320AAE" w:rsidRPr="00991659" w:rsidRDefault="002507B1" w:rsidP="005107FC">
      <w:pPr>
        <w:pStyle w:val="StyleJustifiedLeft0cmHanging127cm"/>
        <w:jc w:val="left"/>
      </w:pPr>
      <w:r w:rsidRPr="00293258">
        <w:t>Martin, L. M. (1994).</w:t>
      </w:r>
      <w:r w:rsidRPr="007151CB">
        <w:t> </w:t>
      </w:r>
      <w:r w:rsidRPr="007151CB">
        <w:rPr>
          <w:i/>
          <w:iCs/>
        </w:rPr>
        <w:t>Equity and general performance indicators in higher education</w:t>
      </w:r>
      <w:r w:rsidRPr="007151CB">
        <w:t> (Vols. 1 &amp; 2). Canberra: Australian Government Publishing Service. </w:t>
      </w:r>
    </w:p>
    <w:p w14:paraId="1DC6C6B7" w14:textId="77777777" w:rsidR="00694737" w:rsidRPr="00991659" w:rsidRDefault="00694737" w:rsidP="005107FC">
      <w:pPr>
        <w:pStyle w:val="StyleJustifiedLeft0cmHanging127cm"/>
        <w:jc w:val="left"/>
      </w:pPr>
      <w:r w:rsidRPr="00991659">
        <w:t xml:space="preserve">McCafferty, H., Tomlinson, M., &amp; Kirby, S. (2024). ‘You have to work ten times harder’: first-in-family students, employability and capital development. </w:t>
      </w:r>
      <w:r w:rsidRPr="00991659">
        <w:rPr>
          <w:i/>
          <w:iCs/>
        </w:rPr>
        <w:t>Journal of Education and Work</w:t>
      </w:r>
      <w:r w:rsidRPr="00991659">
        <w:t xml:space="preserve">, </w:t>
      </w:r>
      <w:r w:rsidRPr="00991659">
        <w:rPr>
          <w:i/>
          <w:iCs/>
        </w:rPr>
        <w:t>37</w:t>
      </w:r>
      <w:r w:rsidRPr="00991659">
        <w:t>(1-4), 32-47.</w:t>
      </w:r>
    </w:p>
    <w:p w14:paraId="6DC21945" w14:textId="77777777" w:rsidR="00694737" w:rsidRPr="00991659" w:rsidRDefault="00694737" w:rsidP="005107FC">
      <w:pPr>
        <w:pStyle w:val="StyleJustifiedLeft0cmHanging127cm"/>
        <w:jc w:val="left"/>
      </w:pPr>
      <w:r w:rsidRPr="00991659">
        <w:t xml:space="preserve">McDonald, S. (2024). ‘I don’t feel like I belong’: first-in-family girls’ constructions of belonging and space during the transition from secondary school into university. </w:t>
      </w:r>
      <w:r w:rsidRPr="00991659">
        <w:rPr>
          <w:i/>
          <w:iCs/>
        </w:rPr>
        <w:t>Gender and Education, 36</w:t>
      </w:r>
      <w:r w:rsidRPr="00991659">
        <w:t xml:space="preserve">(2), 183-197. </w:t>
      </w:r>
      <w:hyperlink r:id="rId46" w:tgtFrame="_blank" w:history="1">
        <w:r w:rsidRPr="00790AF1">
          <w:rPr>
            <w:rStyle w:val="Hyperlink"/>
          </w:rPr>
          <w:t>https://doi.org/10.1080/09540253.2024.2308037</w:t>
        </w:r>
      </w:hyperlink>
    </w:p>
    <w:p w14:paraId="4A504E26" w14:textId="77777777" w:rsidR="00694737" w:rsidRPr="00991659" w:rsidRDefault="00694737" w:rsidP="005107FC">
      <w:pPr>
        <w:pStyle w:val="StyleJustifiedLeft0cmHanging127cm"/>
        <w:jc w:val="left"/>
      </w:pPr>
      <w:r w:rsidRPr="00991659">
        <w:t xml:space="preserve">McDonald, S., &amp; Stahl, G. (2024). ‘Girls do this, guys do that’: how first-in-family students negotiate working-class gendered subjectivities during a time of social change. </w:t>
      </w:r>
      <w:r w:rsidRPr="00991659">
        <w:rPr>
          <w:i/>
          <w:iCs/>
        </w:rPr>
        <w:t>The Australian Educational Researcher</w:t>
      </w:r>
      <w:r w:rsidRPr="00991659">
        <w:t xml:space="preserve">, 1-21. </w:t>
      </w:r>
      <w:hyperlink r:id="rId47" w:tgtFrame="_blank" w:history="1">
        <w:r w:rsidRPr="00790AF1">
          <w:rPr>
            <w:rStyle w:val="Hyperlink"/>
          </w:rPr>
          <w:t>https://doi.org/10.1007/s13384-024-00717-</w:t>
        </w:r>
        <w:r w:rsidRPr="00991659">
          <w:rPr>
            <w:color w:val="467886"/>
            <w:u w:val="single"/>
          </w:rPr>
          <w:t>0</w:t>
        </w:r>
      </w:hyperlink>
    </w:p>
    <w:p w14:paraId="05D2D8CE" w14:textId="77777777" w:rsidR="00694737" w:rsidRPr="00991659" w:rsidRDefault="00694737" w:rsidP="005107FC">
      <w:pPr>
        <w:pStyle w:val="StyleJustifiedLeft0cmHanging127cm"/>
        <w:jc w:val="left"/>
      </w:pPr>
      <w:r w:rsidRPr="00991659">
        <w:t xml:space="preserve">McDonald, S., Stahl, G., Nguyen, T., &amp; Fairbairn, K. (2024). Resourcing Their Own Aspirations: First-In-Family Young People and DIY Career Counselling. </w:t>
      </w:r>
      <w:r w:rsidRPr="00991659">
        <w:rPr>
          <w:i/>
          <w:iCs/>
        </w:rPr>
        <w:t>British Journal of Educational Studies</w:t>
      </w:r>
      <w:r w:rsidRPr="00991659">
        <w:t xml:space="preserve">, </w:t>
      </w:r>
      <w:r w:rsidRPr="00991659">
        <w:rPr>
          <w:i/>
          <w:iCs/>
        </w:rPr>
        <w:t>72</w:t>
      </w:r>
      <w:r w:rsidRPr="00991659">
        <w:t>(2), 235-252.</w:t>
      </w:r>
    </w:p>
    <w:p w14:paraId="57A4B953" w14:textId="77777777" w:rsidR="00694737" w:rsidRPr="00991659" w:rsidRDefault="00694737" w:rsidP="005107FC">
      <w:pPr>
        <w:pStyle w:val="StyleJustifiedLeft0cmHanging127cm"/>
        <w:jc w:val="left"/>
      </w:pPr>
      <w:r w:rsidRPr="00991659">
        <w:t xml:space="preserve">McMillan, J., &amp; Western, J. (2000). Measurement of the socio-economic status of Australian higher education students. </w:t>
      </w:r>
      <w:r w:rsidRPr="00991659">
        <w:rPr>
          <w:i/>
          <w:iCs/>
        </w:rPr>
        <w:t>Higher education, 39</w:t>
      </w:r>
      <w:r w:rsidRPr="00991659">
        <w:t>(2), 223-247.</w:t>
      </w:r>
    </w:p>
    <w:p w14:paraId="2B44A3DD" w14:textId="77777777" w:rsidR="00694737" w:rsidRPr="00991659" w:rsidRDefault="00694737" w:rsidP="005107FC">
      <w:pPr>
        <w:pStyle w:val="StyleJustifiedLeft0cmHanging127cm"/>
        <w:jc w:val="left"/>
        <w:rPr>
          <w:rFonts w:cs="Arial"/>
          <w:szCs w:val="22"/>
        </w:rPr>
      </w:pPr>
      <w:r w:rsidRPr="00991659">
        <w:rPr>
          <w:rFonts w:cs="Arial"/>
          <w:szCs w:val="22"/>
          <w:lang w:val="en-US"/>
        </w:rPr>
        <w:t xml:space="preserve">Montacute, R. (2018). </w:t>
      </w:r>
      <w:r w:rsidRPr="00991659">
        <w:rPr>
          <w:rFonts w:cs="Arial"/>
          <w:i/>
          <w:iCs/>
          <w:szCs w:val="22"/>
          <w:lang w:val="en-US"/>
        </w:rPr>
        <w:t>Access to Advantage: The influence of schools and place on admissions to top universities</w:t>
      </w:r>
      <w:r w:rsidRPr="00991659">
        <w:rPr>
          <w:rFonts w:cs="Arial"/>
          <w:szCs w:val="22"/>
          <w:lang w:val="en-US"/>
        </w:rPr>
        <w:t xml:space="preserve">. </w:t>
      </w:r>
      <w:hyperlink r:id="rId48" w:tgtFrame="_blank" w:history="1">
        <w:r w:rsidRPr="00790AF1">
          <w:rPr>
            <w:rStyle w:val="Hyperlink"/>
          </w:rPr>
          <w:t>https://www.suttontrust.com/wp-content/uploads/2019/12/AccesstoAdvantage-2018.pdf</w:t>
        </w:r>
      </w:hyperlink>
    </w:p>
    <w:p w14:paraId="0E24E605" w14:textId="77777777" w:rsidR="00694737" w:rsidRPr="00991659" w:rsidRDefault="00694737" w:rsidP="005107FC">
      <w:pPr>
        <w:pStyle w:val="StyleJustifiedLeft0cmHanging127cm"/>
        <w:jc w:val="left"/>
      </w:pPr>
      <w:r w:rsidRPr="00991659">
        <w:t xml:space="preserve">Noble, J., &amp; Davies, P. (2009). Cultural capital as an explanation of variation in participation in higher education. </w:t>
      </w:r>
      <w:r w:rsidRPr="00991659">
        <w:rPr>
          <w:i/>
          <w:iCs/>
        </w:rPr>
        <w:t>British journal of Sociology of Education, 30</w:t>
      </w:r>
      <w:r w:rsidRPr="00991659">
        <w:t xml:space="preserve">(5), 591-605. </w:t>
      </w:r>
      <w:hyperlink r:id="rId49" w:tgtFrame="_blank" w:history="1">
        <w:r w:rsidRPr="00790AF1">
          <w:rPr>
            <w:rStyle w:val="Hyperlink"/>
          </w:rPr>
          <w:t>https://doi.org/10.1080/01425690903101098</w:t>
        </w:r>
      </w:hyperlink>
    </w:p>
    <w:p w14:paraId="3899100E" w14:textId="77777777" w:rsidR="00694737" w:rsidRPr="00991659" w:rsidRDefault="00694737" w:rsidP="005107FC">
      <w:pPr>
        <w:pStyle w:val="StyleJustifiedLeft0cmHanging127cm"/>
        <w:jc w:val="left"/>
      </w:pPr>
      <w:r w:rsidRPr="00991659">
        <w:t xml:space="preserve">O'Shea, S. (2007). Well, I Got here… but What Happens Next?–Exploring the Early Narratives of First Year Female Students Who Are the First in the Family to Attend University. </w:t>
      </w:r>
      <w:r w:rsidRPr="00991659">
        <w:rPr>
          <w:i/>
          <w:iCs/>
        </w:rPr>
        <w:t>JANZSSA-Journal of the Australian and New Zealand Student Services Association, 15</w:t>
      </w:r>
      <w:r w:rsidRPr="00991659">
        <w:t>(1), 36-51.</w:t>
      </w:r>
    </w:p>
    <w:p w14:paraId="6309B270" w14:textId="77777777" w:rsidR="00694737" w:rsidRPr="00991659" w:rsidRDefault="00694737" w:rsidP="005107FC">
      <w:pPr>
        <w:pStyle w:val="StyleJustifiedLeft0cmHanging127cm"/>
        <w:jc w:val="left"/>
      </w:pPr>
      <w:r w:rsidRPr="00991659">
        <w:lastRenderedPageBreak/>
        <w:t xml:space="preserve">O'Shea, S., May, J., Stone, C., &amp; Delahunty, J. (2024). </w:t>
      </w:r>
      <w:r w:rsidRPr="00991659">
        <w:rPr>
          <w:i/>
          <w:iCs/>
        </w:rPr>
        <w:t>First-in-family students, university experience and family life: Motivations, transitions and participation</w:t>
      </w:r>
      <w:r w:rsidRPr="00991659">
        <w:t xml:space="preserve"> (2nd ed.). Palgrave Macmillan. </w:t>
      </w:r>
      <w:hyperlink r:id="rId50" w:tgtFrame="_blank" w:history="1">
        <w:r w:rsidRPr="00790AF1">
          <w:rPr>
            <w:rStyle w:val="Hyperlink"/>
          </w:rPr>
          <w:t>https://doi.org/10.1007/978-3-031-34451-0</w:t>
        </w:r>
      </w:hyperlink>
    </w:p>
    <w:p w14:paraId="060F6C3A" w14:textId="77777777" w:rsidR="00694737" w:rsidRPr="00991659" w:rsidRDefault="00694737" w:rsidP="005107FC">
      <w:pPr>
        <w:pStyle w:val="StyleJustifiedLeft0cmHanging127cm"/>
        <w:jc w:val="left"/>
      </w:pPr>
      <w:r w:rsidRPr="00991659">
        <w:t>O'Shea, S., Stone, C., &amp; May, J. (2014). Breaking the barriers: supporting and engaging mature age first-in-family university learners and their families 17th International FYHE Conference, Brisbane.</w:t>
      </w:r>
    </w:p>
    <w:p w14:paraId="18B79203" w14:textId="06E0A810" w:rsidR="00694737" w:rsidRPr="00991659" w:rsidRDefault="00694737" w:rsidP="005107FC">
      <w:pPr>
        <w:pStyle w:val="StyleJustifiedLeft0cmHanging127cm"/>
        <w:jc w:val="left"/>
      </w:pPr>
      <w:r w:rsidRPr="00991659">
        <w:t>O’Shea, S., &amp; Stone, C. (</w:t>
      </w:r>
      <w:r w:rsidRPr="00991659">
        <w:rPr>
          <w:color w:val="000071"/>
        </w:rPr>
        <w:t>2014</w:t>
      </w:r>
      <w:r w:rsidRPr="00991659">
        <w:t xml:space="preserve">). The hero’s journey: Stories of women returning to education. </w:t>
      </w:r>
      <w:r w:rsidRPr="00991659">
        <w:rPr>
          <w:i/>
          <w:iCs/>
        </w:rPr>
        <w:t>The International Journal of the First Year in Higher Education</w:t>
      </w:r>
      <w:r w:rsidRPr="00991659">
        <w:t xml:space="preserve">, </w:t>
      </w:r>
      <w:r w:rsidRPr="00A94465">
        <w:rPr>
          <w:i/>
          <w:iCs/>
        </w:rPr>
        <w:t>5</w:t>
      </w:r>
      <w:r w:rsidRPr="00991659">
        <w:t xml:space="preserve">(1), 79–91. </w:t>
      </w:r>
      <w:hyperlink r:id="rId51" w:history="1">
        <w:r w:rsidR="006D4F66" w:rsidRPr="00C6385F">
          <w:rPr>
            <w:rStyle w:val="Hyperlink"/>
            <w:rFonts w:cs="Arial"/>
            <w:szCs w:val="22"/>
          </w:rPr>
          <w:t>https://doi.org/10.5204/intjfyhe.v5i1.186</w:t>
        </w:r>
      </w:hyperlink>
      <w:r w:rsidR="006D4F66">
        <w:rPr>
          <w:color w:val="000071"/>
        </w:rPr>
        <w:t xml:space="preserve"> </w:t>
      </w:r>
    </w:p>
    <w:p w14:paraId="5569459F" w14:textId="6E97F78F" w:rsidR="00694737" w:rsidRPr="00991659" w:rsidRDefault="00694737" w:rsidP="005107FC">
      <w:pPr>
        <w:pStyle w:val="StyleJustifiedLeft0cmHanging127cm"/>
        <w:jc w:val="left"/>
      </w:pPr>
      <w:r w:rsidRPr="00991659">
        <w:t xml:space="preserve">O’Shea, S. (2016). Avoiding the manufacture of ‘sameness’: First-in-family students, cultural capital and the higher education environment. </w:t>
      </w:r>
      <w:r w:rsidRPr="00991659">
        <w:rPr>
          <w:i/>
          <w:iCs/>
        </w:rPr>
        <w:t>Higher education, 72</w:t>
      </w:r>
      <w:r w:rsidRPr="00991659">
        <w:t xml:space="preserve">, 59-78. </w:t>
      </w:r>
      <w:hyperlink r:id="rId52" w:tgtFrame="_blank" w:history="1">
        <w:r w:rsidRPr="00790AF1">
          <w:rPr>
            <w:rStyle w:val="Hyperlink"/>
          </w:rPr>
          <w:t>https://doi.org/10.1007/s10734-015-9938-y</w:t>
        </w:r>
      </w:hyperlink>
      <w:r w:rsidR="006D4F66">
        <w:t xml:space="preserve"> </w:t>
      </w:r>
    </w:p>
    <w:p w14:paraId="42A0B802" w14:textId="77777777" w:rsidR="00694737" w:rsidRPr="00991659" w:rsidRDefault="00694737" w:rsidP="005107FC">
      <w:pPr>
        <w:pStyle w:val="StyleJustifiedLeft0cmHanging127cm"/>
        <w:jc w:val="left"/>
      </w:pPr>
      <w:r w:rsidRPr="00991659">
        <w:t>O’Shea, S. (2019). Literature review: 'Mind the gap!' Exploring the post-graduation outcomes and employment mobility of individuals who are first in their family to complete a university degree. the National Centre for Student Equity in Higher Education (NCSEHE).</w:t>
      </w:r>
    </w:p>
    <w:p w14:paraId="2ABFF700" w14:textId="77777777" w:rsidR="00694737" w:rsidRPr="00991659" w:rsidRDefault="00694737" w:rsidP="005107FC">
      <w:pPr>
        <w:pStyle w:val="StyleJustifiedLeft0cmHanging127cm"/>
        <w:jc w:val="left"/>
      </w:pPr>
      <w:r w:rsidRPr="00991659">
        <w:t xml:space="preserve">O’Shea, S. (2020). Crossing Boundaries: Rethinking the ways that first-in-family students navigate ‘barriers’ to higher education. </w:t>
      </w:r>
      <w:r w:rsidRPr="00991659">
        <w:rPr>
          <w:i/>
          <w:iCs/>
        </w:rPr>
        <w:t>British journal of Sociology of Education, 41</w:t>
      </w:r>
      <w:r w:rsidRPr="00991659">
        <w:t xml:space="preserve">(1), 95-110. </w:t>
      </w:r>
      <w:hyperlink r:id="rId53" w:tgtFrame="_blank" w:history="1">
        <w:r w:rsidRPr="00790AF1">
          <w:rPr>
            <w:rStyle w:val="Hyperlink"/>
          </w:rPr>
          <w:t>https://doi.org/10.1080/01425692.2019.1668746</w:t>
        </w:r>
      </w:hyperlink>
    </w:p>
    <w:p w14:paraId="21737F69" w14:textId="77777777" w:rsidR="00694737" w:rsidRPr="00991659" w:rsidRDefault="00694737" w:rsidP="005107FC">
      <w:pPr>
        <w:pStyle w:val="StyleJustifiedLeft0cmHanging127cm"/>
        <w:jc w:val="left"/>
      </w:pPr>
      <w:r w:rsidRPr="00991659">
        <w:t xml:space="preserve">O’Shea, S., Groves, O., &amp; Delahunty, J. (2021). ‘… having people that will help you, that know the ropes and have walked that road before you’: How does first in family status impact graduates in the employment field? </w:t>
      </w:r>
      <w:r w:rsidRPr="00991659">
        <w:rPr>
          <w:i/>
          <w:iCs/>
        </w:rPr>
        <w:t>Journal of Teaching and Learning for Graduate Employability, 12</w:t>
      </w:r>
      <w:r w:rsidRPr="00991659">
        <w:t>(2), 36-50.</w:t>
      </w:r>
    </w:p>
    <w:p w14:paraId="66EBB2C3" w14:textId="77777777" w:rsidR="00694737" w:rsidRPr="00991659" w:rsidRDefault="00694737" w:rsidP="005107FC">
      <w:pPr>
        <w:pStyle w:val="StyleJustifiedLeft0cmHanging127cm"/>
        <w:jc w:val="left"/>
      </w:pPr>
      <w:r w:rsidRPr="00991659">
        <w:t xml:space="preserve">Ostrove, J. M., &amp; Long, S. M. (2007). Social class and belonging: Implications for college adjustment. The Review of Higher Education, </w:t>
      </w:r>
      <w:r w:rsidRPr="00A94465">
        <w:rPr>
          <w:i/>
          <w:iCs/>
        </w:rPr>
        <w:t>30</w:t>
      </w:r>
      <w:r w:rsidRPr="00991659">
        <w:t>(4), 363–389.</w:t>
      </w:r>
    </w:p>
    <w:p w14:paraId="7B35D7F3" w14:textId="77777777" w:rsidR="00694737" w:rsidRDefault="00694737" w:rsidP="005107FC">
      <w:pPr>
        <w:pStyle w:val="StyleJustifiedLeft0cmHanging127cm"/>
        <w:jc w:val="left"/>
      </w:pPr>
      <w:r w:rsidRPr="00991659">
        <w:t xml:space="preserve">Palmisano, F., Biagi, F., &amp; Peragine, V. (2022). Inequality of Opportunity in Tertiary Education: Evidence from Europe. </w:t>
      </w:r>
      <w:r w:rsidRPr="00991659">
        <w:rPr>
          <w:i/>
          <w:iCs/>
        </w:rPr>
        <w:t>Research in higher education, 63</w:t>
      </w:r>
      <w:r w:rsidRPr="00991659">
        <w:t>(3), 514-565.</w:t>
      </w:r>
    </w:p>
    <w:p w14:paraId="53375081" w14:textId="609C8DEB" w:rsidR="00DD015F" w:rsidRPr="00991659" w:rsidRDefault="00DD015F" w:rsidP="005107FC">
      <w:pPr>
        <w:pStyle w:val="StyleJustifiedLeft0cmHanging127cm"/>
        <w:jc w:val="left"/>
      </w:pPr>
      <w:r w:rsidRPr="00A94465">
        <w:t xml:space="preserve">Patfield, S., Gore, J., &amp; Fray, L. (2021). Reframing first-generation entry: How the familial habitus shapes aspirations for higher education among prospective first-generation students. </w:t>
      </w:r>
      <w:r w:rsidRPr="00A94465">
        <w:rPr>
          <w:i/>
          <w:iCs/>
        </w:rPr>
        <w:t>Higher Education Research &amp; Development</w:t>
      </w:r>
      <w:r w:rsidRPr="00A94465">
        <w:t xml:space="preserve">, </w:t>
      </w:r>
      <w:r w:rsidRPr="00A94465">
        <w:rPr>
          <w:i/>
          <w:iCs/>
        </w:rPr>
        <w:t>40</w:t>
      </w:r>
      <w:r w:rsidRPr="00A94465">
        <w:t xml:space="preserve">(3), 599-612. </w:t>
      </w:r>
      <w:hyperlink r:id="rId54">
        <w:r w:rsidRPr="00A94465">
          <w:t>https://doi.org/10.1080/07294360.2020.1773766</w:t>
        </w:r>
      </w:hyperlink>
      <w:r w:rsidRPr="00A94465">
        <w:t xml:space="preserve"> </w:t>
      </w:r>
    </w:p>
    <w:p w14:paraId="3742B7B1" w14:textId="77777777" w:rsidR="00694737" w:rsidRDefault="00694737" w:rsidP="005107FC">
      <w:pPr>
        <w:pStyle w:val="StyleJustifiedLeft0cmHanging127cm"/>
        <w:jc w:val="left"/>
      </w:pPr>
      <w:r w:rsidRPr="00991659">
        <w:t xml:space="preserve">Patfield, S., Gore, J., &amp; Fray, L. (2022). Degrees of “being first”: toward a nuanced understanding of first-generation entrants to higher education. </w:t>
      </w:r>
      <w:r w:rsidRPr="00991659">
        <w:rPr>
          <w:i/>
          <w:iCs/>
        </w:rPr>
        <w:t>Educational Review, 74</w:t>
      </w:r>
      <w:r w:rsidRPr="00991659">
        <w:t xml:space="preserve">(6), 1137-1156. </w:t>
      </w:r>
      <w:hyperlink r:id="rId55" w:tgtFrame="_blank" w:history="1">
        <w:r w:rsidRPr="00790AF1">
          <w:rPr>
            <w:rStyle w:val="Hyperlink"/>
          </w:rPr>
          <w:t>https://doi.org/10.1080/00131911.2020.1740172</w:t>
        </w:r>
      </w:hyperlink>
    </w:p>
    <w:p w14:paraId="57FA6448" w14:textId="15EB2125" w:rsidR="00DD015F" w:rsidRPr="00A94465" w:rsidRDefault="00DD015F" w:rsidP="005107FC">
      <w:pPr>
        <w:pStyle w:val="StyleJustifiedLeft0cmHanging127cm"/>
        <w:jc w:val="left"/>
      </w:pPr>
      <w:r w:rsidRPr="00A94465">
        <w:t xml:space="preserve">Patfield, S., Gore, J. &amp; Weaver, N. </w:t>
      </w:r>
      <w:r w:rsidRPr="00183B2F">
        <w:t>(2022)</w:t>
      </w:r>
      <w:r>
        <w:t xml:space="preserve">. </w:t>
      </w:r>
      <w:r w:rsidRPr="00A94465">
        <w:t>On ‘being first’: the case for first-generation status in Australian higher education equity policy. Aust</w:t>
      </w:r>
      <w:r>
        <w:t>ralian</w:t>
      </w:r>
      <w:r w:rsidRPr="00A94465">
        <w:t xml:space="preserve"> Educ</w:t>
      </w:r>
      <w:r>
        <w:t>ational</w:t>
      </w:r>
      <w:r w:rsidRPr="00A94465">
        <w:t xml:space="preserve"> Res</w:t>
      </w:r>
      <w:r>
        <w:t>earcher,</w:t>
      </w:r>
      <w:r w:rsidRPr="00A94465">
        <w:t> </w:t>
      </w:r>
      <w:r w:rsidRPr="00A94465">
        <w:rPr>
          <w:i/>
          <w:iCs/>
        </w:rPr>
        <w:t>49</w:t>
      </w:r>
      <w:r w:rsidRPr="00A94465">
        <w:t>, 23–41. https://doi.org/10.1007/s13384-020-00428-2</w:t>
      </w:r>
    </w:p>
    <w:p w14:paraId="604D76B3" w14:textId="47BB2653" w:rsidR="001E5F64" w:rsidRPr="00991659" w:rsidRDefault="003200B8" w:rsidP="005107FC">
      <w:pPr>
        <w:pStyle w:val="StyleJustifiedLeft0cmHanging127cm"/>
        <w:jc w:val="left"/>
      </w:pPr>
      <w:r w:rsidRPr="00293258">
        <w:t>Pitman, T., &amp; Koshy, P. (2014).</w:t>
      </w:r>
      <w:r>
        <w:t xml:space="preserve"> </w:t>
      </w:r>
      <w:r w:rsidRPr="003200B8">
        <w:rPr>
          <w:i/>
          <w:iCs/>
        </w:rPr>
        <w:t>A framework for measuring equity performance in higher education: Draft framework document V1.6</w:t>
      </w:r>
      <w:r w:rsidRPr="003200B8">
        <w:t>. Perth: National Centre for Student Equity in Higher Education</w:t>
      </w:r>
    </w:p>
    <w:p w14:paraId="42568C09" w14:textId="77777777" w:rsidR="00694737" w:rsidRPr="00991659" w:rsidRDefault="00694737" w:rsidP="005107FC">
      <w:pPr>
        <w:pStyle w:val="StyleJustifiedLeft0cmHanging127cm"/>
        <w:jc w:val="left"/>
      </w:pPr>
      <w:r w:rsidRPr="00991659">
        <w:t>Productivity Commission. (2019). The demand driven university system: A mixed report card, Commission Research Paper. Productivity Commission.</w:t>
      </w:r>
    </w:p>
    <w:p w14:paraId="0D470D77" w14:textId="77777777" w:rsidR="00694737" w:rsidRPr="00991659" w:rsidRDefault="00694737" w:rsidP="005107FC">
      <w:pPr>
        <w:pStyle w:val="StyleJustifiedLeft0cmHanging127cm"/>
        <w:jc w:val="left"/>
      </w:pPr>
      <w:r w:rsidRPr="00991659">
        <w:lastRenderedPageBreak/>
        <w:t xml:space="preserve">Rauscher, E., &amp; Elliott, W., III. (2014). The effects of wealth inequality on Higher Education outcomes: A critical review. </w:t>
      </w:r>
      <w:r w:rsidRPr="00991659">
        <w:rPr>
          <w:i/>
          <w:iCs/>
        </w:rPr>
        <w:t>Sociology Mind, 4</w:t>
      </w:r>
      <w:r w:rsidRPr="00991659">
        <w:t>, 282–297.</w:t>
      </w:r>
    </w:p>
    <w:p w14:paraId="79DC39B0" w14:textId="77777777" w:rsidR="00694737" w:rsidRPr="00991659" w:rsidRDefault="00694737" w:rsidP="005107FC">
      <w:pPr>
        <w:pStyle w:val="StyleJustifiedLeft0cmHanging127cm"/>
        <w:jc w:val="left"/>
      </w:pPr>
      <w:r w:rsidRPr="00991659">
        <w:t>Read, B., Archer, L., &amp; Leathwood, C. (2003). Challenging cultures? Student conceptions of ‘belonging’ and ‘isolation’ at a post-1992 university. Studies in Higher Education, 28(3), 261–277.</w:t>
      </w:r>
    </w:p>
    <w:p w14:paraId="109DFC44" w14:textId="77777777" w:rsidR="00694737" w:rsidRPr="00991659" w:rsidRDefault="00694737" w:rsidP="005107FC">
      <w:pPr>
        <w:pStyle w:val="StyleJustifiedLeft0cmHanging127cm"/>
        <w:jc w:val="left"/>
      </w:pPr>
      <w:r w:rsidRPr="00991659">
        <w:t xml:space="preserve">Reay, D., (2005). "Beyond Consciousness?: The Psychic Landscape of Social Class." </w:t>
      </w:r>
      <w:r w:rsidRPr="00991659">
        <w:rPr>
          <w:i/>
          <w:iCs/>
        </w:rPr>
        <w:t>Sociology</w:t>
      </w:r>
      <w:r w:rsidRPr="00991659">
        <w:t xml:space="preserve"> 39(5): 911-928.</w:t>
      </w:r>
    </w:p>
    <w:p w14:paraId="6DC22BDF" w14:textId="77777777" w:rsidR="00694737" w:rsidRPr="00991659" w:rsidRDefault="00694737" w:rsidP="005107FC">
      <w:pPr>
        <w:pStyle w:val="StyleJustifiedLeft0cmHanging127cm"/>
        <w:jc w:val="left"/>
      </w:pPr>
      <w:r w:rsidRPr="00991659">
        <w:t xml:space="preserve">Reay, D., Crozier, G., &amp; Clayton, J. (2009). ‘Strangers in paradise’? Working-class students in elite universities. </w:t>
      </w:r>
      <w:r w:rsidRPr="00991659">
        <w:rPr>
          <w:i/>
          <w:iCs/>
        </w:rPr>
        <w:t>Sociology, 43</w:t>
      </w:r>
      <w:r w:rsidRPr="00991659">
        <w:t xml:space="preserve">(6), 1103-1121. </w:t>
      </w:r>
      <w:hyperlink r:id="rId56" w:tgtFrame="_blank" w:history="1">
        <w:r w:rsidRPr="00790AF1">
          <w:rPr>
            <w:rStyle w:val="Hyperlink"/>
          </w:rPr>
          <w:t>https://doi.org/10.1177/0038038509345700</w:t>
        </w:r>
      </w:hyperlink>
    </w:p>
    <w:p w14:paraId="4D1A0EC9" w14:textId="77777777" w:rsidR="00694737" w:rsidRPr="00991659" w:rsidRDefault="00694737" w:rsidP="005107FC">
      <w:pPr>
        <w:pStyle w:val="StyleJustifiedLeft0cmHanging127cm"/>
        <w:jc w:val="left"/>
      </w:pPr>
      <w:r w:rsidRPr="00991659">
        <w:t xml:space="preserve">Reay, D., David, M. E., &amp; Ball, S. J. (2005). </w:t>
      </w:r>
      <w:r w:rsidRPr="00991659">
        <w:rPr>
          <w:i/>
          <w:iCs/>
        </w:rPr>
        <w:t>Degrees of choice: Class, race, gender and higher education</w:t>
      </w:r>
      <w:r w:rsidRPr="00991659">
        <w:t>. Trentham books.</w:t>
      </w:r>
    </w:p>
    <w:p w14:paraId="7BB609C3" w14:textId="77777777" w:rsidR="00694737" w:rsidRPr="00991659" w:rsidRDefault="00694737" w:rsidP="005107FC">
      <w:pPr>
        <w:pStyle w:val="StyleJustifiedLeft0cmHanging127cm"/>
        <w:jc w:val="left"/>
      </w:pPr>
      <w:r w:rsidRPr="00991659">
        <w:t xml:space="preserve">Reay, D., Crozier, G., James, D. 2011. </w:t>
      </w:r>
      <w:r w:rsidRPr="00991659">
        <w:rPr>
          <w:i/>
          <w:iCs/>
        </w:rPr>
        <w:t>White Middle-Class Identities and Urban Schooling</w:t>
      </w:r>
      <w:r w:rsidRPr="00991659">
        <w:t>. Palgrave MacMillan.</w:t>
      </w:r>
    </w:p>
    <w:p w14:paraId="11A16864" w14:textId="77777777" w:rsidR="00694737" w:rsidRPr="00991659" w:rsidRDefault="00694737" w:rsidP="005107FC">
      <w:pPr>
        <w:pStyle w:val="StyleJustifiedLeft0cmHanging127cm"/>
        <w:jc w:val="left"/>
      </w:pPr>
      <w:r w:rsidRPr="00991659">
        <w:t xml:space="preserve">Rubin, M., Evans, O., &amp; McGuffog, R. (2019). Social class differences in social integration at university: Implications for academic outcomes and mental health. In J. Jetten, &amp; K. Peters (Eds.), </w:t>
      </w:r>
      <w:r w:rsidRPr="00991659">
        <w:rPr>
          <w:i/>
          <w:iCs/>
        </w:rPr>
        <w:t>The social psychology of inequality</w:t>
      </w:r>
      <w:r w:rsidRPr="00991659">
        <w:t xml:space="preserve"> (pp. 87–102). Cham: Springer.</w:t>
      </w:r>
    </w:p>
    <w:p w14:paraId="782E830A" w14:textId="77777777" w:rsidR="00694737" w:rsidRPr="00991659" w:rsidRDefault="00694737" w:rsidP="005107FC">
      <w:pPr>
        <w:pStyle w:val="StyleJustifiedLeft0cmHanging127cm"/>
        <w:jc w:val="left"/>
      </w:pPr>
      <w:r w:rsidRPr="00991659">
        <w:t xml:space="preserve">Simmons, O. S. (2011). Lost in transition: The implications of social capital for higher education access. </w:t>
      </w:r>
      <w:r w:rsidRPr="00991659">
        <w:rPr>
          <w:i/>
          <w:iCs/>
        </w:rPr>
        <w:t>Notre Dame Law Review, 87</w:t>
      </w:r>
      <w:r w:rsidRPr="00991659">
        <w:t>(1), 205-252.</w:t>
      </w:r>
    </w:p>
    <w:p w14:paraId="0376313B" w14:textId="77777777" w:rsidR="00694737" w:rsidRPr="00991659" w:rsidRDefault="00694737" w:rsidP="005107FC">
      <w:pPr>
        <w:pStyle w:val="StyleJustifiedLeft0cmHanging127cm"/>
        <w:jc w:val="left"/>
      </w:pPr>
      <w:r w:rsidRPr="00991659">
        <w:t xml:space="preserve">Southgate, E., Douglas, H., Scevak, J., Macqueen, S., Rubin, M., &amp; Lindell, C. (2014). The academic outcomes of first-in-family in an Australian university: An exploratory study. </w:t>
      </w:r>
      <w:r w:rsidRPr="00991659">
        <w:rPr>
          <w:i/>
          <w:iCs/>
        </w:rPr>
        <w:t>International Studies in Widening Participation</w:t>
      </w:r>
      <w:r w:rsidRPr="00991659">
        <w:t>, 1(2), 31–35.</w:t>
      </w:r>
    </w:p>
    <w:p w14:paraId="684B5AAE" w14:textId="77777777" w:rsidR="00694737" w:rsidRPr="00991659" w:rsidRDefault="00694737" w:rsidP="005107FC">
      <w:pPr>
        <w:pStyle w:val="StyleJustifiedLeft0cmHanging127cm"/>
        <w:jc w:val="left"/>
      </w:pPr>
      <w:r w:rsidRPr="00991659">
        <w:t xml:space="preserve">Spiegler, T., &amp; Bednarek, A. (2013). First-generation students: What we ask, what we know and what it means: An international review of the state of research. </w:t>
      </w:r>
      <w:r w:rsidRPr="00991659">
        <w:rPr>
          <w:i/>
          <w:iCs/>
        </w:rPr>
        <w:t>International studies in sociology of education, 23</w:t>
      </w:r>
      <w:r w:rsidRPr="00991659">
        <w:t xml:space="preserve">(4), 318-337. </w:t>
      </w:r>
      <w:hyperlink r:id="rId57" w:tgtFrame="_blank" w:history="1">
        <w:r w:rsidRPr="00790AF1">
          <w:rPr>
            <w:rStyle w:val="Hyperlink"/>
          </w:rPr>
          <w:t>https://doi.org/10.1080/09620214.2013.815441</w:t>
        </w:r>
      </w:hyperlink>
    </w:p>
    <w:p w14:paraId="2DE2B288" w14:textId="77777777" w:rsidR="00694737" w:rsidRPr="00991659" w:rsidRDefault="00694737" w:rsidP="005107FC">
      <w:pPr>
        <w:pStyle w:val="StyleJustifiedLeft0cmHanging127cm"/>
        <w:jc w:val="left"/>
      </w:pPr>
      <w:r w:rsidRPr="00991659">
        <w:t xml:space="preserve">Smith, J. A., Stahl, G., Harvey, A., Hill, B., Gupta, H., Moore, S., &amp; Wang, J. (2023). Understanding the identity work and aspirations of Indigenous males navigating elite Australian higher education. </w:t>
      </w:r>
      <w:r w:rsidRPr="00991659">
        <w:rPr>
          <w:i/>
          <w:iCs/>
        </w:rPr>
        <w:t>Educational Review</w:t>
      </w:r>
      <w:r w:rsidRPr="00991659">
        <w:t>, 1-21.</w:t>
      </w:r>
    </w:p>
    <w:p w14:paraId="6CE7E5C4" w14:textId="77777777" w:rsidR="00694737" w:rsidRPr="00991659" w:rsidRDefault="00694737" w:rsidP="005107FC">
      <w:pPr>
        <w:pStyle w:val="StyleJustifiedLeft0cmHanging127cm"/>
        <w:jc w:val="left"/>
      </w:pPr>
      <w:r w:rsidRPr="00991659">
        <w:t>Stahl, G., &amp; McDonald, S. (2022). Gendering the First-in-Family Experience: Transitions, Liminality, Performativity. Routledge.</w:t>
      </w:r>
    </w:p>
    <w:p w14:paraId="176692A8" w14:textId="77777777" w:rsidR="00694737" w:rsidRPr="00991659" w:rsidRDefault="00694737" w:rsidP="005107FC">
      <w:pPr>
        <w:pStyle w:val="StyleJustifiedLeft0cmHanging127cm"/>
        <w:jc w:val="left"/>
      </w:pPr>
      <w:r w:rsidRPr="00991659">
        <w:t xml:space="preserve">Stahl, G., &amp; McDonald, S. (2023). Investigating the role of gender, social class and curriculum in the first-in-family higher education experience. </w:t>
      </w:r>
      <w:r w:rsidRPr="00991659">
        <w:rPr>
          <w:i/>
          <w:iCs/>
        </w:rPr>
        <w:t>Educational Review</w:t>
      </w:r>
      <w:r w:rsidRPr="00991659">
        <w:t xml:space="preserve">, 1-18. </w:t>
      </w:r>
      <w:hyperlink r:id="rId58" w:tgtFrame="_blank" w:history="1">
        <w:r w:rsidRPr="00790AF1">
          <w:rPr>
            <w:rStyle w:val="Hyperlink"/>
          </w:rPr>
          <w:t>https://doi.org/10.1080/00131911.2023.2176468</w:t>
        </w:r>
      </w:hyperlink>
    </w:p>
    <w:p w14:paraId="5514F3A6" w14:textId="77777777" w:rsidR="00694737" w:rsidRPr="00790AF1" w:rsidRDefault="00694737" w:rsidP="005107FC">
      <w:pPr>
        <w:pStyle w:val="StyleJustifiedLeft0cmHanging127cm"/>
        <w:jc w:val="left"/>
        <w:rPr>
          <w:rStyle w:val="Hyperlink"/>
        </w:rPr>
      </w:pPr>
      <w:r w:rsidRPr="00991659">
        <w:t xml:space="preserve">Stahl, G., McDonald, S., &amp; Young, J. (2021). Possible selves in a transforming economy: upwardly mobile working-class masculinities, service work and negotiated aspirations in Australia. </w:t>
      </w:r>
      <w:r w:rsidRPr="00991659">
        <w:rPr>
          <w:i/>
          <w:iCs/>
        </w:rPr>
        <w:t>Work, employment and society, 35</w:t>
      </w:r>
      <w:r w:rsidRPr="00991659">
        <w:t xml:space="preserve">(1), 97-115. </w:t>
      </w:r>
      <w:hyperlink r:id="rId59" w:tgtFrame="_blank" w:history="1">
        <w:r w:rsidRPr="00790AF1">
          <w:rPr>
            <w:rStyle w:val="Hyperlink"/>
          </w:rPr>
          <w:t>https://doi.org/10.1177/0950017020922336</w:t>
        </w:r>
      </w:hyperlink>
    </w:p>
    <w:p w14:paraId="4A4F98E0" w14:textId="77777777" w:rsidR="00694737" w:rsidRPr="00991659" w:rsidRDefault="00694737" w:rsidP="005107FC">
      <w:pPr>
        <w:pStyle w:val="StyleJustifiedLeft0cmHanging127cm"/>
        <w:jc w:val="left"/>
      </w:pPr>
      <w:r w:rsidRPr="00991659">
        <w:t xml:space="preserve">Stephens, N. M., Fryberg, S. A., Markus, H. R., Johnson, C. S., &amp; Covarrubias, R. (2012). Unseen disadvantage: how American universities' focus on independence undermines the academic performance of first-generation college students. </w:t>
      </w:r>
      <w:r w:rsidRPr="00991659">
        <w:rPr>
          <w:i/>
          <w:iCs/>
        </w:rPr>
        <w:t xml:space="preserve">Journal </w:t>
      </w:r>
      <w:r w:rsidRPr="00991659">
        <w:rPr>
          <w:i/>
          <w:iCs/>
        </w:rPr>
        <w:lastRenderedPageBreak/>
        <w:t>of personality and social psychology, 102</w:t>
      </w:r>
      <w:r w:rsidRPr="00991659">
        <w:t xml:space="preserve">(6), 1178. </w:t>
      </w:r>
      <w:hyperlink r:id="rId60" w:tgtFrame="_blank" w:history="1">
        <w:r w:rsidRPr="00790AF1">
          <w:rPr>
            <w:rStyle w:val="Hyperlink"/>
          </w:rPr>
          <w:t>https://doi.org/10.1037/a0027143</w:t>
        </w:r>
      </w:hyperlink>
      <w:r w:rsidRPr="00991659">
        <w:t>  </w:t>
      </w:r>
    </w:p>
    <w:p w14:paraId="3E71DB14" w14:textId="23270A57" w:rsidR="00AC60F6" w:rsidRPr="00991659" w:rsidRDefault="00AC60F6" w:rsidP="005107FC">
      <w:pPr>
        <w:autoSpaceDE w:val="0"/>
        <w:autoSpaceDN w:val="0"/>
        <w:adjustRightInd w:val="0"/>
        <w:ind w:left="720" w:right="-46" w:hanging="720"/>
        <w:rPr>
          <w:szCs w:val="22"/>
          <w:lang w:val="en-GB"/>
        </w:rPr>
      </w:pPr>
      <w:r w:rsidRPr="00991659">
        <w:rPr>
          <w:szCs w:val="22"/>
          <w:lang w:val="en-GB"/>
        </w:rPr>
        <w:t>Teese, R. (2006). Condemned to innovate. In J. Schultz (Ed.), Griffith review edition 11 – Getting smart: The battle for ideas in education. Queensland: Griffith University.</w:t>
      </w:r>
    </w:p>
    <w:p w14:paraId="650869F1" w14:textId="77777777" w:rsidR="00694737" w:rsidRPr="00991659" w:rsidRDefault="00694737" w:rsidP="005107FC">
      <w:pPr>
        <w:pStyle w:val="StyleJustifiedLeft0cmHanging127cm"/>
        <w:jc w:val="left"/>
      </w:pPr>
      <w:r w:rsidRPr="00991659">
        <w:t>Thomas, L., &amp; Hovdhaugen, E. (</w:t>
      </w:r>
      <w:r w:rsidRPr="00790AF1">
        <w:t>2023</w:t>
      </w:r>
      <w:r w:rsidRPr="00991659">
        <w:t xml:space="preserve">). The role of professional passion and identity in improving diversity and success in professional education including teaching. In E. Keane, M. Heinz, &amp; R. Mc Daid (Eds.), </w:t>
      </w:r>
      <w:r w:rsidRPr="00991659">
        <w:rPr>
          <w:i/>
          <w:iCs/>
        </w:rPr>
        <w:t>Diversifying the teaching profession</w:t>
      </w:r>
      <w:r w:rsidRPr="00991659">
        <w:t xml:space="preserve"> (pp. 98–109). Routledge.</w:t>
      </w:r>
    </w:p>
    <w:p w14:paraId="0ED521CA" w14:textId="77777777" w:rsidR="00694737" w:rsidRPr="00991659" w:rsidRDefault="00694737" w:rsidP="005107FC">
      <w:pPr>
        <w:pStyle w:val="StyleJustifiedLeft0cmHanging127cm"/>
        <w:jc w:val="left"/>
      </w:pPr>
      <w:r w:rsidRPr="00991659">
        <w:t xml:space="preserve">Thomsen, J. P., Munk, M. D., Eiberg-Madsen, M., &amp; Hansen, G. I. (2011). The educational strategies of Danish university students from professional and working-class backgrounds. </w:t>
      </w:r>
      <w:r w:rsidRPr="00991659">
        <w:rPr>
          <w:i/>
          <w:iCs/>
        </w:rPr>
        <w:t>Comparative Education Review, 57</w:t>
      </w:r>
      <w:r w:rsidRPr="00991659">
        <w:t>(3), 457–480. </w:t>
      </w:r>
    </w:p>
    <w:p w14:paraId="217DF0B1" w14:textId="77777777" w:rsidR="00694737" w:rsidRPr="00991659" w:rsidRDefault="00694737" w:rsidP="005107FC">
      <w:pPr>
        <w:pStyle w:val="StyleJustifiedLeft0cmHanging127cm"/>
        <w:jc w:val="left"/>
      </w:pPr>
      <w:r w:rsidRPr="00991659">
        <w:t xml:space="preserve">Tomaszewski, W., Kubler, M., Perales, F., Clague, D., Xiang, N., &amp; Johnstone, M. (2020). </w:t>
      </w:r>
      <w:r w:rsidRPr="00991659">
        <w:rPr>
          <w:i/>
          <w:iCs/>
        </w:rPr>
        <w:t>Investigating the Effects of Cumulative Factors of Disadvantage</w:t>
      </w:r>
      <w:r w:rsidRPr="00991659">
        <w:t>. Institute for Social Science Research, Report Prepared for the Australian Government Department of Education, Skills and Employment.</w:t>
      </w:r>
    </w:p>
    <w:p w14:paraId="77877384" w14:textId="77777777" w:rsidR="00694737" w:rsidRPr="00991659" w:rsidRDefault="00694737" w:rsidP="005107FC">
      <w:pPr>
        <w:pStyle w:val="StyleJustifiedLeft0cmHanging127cm"/>
        <w:jc w:val="left"/>
      </w:pPr>
      <w:r w:rsidRPr="00991659">
        <w:t xml:space="preserve">Tomaszewski, W., Kubler, M., Perales, F., Western, M., Rampino, T., &amp; Xiang, N. (2018). </w:t>
      </w:r>
      <w:r w:rsidRPr="00991659">
        <w:rPr>
          <w:i/>
          <w:iCs/>
        </w:rPr>
        <w:t>Review of identified equity groups</w:t>
      </w:r>
      <w:r w:rsidRPr="00991659">
        <w:t>. The University of Queensland submitted to the Australian Department of Education and Training.</w:t>
      </w:r>
    </w:p>
    <w:p w14:paraId="22677828" w14:textId="77777777" w:rsidR="00694737" w:rsidRPr="00991659" w:rsidRDefault="00694737" w:rsidP="005107FC">
      <w:pPr>
        <w:pStyle w:val="StyleJustifiedLeft0cmHanging127cm"/>
        <w:jc w:val="left"/>
      </w:pPr>
      <w:r w:rsidRPr="00991659">
        <w:t>Tomlinson, M. (</w:t>
      </w:r>
      <w:r w:rsidRPr="00790AF1">
        <w:t>2017</w:t>
      </w:r>
      <w:r w:rsidRPr="00991659">
        <w:rPr>
          <w:color w:val="00007F"/>
        </w:rPr>
        <w:t>)</w:t>
      </w:r>
      <w:r w:rsidRPr="00991659">
        <w:t xml:space="preserve">. “Forms of Graduate Capital and Their Relationship to Graduate Employability.” </w:t>
      </w:r>
      <w:r w:rsidRPr="00991659">
        <w:rPr>
          <w:i/>
          <w:iCs/>
        </w:rPr>
        <w:t xml:space="preserve">Education &amp; Training </w:t>
      </w:r>
      <w:r w:rsidRPr="00991659">
        <w:t>59 (4): 338–352.</w:t>
      </w:r>
    </w:p>
    <w:p w14:paraId="76794AE7" w14:textId="77777777" w:rsidR="00694737" w:rsidRPr="00991659" w:rsidRDefault="00694737" w:rsidP="005107FC">
      <w:pPr>
        <w:pStyle w:val="StyleJustifiedLeft0cmHanging127cm"/>
        <w:jc w:val="left"/>
      </w:pPr>
      <w:r w:rsidRPr="00991659">
        <w:t xml:space="preserve">Tramonte, L., &amp; Willms, J. D. (2010). Cultural capital and its effects on education outcomes. </w:t>
      </w:r>
      <w:r w:rsidRPr="00991659">
        <w:rPr>
          <w:i/>
          <w:iCs/>
        </w:rPr>
        <w:t>Economics of Education Review, 29</w:t>
      </w:r>
      <w:r w:rsidRPr="00991659">
        <w:t>(2), 200-213.</w:t>
      </w:r>
    </w:p>
    <w:p w14:paraId="137552EC" w14:textId="3685767B" w:rsidR="00AC60F6" w:rsidRPr="00991659" w:rsidRDefault="00AC60F6" w:rsidP="005107FC">
      <w:pPr>
        <w:autoSpaceDE w:val="0"/>
        <w:autoSpaceDN w:val="0"/>
        <w:adjustRightInd w:val="0"/>
        <w:ind w:left="720" w:right="-46" w:hanging="720"/>
        <w:rPr>
          <w:szCs w:val="22"/>
          <w:lang w:val="en-GB"/>
        </w:rPr>
      </w:pPr>
      <w:r w:rsidRPr="00991659">
        <w:rPr>
          <w:szCs w:val="22"/>
          <w:lang w:val="en-GB"/>
        </w:rPr>
        <w:t>Tranter, D. (2011). Unequal schooling: how the school curriculum keeps students from low socio</w:t>
      </w:r>
      <w:r w:rsidRPr="00991659">
        <w:rPr>
          <w:rFonts w:ascii="Cambria Math" w:hAnsi="Cambria Math" w:cs="Cambria Math"/>
          <w:szCs w:val="22"/>
          <w:lang w:val="en-GB"/>
        </w:rPr>
        <w:t>‐</w:t>
      </w:r>
      <w:r w:rsidRPr="00991659">
        <w:rPr>
          <w:szCs w:val="22"/>
          <w:lang w:val="en-GB"/>
        </w:rPr>
        <w:t xml:space="preserve">economic backgrounds out of university. </w:t>
      </w:r>
      <w:r w:rsidRPr="00991659">
        <w:rPr>
          <w:i/>
          <w:iCs/>
          <w:szCs w:val="22"/>
          <w:lang w:val="en-GB"/>
        </w:rPr>
        <w:t>International Journal of Inclusive Education</w:t>
      </w:r>
      <w:r w:rsidRPr="00991659">
        <w:rPr>
          <w:szCs w:val="22"/>
          <w:lang w:val="en-GB"/>
        </w:rPr>
        <w:t>,</w:t>
      </w:r>
      <w:r w:rsidRPr="00991659">
        <w:rPr>
          <w:i/>
          <w:iCs/>
          <w:szCs w:val="22"/>
          <w:lang w:val="en-GB"/>
        </w:rPr>
        <w:t xml:space="preserve"> 16</w:t>
      </w:r>
      <w:r w:rsidRPr="00991659">
        <w:rPr>
          <w:szCs w:val="22"/>
          <w:lang w:val="en-GB"/>
        </w:rPr>
        <w:t xml:space="preserve">(9), 901-916. https://doi.org/10.1080/13603116.2010.548102 </w:t>
      </w:r>
    </w:p>
    <w:p w14:paraId="27970013" w14:textId="77777777" w:rsidR="00694737" w:rsidRPr="00991659" w:rsidRDefault="00694737" w:rsidP="005107FC">
      <w:pPr>
        <w:pStyle w:val="StyleJustifiedLeft0cmHanging127cm"/>
        <w:jc w:val="left"/>
      </w:pPr>
      <w:r w:rsidRPr="00991659">
        <w:t xml:space="preserve">Walpole, M. (2003). Socioeconomic status and college: How SES affects college experiences and outcomes. </w:t>
      </w:r>
      <w:r w:rsidRPr="00991659">
        <w:rPr>
          <w:i/>
          <w:iCs/>
        </w:rPr>
        <w:t>The review of higher education, 27</w:t>
      </w:r>
      <w:r w:rsidRPr="00991659">
        <w:t>(1), 45-73.</w:t>
      </w:r>
    </w:p>
    <w:p w14:paraId="66EAA0C2" w14:textId="77777777" w:rsidR="00694737" w:rsidRPr="00991659" w:rsidRDefault="00694737" w:rsidP="005107FC">
      <w:pPr>
        <w:pStyle w:val="StyleJustifiedLeft0cmHanging127cm"/>
        <w:jc w:val="left"/>
      </w:pPr>
      <w:r w:rsidRPr="00991659">
        <w:t xml:space="preserve">Weis, L., &amp; Cipollone, K. (2013). ‘Class work’: Producing privilege and social mobility in elite US secondary schools. </w:t>
      </w:r>
      <w:r w:rsidRPr="00991659">
        <w:rPr>
          <w:i/>
          <w:iCs/>
        </w:rPr>
        <w:t>British Journal of Sociology of Education, 34</w:t>
      </w:r>
      <w:r w:rsidRPr="00991659">
        <w:t>(5–6), 701–722.</w:t>
      </w:r>
    </w:p>
    <w:p w14:paraId="19CFE44C" w14:textId="77777777" w:rsidR="00694737" w:rsidRPr="00991659" w:rsidRDefault="00694737" w:rsidP="005107FC">
      <w:pPr>
        <w:pStyle w:val="StyleJustifiedLeft0cmHanging127cm"/>
        <w:jc w:val="left"/>
      </w:pPr>
      <w:r w:rsidRPr="00991659">
        <w:t>Western, J. S., McMillan, J., &amp; Durrington, D. (1998). Differential access to higher education: The measurement of socioeconomic status, rurality and isolation. Australian Government Publishing Service.  </w:t>
      </w:r>
    </w:p>
    <w:p w14:paraId="63D0C541" w14:textId="77777777" w:rsidR="00694737" w:rsidRPr="00991659" w:rsidRDefault="00694737" w:rsidP="005107FC">
      <w:pPr>
        <w:pStyle w:val="StyleJustifiedLeft0cmHanging127cm"/>
        <w:jc w:val="left"/>
      </w:pPr>
      <w:r w:rsidRPr="00991659">
        <w:t xml:space="preserve">Wong, B. (2018). By chance or by plan?: The academic success of nontraditional students in higher education. </w:t>
      </w:r>
      <w:r w:rsidRPr="00991659">
        <w:rPr>
          <w:i/>
          <w:iCs/>
        </w:rPr>
        <w:t>AERA Open, 4</w:t>
      </w:r>
      <w:r w:rsidRPr="00991659">
        <w:t xml:space="preserve">(2), 2332858418782195. </w:t>
      </w:r>
      <w:hyperlink r:id="rId61" w:tgtFrame="_blank" w:history="1">
        <w:r w:rsidRPr="00790AF1">
          <w:rPr>
            <w:rStyle w:val="Hyperlink"/>
          </w:rPr>
          <w:t>https://doi.org/10.1177/2332858418782195</w:t>
        </w:r>
      </w:hyperlink>
    </w:p>
    <w:p w14:paraId="5B2C3D5B" w14:textId="77777777" w:rsidR="00694737" w:rsidRPr="00991659" w:rsidRDefault="00694737" w:rsidP="005107FC">
      <w:pPr>
        <w:pStyle w:val="StyleJustifiedLeft0cmHanging127cm"/>
        <w:jc w:val="left"/>
      </w:pPr>
      <w:r w:rsidRPr="00991659">
        <w:t xml:space="preserve">Vincent, C., Ball, S., Rollock, N. and Gillborn, D. (2013) Three generations of racism: Black middle-class children and schooling. </w:t>
      </w:r>
      <w:r w:rsidRPr="00991659">
        <w:rPr>
          <w:i/>
          <w:iCs/>
        </w:rPr>
        <w:t>British Journal of Sociology of Education</w:t>
      </w:r>
      <w:r w:rsidRPr="00991659">
        <w:t>, 34(5–6), 929–946.</w:t>
      </w:r>
    </w:p>
    <w:p w14:paraId="4B3AB7BB" w14:textId="77777777" w:rsidR="00694737" w:rsidRPr="00991659" w:rsidRDefault="00694737" w:rsidP="005107FC">
      <w:pPr>
        <w:pStyle w:val="StyleJustifiedLeft0cmHanging127cm"/>
        <w:jc w:val="left"/>
      </w:pPr>
      <w:r w:rsidRPr="00991659">
        <w:t xml:space="preserve">Zajac, T., &amp; Tomaszewski, W. (2023). Relative influence of different markers of socioeconomic status on university participation. In AIHW (Ed.), </w:t>
      </w:r>
      <w:r w:rsidRPr="00991659">
        <w:rPr>
          <w:i/>
          <w:iCs/>
        </w:rPr>
        <w:t>Australia's welfare: 2023 data insights</w:t>
      </w:r>
      <w:r w:rsidRPr="00991659">
        <w:t xml:space="preserve"> (pp. 193-214). Australian Institute of Health and Welfare (AIHW) Australian Government.</w:t>
      </w:r>
    </w:p>
    <w:p w14:paraId="7E21B0D1" w14:textId="43DC97EA" w:rsidR="009D6D47" w:rsidRPr="00431994" w:rsidRDefault="00694737" w:rsidP="005107FC">
      <w:pPr>
        <w:pStyle w:val="StyleJustifiedLeft0cmHanging127cm"/>
        <w:jc w:val="left"/>
        <w:rPr>
          <w:lang w:val="fr-FR"/>
        </w:rPr>
      </w:pPr>
      <w:r w:rsidRPr="00991659">
        <w:rPr>
          <w:lang w:val="pl-PL"/>
        </w:rPr>
        <w:lastRenderedPageBreak/>
        <w:t xml:space="preserve">Zając, T., Perales, F., Xiang, N., Tomaszewski, W., &amp; Zubrick, S. R. (2022). </w:t>
      </w:r>
      <w:r w:rsidRPr="00991659">
        <w:t>Investigating the relevance of mental health for the current equity groups framework: an analysis of multi-agency linked-administrative data. Perth, WA, Australia: National Centre for Student Equity in Higher Education.</w:t>
      </w:r>
      <w:r w:rsidR="009D6D47" w:rsidRPr="00431994">
        <w:rPr>
          <w:lang w:val="fr-FR"/>
        </w:rPr>
        <w:br w:type="page"/>
      </w:r>
    </w:p>
    <w:p w14:paraId="6D893C95" w14:textId="77777777" w:rsidR="009D6D47" w:rsidRPr="002F3A26" w:rsidRDefault="009D6D47" w:rsidP="00942F29">
      <w:pPr>
        <w:pStyle w:val="Heading1"/>
      </w:pPr>
      <w:bookmarkStart w:id="76" w:name="_Toc202791811"/>
      <w:r w:rsidRPr="002F3A26">
        <w:lastRenderedPageBreak/>
        <w:t>Appendices</w:t>
      </w:r>
      <w:bookmarkEnd w:id="76"/>
    </w:p>
    <w:p w14:paraId="297B9116" w14:textId="56C19739" w:rsidR="00597496" w:rsidRPr="00500DF0" w:rsidRDefault="00925C36" w:rsidP="00500DF0">
      <w:pPr>
        <w:pStyle w:val="Heading7"/>
      </w:pPr>
      <w:bookmarkStart w:id="77" w:name="_Ref191461770"/>
      <w:r>
        <w:t xml:space="preserve">– </w:t>
      </w:r>
      <w:r w:rsidR="00597496" w:rsidRPr="00500DF0">
        <w:t>Model</w:t>
      </w:r>
      <w:r w:rsidR="00A55B71" w:rsidRPr="00500DF0">
        <w:t>ling approach</w:t>
      </w:r>
      <w:bookmarkEnd w:id="77"/>
    </w:p>
    <w:p w14:paraId="521E6B44" w14:textId="015F20A9" w:rsidR="00A55B71" w:rsidRDefault="00A55B71" w:rsidP="00A55B71">
      <w:pPr>
        <w:rPr>
          <w:lang w:eastAsia="en-AU"/>
        </w:rPr>
      </w:pPr>
      <w:r>
        <w:rPr>
          <w:lang w:eastAsia="en-AU"/>
        </w:rPr>
        <w:t>The models used to investigate the relationships between</w:t>
      </w:r>
      <w:r w:rsidR="006D4F66">
        <w:rPr>
          <w:lang w:eastAsia="en-AU"/>
        </w:rPr>
        <w:t xml:space="preserve"> First-in-Family</w:t>
      </w:r>
      <w:r>
        <w:rPr>
          <w:lang w:eastAsia="en-AU"/>
        </w:rPr>
        <w:t xml:space="preserve"> </w:t>
      </w:r>
      <w:r w:rsidR="006D4F66">
        <w:rPr>
          <w:lang w:eastAsia="en-AU"/>
        </w:rPr>
        <w:t>(</w:t>
      </w:r>
      <w:r>
        <w:rPr>
          <w:lang w:eastAsia="en-AU"/>
        </w:rPr>
        <w:t>FiF</w:t>
      </w:r>
      <w:r w:rsidR="006D4F66">
        <w:rPr>
          <w:lang w:eastAsia="en-AU"/>
        </w:rPr>
        <w:t>)</w:t>
      </w:r>
      <w:r>
        <w:rPr>
          <w:lang w:eastAsia="en-AU"/>
        </w:rPr>
        <w:t xml:space="preserve"> and enrolment in higher education and enrolment in a selective institution had a similar form (the second variable was modelled only for those who enrolled in university studies). First, we fitted the baseline model of the following form: </w:t>
      </w:r>
    </w:p>
    <w:p w14:paraId="593A6DDE" w14:textId="680A62D4" w:rsidR="00A55B71" w:rsidRPr="00A55B71" w:rsidRDefault="00B631F1" w:rsidP="00A55B71">
      <m:oMathPara>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E=1</m:t>
                          </m:r>
                        </m:e>
                      </m:d>
                    </m:num>
                    <m:den>
                      <m:r>
                        <w:rPr>
                          <w:rFonts w:ascii="Cambria Math" w:hAnsi="Cambria Math"/>
                        </w:rPr>
                        <m:t>1-p</m:t>
                      </m:r>
                      <m:d>
                        <m:dPr>
                          <m:ctrlPr>
                            <w:rPr>
                              <w:rFonts w:ascii="Cambria Math" w:hAnsi="Cambria Math"/>
                              <w:i/>
                            </w:rPr>
                          </m:ctrlPr>
                        </m:dPr>
                        <m:e>
                          <m:r>
                            <w:rPr>
                              <w:rFonts w:ascii="Cambria Math" w:hAnsi="Cambria Math"/>
                            </w:rPr>
                            <m:t>E=1</m:t>
                          </m:r>
                        </m:e>
                      </m:d>
                    </m:den>
                  </m:f>
                </m:e>
              </m:d>
            </m:e>
          </m:func>
          <m:r>
            <w:rPr>
              <w:rFonts w:ascii="Cambria Math" w:hAnsi="Cambria Math"/>
            </w:rPr>
            <m:t xml:space="preserve">= </m:t>
          </m:r>
          <m:r>
            <w:rPr>
              <w:rFonts w:ascii="Cambria Math" w:hAnsi="Cambria Math" w:cstheme="minorHAnsi"/>
            </w:rPr>
            <m:t>α+</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m:t>
              </m:r>
            </m:sub>
          </m:sSub>
          <m:r>
            <w:rPr>
              <w:rFonts w:ascii="Cambria Math" w:hAnsi="Cambria Math"/>
            </w:rPr>
            <m:t xml:space="preserve">FiF+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2</m:t>
              </m:r>
            </m:sub>
          </m:sSub>
          <m:r>
            <w:rPr>
              <w:rFonts w:ascii="Cambria Math" w:hAnsi="Cambria Math"/>
            </w:rPr>
            <m:t>C</m:t>
          </m:r>
        </m:oMath>
      </m:oMathPara>
    </w:p>
    <w:p w14:paraId="157CD706" w14:textId="5350E60A" w:rsidR="00A55B71" w:rsidRDefault="00A55B71" w:rsidP="00A55B71">
      <w:pPr>
        <w:rPr>
          <w:rFonts w:cstheme="minorHAnsi"/>
        </w:rPr>
      </w:pPr>
      <w:r>
        <w:t xml:space="preserve">Where </w:t>
      </w:r>
      <w:r w:rsidRPr="00A55B71">
        <w:rPr>
          <w:i/>
          <w:iCs/>
        </w:rPr>
        <w:t>E</w:t>
      </w:r>
      <w:r>
        <w:t xml:space="preserve"> was </w:t>
      </w:r>
      <w:r>
        <w:rPr>
          <w:rFonts w:eastAsiaTheme="minorEastAsia"/>
        </w:rPr>
        <w:t xml:space="preserve">a binary variable capturing, depending on the model, either university enrolment or enrolment in a selective institution; </w:t>
      </w:r>
      <w:r w:rsidRPr="00A55B71">
        <w:rPr>
          <w:rFonts w:eastAsiaTheme="minorEastAsia"/>
          <w:i/>
          <w:iCs/>
        </w:rPr>
        <w:t>FiF</w:t>
      </w:r>
      <w:r>
        <w:rPr>
          <w:rFonts w:eastAsiaTheme="minorEastAsia"/>
        </w:rPr>
        <w:t xml:space="preserve"> represented </w:t>
      </w:r>
      <w:r w:rsidR="00E61E05">
        <w:rPr>
          <w:rFonts w:eastAsiaTheme="minorEastAsia"/>
        </w:rPr>
        <w:t>First-in-Family</w:t>
      </w:r>
      <w:r>
        <w:rPr>
          <w:rFonts w:eastAsiaTheme="minorEastAsia"/>
        </w:rPr>
        <w:t xml:space="preserve"> status; </w:t>
      </w:r>
      <w:r w:rsidRPr="00BD5421">
        <w:rPr>
          <w:rFonts w:cstheme="minorHAnsi"/>
          <w:i/>
          <w:iCs/>
        </w:rPr>
        <w:t>C</w:t>
      </w:r>
      <w:r>
        <w:rPr>
          <w:rFonts w:cstheme="minorHAnsi"/>
          <w:i/>
          <w:iCs/>
          <w:vertAlign w:val="subscript"/>
        </w:rPr>
        <w:t>1</w:t>
      </w:r>
      <w:r>
        <w:rPr>
          <w:rFonts w:cstheme="minorHAnsi"/>
          <w:i/>
        </w:rPr>
        <w:t xml:space="preserve"> </w:t>
      </w:r>
      <w:r>
        <w:rPr>
          <w:rFonts w:cstheme="minorHAnsi"/>
          <w:iCs/>
        </w:rPr>
        <w:t>wa</w:t>
      </w:r>
      <w:r w:rsidRPr="00BD5421">
        <w:rPr>
          <w:rFonts w:cstheme="minorHAnsi"/>
          <w:iCs/>
        </w:rPr>
        <w:t>s a set of control variables</w:t>
      </w:r>
      <w:r>
        <w:rPr>
          <w:rFonts w:cstheme="minorHAnsi"/>
          <w:iCs/>
        </w:rPr>
        <w:t>;</w:t>
      </w:r>
      <w:r>
        <w:rPr>
          <w:rFonts w:cstheme="minorHAnsi"/>
          <w:i/>
        </w:rPr>
        <w:t xml:space="preserve"> </w:t>
      </w:r>
      <w:r w:rsidRPr="004B6170">
        <w:rPr>
          <w:rFonts w:cstheme="minorHAnsi"/>
          <w:i/>
        </w:rPr>
        <w:t>α</w:t>
      </w:r>
      <w:r w:rsidRPr="004B6170">
        <w:rPr>
          <w:rFonts w:cstheme="minorHAnsi"/>
        </w:rPr>
        <w:t xml:space="preserve"> </w:t>
      </w:r>
      <w:r>
        <w:rPr>
          <w:rFonts w:cstheme="minorHAnsi"/>
        </w:rPr>
        <w:t>wa</w:t>
      </w:r>
      <w:r w:rsidRPr="004B6170">
        <w:rPr>
          <w:rFonts w:cstheme="minorHAnsi"/>
        </w:rPr>
        <w:t xml:space="preserve">s the </w:t>
      </w:r>
      <w:r>
        <w:rPr>
          <w:rFonts w:cstheme="minorHAnsi"/>
        </w:rPr>
        <w:t xml:space="preserve">model’s </w:t>
      </w:r>
      <w:r w:rsidRPr="004B6170">
        <w:rPr>
          <w:rFonts w:cstheme="minorHAnsi"/>
        </w:rPr>
        <w:t>intercept</w:t>
      </w:r>
      <w:r>
        <w:rPr>
          <w:rFonts w:cstheme="minorHAnsi"/>
        </w:rPr>
        <w:t xml:space="preserve">; </w:t>
      </w:r>
      <w:r w:rsidRPr="004B6170">
        <w:rPr>
          <w:rFonts w:cstheme="minorHAnsi"/>
          <w:i/>
        </w:rPr>
        <w:t>β</w:t>
      </w:r>
      <w:r w:rsidRPr="004B6170">
        <w:rPr>
          <w:rFonts w:cstheme="minorHAnsi"/>
          <w:i/>
          <w:vertAlign w:val="subscript"/>
        </w:rPr>
        <w:t>1</w:t>
      </w:r>
      <w:r w:rsidRPr="004B6170">
        <w:rPr>
          <w:rFonts w:cstheme="minorHAnsi"/>
          <w:i/>
        </w:rPr>
        <w:t xml:space="preserve"> </w:t>
      </w:r>
      <w:r>
        <w:rPr>
          <w:rFonts w:cstheme="minorHAnsi"/>
          <w:i/>
        </w:rPr>
        <w:t>and</w:t>
      </w:r>
      <w:r w:rsidRPr="004B6170">
        <w:rPr>
          <w:rFonts w:cstheme="minorHAnsi"/>
          <w:i/>
        </w:rPr>
        <w:t xml:space="preserve"> β</w:t>
      </w:r>
      <w:r>
        <w:rPr>
          <w:rFonts w:cstheme="minorHAnsi"/>
          <w:i/>
          <w:vertAlign w:val="subscript"/>
        </w:rPr>
        <w:t>2</w:t>
      </w:r>
      <w:r w:rsidRPr="004B6170">
        <w:rPr>
          <w:rFonts w:cstheme="minorHAnsi"/>
        </w:rPr>
        <w:t xml:space="preserve"> </w:t>
      </w:r>
      <w:r>
        <w:rPr>
          <w:rFonts w:cstheme="minorHAnsi"/>
        </w:rPr>
        <w:t>were</w:t>
      </w:r>
      <w:r w:rsidRPr="004B6170">
        <w:rPr>
          <w:rFonts w:cstheme="minorHAnsi"/>
        </w:rPr>
        <w:t xml:space="preserve"> vectors of coefficients to be estimated</w:t>
      </w:r>
      <w:r>
        <w:rPr>
          <w:rFonts w:cstheme="minorHAnsi"/>
        </w:rPr>
        <w:t>.</w:t>
      </w:r>
    </w:p>
    <w:p w14:paraId="6F2C3D85" w14:textId="1BCBBF70" w:rsidR="00A55B71" w:rsidRDefault="00A55B71" w:rsidP="00A55B71">
      <w:pPr>
        <w:rPr>
          <w:rFonts w:cstheme="minorHAnsi"/>
        </w:rPr>
      </w:pPr>
      <w:r>
        <w:rPr>
          <w:rFonts w:cstheme="minorHAnsi"/>
        </w:rPr>
        <w:t>In the next steps</w:t>
      </w:r>
      <w:r w:rsidR="00EC2869">
        <w:rPr>
          <w:rFonts w:cstheme="minorHAnsi"/>
        </w:rPr>
        <w:t>,</w:t>
      </w:r>
      <w:r>
        <w:rPr>
          <w:rFonts w:cstheme="minorHAnsi"/>
        </w:rPr>
        <w:t xml:space="preserve"> we investigated whether the effects of </w:t>
      </w:r>
      <w:r>
        <w:t>FIF status</w:t>
      </w:r>
      <w:r>
        <w:rPr>
          <w:rFonts w:cstheme="minorHAnsi"/>
        </w:rPr>
        <w:t xml:space="preserve"> were independent of equity group membership by introducing measures of the latter as model controls. In the model specification below, </w:t>
      </w:r>
      <w:r>
        <w:rPr>
          <w:rFonts w:cstheme="minorHAnsi"/>
          <w:i/>
        </w:rPr>
        <w:t>EG</w:t>
      </w:r>
      <w:r w:rsidRPr="004B6170">
        <w:rPr>
          <w:rFonts w:cstheme="minorHAnsi"/>
        </w:rPr>
        <w:t xml:space="preserve"> </w:t>
      </w:r>
      <w:r>
        <w:rPr>
          <w:rFonts w:cstheme="minorHAnsi"/>
        </w:rPr>
        <w:t>stands for</w:t>
      </w:r>
      <w:r w:rsidRPr="004B6170">
        <w:rPr>
          <w:rFonts w:cstheme="minorHAnsi"/>
        </w:rPr>
        <w:t xml:space="preserve"> a set of dummy variables capturing membership in </w:t>
      </w:r>
      <w:r>
        <w:rPr>
          <w:rFonts w:cstheme="minorHAnsi"/>
        </w:rPr>
        <w:t xml:space="preserve">the equity groups. We assessed the results by comparing the coefficients on </w:t>
      </w:r>
      <w:r>
        <w:t>FiF status</w:t>
      </w:r>
      <w:r>
        <w:rPr>
          <w:rFonts w:cstheme="minorHAnsi"/>
        </w:rPr>
        <w:t xml:space="preserve"> across the models.</w:t>
      </w:r>
    </w:p>
    <w:p w14:paraId="1E13E6F7" w14:textId="6F96ACB1" w:rsidR="00A55B71" w:rsidRPr="00A55B71" w:rsidRDefault="00B631F1" w:rsidP="00A55B71">
      <m:oMathPara>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E=1</m:t>
                          </m:r>
                        </m:e>
                      </m:d>
                    </m:num>
                    <m:den>
                      <m:r>
                        <w:rPr>
                          <w:rFonts w:ascii="Cambria Math" w:hAnsi="Cambria Math"/>
                        </w:rPr>
                        <m:t>1-p</m:t>
                      </m:r>
                      <m:d>
                        <m:dPr>
                          <m:ctrlPr>
                            <w:rPr>
                              <w:rFonts w:ascii="Cambria Math" w:hAnsi="Cambria Math"/>
                              <w:i/>
                            </w:rPr>
                          </m:ctrlPr>
                        </m:dPr>
                        <m:e>
                          <m:r>
                            <w:rPr>
                              <w:rFonts w:ascii="Cambria Math" w:hAnsi="Cambria Math"/>
                            </w:rPr>
                            <m:t>E=1</m:t>
                          </m:r>
                        </m:e>
                      </m:d>
                    </m:den>
                  </m:f>
                </m:e>
              </m:d>
            </m:e>
          </m:func>
          <m:r>
            <w:rPr>
              <w:rFonts w:ascii="Cambria Math" w:hAnsi="Cambria Math"/>
            </w:rPr>
            <m:t xml:space="preserve">= </m:t>
          </m:r>
          <m:r>
            <w:rPr>
              <w:rFonts w:ascii="Cambria Math" w:hAnsi="Cambria Math" w:cstheme="minorHAnsi"/>
            </w:rPr>
            <m:t>α+</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m:t>
              </m:r>
            </m:sub>
          </m:sSub>
          <m:r>
            <w:rPr>
              <w:rFonts w:ascii="Cambria Math" w:hAnsi="Cambria Math"/>
            </w:rPr>
            <m:t xml:space="preserve">FiF+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2</m:t>
              </m:r>
            </m:sub>
          </m:sSub>
          <m:r>
            <w:rPr>
              <w:rFonts w:ascii="Cambria Math" w:hAnsi="Cambria Math"/>
            </w:rPr>
            <m:t xml:space="preserve">EG+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m:t>
              </m:r>
            </m:sub>
          </m:sSub>
          <m:r>
            <w:rPr>
              <w:rFonts w:ascii="Cambria Math" w:hAnsi="Cambria Math"/>
            </w:rPr>
            <m:t>C</m:t>
          </m:r>
        </m:oMath>
      </m:oMathPara>
    </w:p>
    <w:p w14:paraId="0105A4A1" w14:textId="7E4EF4F9" w:rsidR="00A55B71" w:rsidRDefault="00A55B71" w:rsidP="00A55B71">
      <w:pPr>
        <w:rPr>
          <w:rFonts w:cstheme="minorHAnsi"/>
        </w:rPr>
      </w:pPr>
      <w:r>
        <w:t xml:space="preserve">In the final step, </w:t>
      </w:r>
      <w:r>
        <w:rPr>
          <w:rFonts w:cstheme="minorHAnsi"/>
        </w:rPr>
        <w:t>we tested whether equity</w:t>
      </w:r>
      <w:r w:rsidR="006D4F66">
        <w:rPr>
          <w:rFonts w:cstheme="minorHAnsi"/>
        </w:rPr>
        <w:t xml:space="preserve"> </w:t>
      </w:r>
      <w:r>
        <w:rPr>
          <w:rFonts w:cstheme="minorHAnsi"/>
        </w:rPr>
        <w:t xml:space="preserve">group membership had a moderating effect on the relationship between </w:t>
      </w:r>
      <w:r>
        <w:t xml:space="preserve">FIF status and </w:t>
      </w:r>
      <w:r>
        <w:rPr>
          <w:rFonts w:eastAsiaTheme="minorEastAsia"/>
        </w:rPr>
        <w:t>university enrolment/enrolment in a selective institution</w:t>
      </w:r>
      <w:r>
        <w:rPr>
          <w:rFonts w:cstheme="minorHAnsi"/>
        </w:rPr>
        <w:t>. We did so by introducing interaction terms as follows:</w:t>
      </w:r>
    </w:p>
    <w:p w14:paraId="34EA501C" w14:textId="5727BF67" w:rsidR="00A55B71" w:rsidRPr="00A55B71" w:rsidRDefault="00B631F1" w:rsidP="00A55B71">
      <m:oMathPara>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E=1</m:t>
                          </m:r>
                        </m:e>
                      </m:d>
                    </m:num>
                    <m:den>
                      <m:r>
                        <w:rPr>
                          <w:rFonts w:ascii="Cambria Math" w:hAnsi="Cambria Math"/>
                        </w:rPr>
                        <m:t>1-p</m:t>
                      </m:r>
                      <m:d>
                        <m:dPr>
                          <m:ctrlPr>
                            <w:rPr>
                              <w:rFonts w:ascii="Cambria Math" w:hAnsi="Cambria Math"/>
                              <w:i/>
                            </w:rPr>
                          </m:ctrlPr>
                        </m:dPr>
                        <m:e>
                          <m:r>
                            <w:rPr>
                              <w:rFonts w:ascii="Cambria Math" w:hAnsi="Cambria Math"/>
                            </w:rPr>
                            <m:t>E=1</m:t>
                          </m:r>
                        </m:e>
                      </m:d>
                    </m:den>
                  </m:f>
                </m:e>
              </m:d>
            </m:e>
          </m:func>
          <m:r>
            <w:rPr>
              <w:rFonts w:ascii="Cambria Math" w:hAnsi="Cambria Math"/>
            </w:rPr>
            <m:t xml:space="preserve">= </m:t>
          </m:r>
          <m:r>
            <w:rPr>
              <w:rFonts w:ascii="Cambria Math" w:hAnsi="Cambria Math" w:cstheme="minorHAnsi"/>
            </w:rPr>
            <m:t>α+</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m:t>
              </m:r>
            </m:sub>
          </m:sSub>
          <m:r>
            <w:rPr>
              <w:rFonts w:ascii="Cambria Math" w:hAnsi="Cambria Math"/>
            </w:rPr>
            <m:t xml:space="preserve">FiF+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2</m:t>
              </m:r>
            </m:sub>
          </m:sSub>
          <m:r>
            <w:rPr>
              <w:rFonts w:ascii="Cambria Math" w:hAnsi="Cambria Math"/>
            </w:rPr>
            <m:t>EG+</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m:t>
              </m:r>
            </m:sub>
          </m:sSub>
          <m:r>
            <w:rPr>
              <w:rFonts w:ascii="Cambria Math" w:hAnsi="Cambria Math"/>
            </w:rPr>
            <m:t>(FiF</m:t>
          </m:r>
          <m:r>
            <w:rPr>
              <w:rFonts w:ascii="Cambria Math" w:hAnsi="Cambria Math" w:cstheme="minorHAnsi"/>
            </w:rPr>
            <m:t>×</m:t>
          </m:r>
          <m:r>
            <w:rPr>
              <w:rFonts w:ascii="Cambria Math" w:hAnsi="Cambria Math"/>
            </w:rPr>
            <m:t>EG)+</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4</m:t>
              </m:r>
            </m:sub>
          </m:sSub>
          <m:r>
            <w:rPr>
              <w:rFonts w:ascii="Cambria Math" w:hAnsi="Cambria Math"/>
            </w:rPr>
            <m:t>C</m:t>
          </m:r>
        </m:oMath>
      </m:oMathPara>
    </w:p>
    <w:p w14:paraId="4A611B93" w14:textId="6FE54E01" w:rsidR="00A55B71" w:rsidRDefault="00A55B71" w:rsidP="00A55B71">
      <w:r>
        <w:t>For ease of interpretation, model results are expressed as odds ratios (ORs)—</w:t>
      </w:r>
      <w:r w:rsidR="006D4F66">
        <w:t>that is</w:t>
      </w:r>
      <w:r>
        <w:t>, exponentiated coefficients. ORs greater than 1 indicate that a one-unit increase in a given explanatory variable is associated with an increase in the odds of respondents taking the value 1 in the outcome variable, all else being equal. Correspondingly, ORs smaller than 1 indicate that a one-unit increase in a given explanatory variable is associated with a decrease in the odds of respondents taking the value 1 in the outcome variable, all else being equal. Furthermore, we used model results to calculate marginal predictions</w:t>
      </w:r>
      <w:r w:rsidR="006D4F66">
        <w:t>—</w:t>
      </w:r>
      <w:r>
        <w:t>adjusted or predicted probabilities of enrolling in higher education/enrolling in a selective institution</w:t>
      </w:r>
      <w:r w:rsidR="006D4F66">
        <w:t>—</w:t>
      </w:r>
      <w:r>
        <w:t>as well as average marginal effects (AME). Both marginal predictions and effects were calculated while holding covariates at the observed values.</w:t>
      </w:r>
    </w:p>
    <w:p w14:paraId="6EFDDD65" w14:textId="3032EE6A" w:rsidR="00A55B71" w:rsidRDefault="00A55B71" w:rsidP="00A55B71">
      <w:r>
        <w:t>To analyse the relationship between FiF status and field of study</w:t>
      </w:r>
      <w:r w:rsidR="00EC2869">
        <w:t>,</w:t>
      </w:r>
      <w:r>
        <w:t xml:space="preserve"> we fitted three multinomial logistic regression models. These models were in fact a series of logistic regression models exploring how the independent variables are related to the ratio of the probability of studying a specific field and the probability of the baseline category</w:t>
      </w:r>
      <w:r w:rsidR="006D4F66">
        <w:t>—</w:t>
      </w:r>
      <w:r>
        <w:t xml:space="preserve">studying society and culture. The analysis was conducted in a </w:t>
      </w:r>
      <w:r w:rsidR="00C2325E">
        <w:t>manner similar</w:t>
      </w:r>
      <w:r w:rsidR="00EC2869">
        <w:t xml:space="preserve"> to the analysis of </w:t>
      </w:r>
      <w:r w:rsidR="00C2325E">
        <w:t>enrolments;</w:t>
      </w:r>
      <w:r>
        <w:t xml:space="preserve"> that is</w:t>
      </w:r>
      <w:r w:rsidR="00EC2869">
        <w:t>,</w:t>
      </w:r>
      <w:r>
        <w:t xml:space="preserve"> the </w:t>
      </w:r>
      <w:r>
        <w:lastRenderedPageBreak/>
        <w:t>right-hand side of the equations changed in the same way</w:t>
      </w:r>
      <w:r w:rsidR="00EC2869">
        <w:t xml:space="preserve"> as the logistic models discussed above</w:t>
      </w:r>
      <w:r>
        <w:t>. The models had the following forms:</w:t>
      </w:r>
    </w:p>
    <w:p w14:paraId="7819E9B6" w14:textId="4FDDA6BA" w:rsidR="00A55B71" w:rsidRPr="00A55B71" w:rsidRDefault="00B631F1" w:rsidP="00A55B71">
      <m:oMathPara>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F=j</m:t>
                          </m:r>
                        </m:e>
                      </m:d>
                    </m:num>
                    <m:den>
                      <m:r>
                        <w:rPr>
                          <w:rFonts w:ascii="Cambria Math" w:hAnsi="Cambria Math"/>
                        </w:rPr>
                        <m:t>p</m:t>
                      </m:r>
                      <m:d>
                        <m:dPr>
                          <m:ctrlPr>
                            <w:rPr>
                              <w:rFonts w:ascii="Cambria Math" w:hAnsi="Cambria Math"/>
                              <w:i/>
                            </w:rPr>
                          </m:ctrlPr>
                        </m:dPr>
                        <m:e>
                          <m:r>
                            <w:rPr>
                              <w:rFonts w:ascii="Cambria Math" w:hAnsi="Cambria Math"/>
                            </w:rPr>
                            <m:t>F=S&amp;C</m:t>
                          </m:r>
                        </m:e>
                      </m:d>
                    </m:den>
                  </m:f>
                </m:e>
              </m:d>
            </m:e>
          </m:func>
          <m:r>
            <w:rPr>
              <w:rFonts w:ascii="Cambria Math" w:hAnsi="Cambria Math"/>
            </w:rPr>
            <m:t xml:space="preserve">= </m:t>
          </m:r>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1j</m:t>
              </m:r>
            </m:sub>
          </m:sSub>
          <m:r>
            <w:rPr>
              <w:rFonts w:ascii="Cambria Math" w:hAnsi="Cambria Math"/>
            </w:rPr>
            <m:t xml:space="preserve">FiF+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2j</m:t>
              </m:r>
            </m:sub>
          </m:sSub>
          <m:r>
            <w:rPr>
              <w:rFonts w:ascii="Cambria Math" w:hAnsi="Cambria Math"/>
            </w:rPr>
            <m:t>C</m:t>
          </m:r>
        </m:oMath>
      </m:oMathPara>
    </w:p>
    <w:p w14:paraId="0D412CD6" w14:textId="5E845D55" w:rsidR="00A55B71" w:rsidRPr="00A55B71" w:rsidRDefault="00B631F1" w:rsidP="00A55B71">
      <m:oMathPara>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F=j</m:t>
                          </m:r>
                        </m:e>
                      </m:d>
                    </m:num>
                    <m:den>
                      <m:r>
                        <w:rPr>
                          <w:rFonts w:ascii="Cambria Math" w:hAnsi="Cambria Math"/>
                        </w:rPr>
                        <m:t>p</m:t>
                      </m:r>
                      <m:d>
                        <m:dPr>
                          <m:ctrlPr>
                            <w:rPr>
                              <w:rFonts w:ascii="Cambria Math" w:hAnsi="Cambria Math"/>
                              <w:i/>
                            </w:rPr>
                          </m:ctrlPr>
                        </m:dPr>
                        <m:e>
                          <m:r>
                            <w:rPr>
                              <w:rFonts w:ascii="Cambria Math" w:hAnsi="Cambria Math"/>
                            </w:rPr>
                            <m:t>F=S&amp;C</m:t>
                          </m:r>
                        </m:e>
                      </m:d>
                    </m:den>
                  </m:f>
                </m:e>
              </m:d>
            </m:e>
          </m:func>
          <m:r>
            <w:rPr>
              <w:rFonts w:ascii="Cambria Math" w:hAnsi="Cambria Math"/>
            </w:rPr>
            <m:t xml:space="preserve">= </m:t>
          </m:r>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1j</m:t>
              </m:r>
            </m:sub>
          </m:sSub>
          <m:r>
            <w:rPr>
              <w:rFonts w:ascii="Cambria Math" w:hAnsi="Cambria Math"/>
            </w:rPr>
            <m:t xml:space="preserve">FiF+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2j</m:t>
              </m:r>
            </m:sub>
          </m:sSub>
          <m:r>
            <w:rPr>
              <w:rFonts w:ascii="Cambria Math" w:hAnsi="Cambria Math"/>
            </w:rPr>
            <m:t xml:space="preserve">EG+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3j</m:t>
              </m:r>
            </m:sub>
          </m:sSub>
          <m:r>
            <w:rPr>
              <w:rFonts w:ascii="Cambria Math" w:hAnsi="Cambria Math"/>
            </w:rPr>
            <m:t>C</m:t>
          </m:r>
        </m:oMath>
      </m:oMathPara>
    </w:p>
    <w:p w14:paraId="02D6541E" w14:textId="0C0F8B21" w:rsidR="00A55B71" w:rsidRPr="00A55B71" w:rsidRDefault="00B631F1" w:rsidP="00A55B71">
      <m:oMathPara>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f>
                    <m:fPr>
                      <m:ctrlPr>
                        <w:rPr>
                          <w:rFonts w:ascii="Cambria Math" w:hAnsi="Cambria Math"/>
                          <w:i/>
                        </w:rPr>
                      </m:ctrlPr>
                    </m:fPr>
                    <m:num>
                      <m:r>
                        <w:rPr>
                          <w:rFonts w:ascii="Cambria Math" w:hAnsi="Cambria Math"/>
                        </w:rPr>
                        <m:t>p</m:t>
                      </m:r>
                      <m:d>
                        <m:dPr>
                          <m:ctrlPr>
                            <w:rPr>
                              <w:rFonts w:ascii="Cambria Math" w:hAnsi="Cambria Math"/>
                              <w:i/>
                            </w:rPr>
                          </m:ctrlPr>
                        </m:dPr>
                        <m:e>
                          <m:r>
                            <w:rPr>
                              <w:rFonts w:ascii="Cambria Math" w:hAnsi="Cambria Math"/>
                            </w:rPr>
                            <m:t>F=j</m:t>
                          </m:r>
                        </m:e>
                      </m:d>
                    </m:num>
                    <m:den>
                      <m:r>
                        <w:rPr>
                          <w:rFonts w:ascii="Cambria Math" w:hAnsi="Cambria Math"/>
                        </w:rPr>
                        <m:t>p</m:t>
                      </m:r>
                      <m:d>
                        <m:dPr>
                          <m:ctrlPr>
                            <w:rPr>
                              <w:rFonts w:ascii="Cambria Math" w:hAnsi="Cambria Math"/>
                              <w:i/>
                            </w:rPr>
                          </m:ctrlPr>
                        </m:dPr>
                        <m:e>
                          <m:r>
                            <w:rPr>
                              <w:rFonts w:ascii="Cambria Math" w:hAnsi="Cambria Math"/>
                            </w:rPr>
                            <m:t>F=S&amp;C</m:t>
                          </m:r>
                        </m:e>
                      </m:d>
                    </m:den>
                  </m:f>
                </m:e>
              </m:d>
            </m:e>
          </m:func>
          <m:r>
            <w:rPr>
              <w:rFonts w:ascii="Cambria Math" w:hAnsi="Cambria Math"/>
            </w:rPr>
            <m:t xml:space="preserve">= </m:t>
          </m:r>
          <m:sSub>
            <m:sSubPr>
              <m:ctrlPr>
                <w:rPr>
                  <w:rFonts w:ascii="Cambria Math" w:hAnsi="Cambria Math" w:cstheme="minorHAnsi"/>
                  <w:i/>
                </w:rPr>
              </m:ctrlPr>
            </m:sSubPr>
            <m:e>
              <m:r>
                <w:rPr>
                  <w:rFonts w:ascii="Cambria Math" w:hAnsi="Cambria Math" w:cstheme="minorHAnsi"/>
                </w:rPr>
                <m:t>α</m:t>
              </m:r>
            </m:e>
            <m:sub>
              <m:r>
                <w:rPr>
                  <w:rFonts w:ascii="Cambria Math" w:hAnsi="Cambria Math" w:cstheme="minorHAnsi"/>
                </w:rPr>
                <m:t>j</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1j</m:t>
              </m:r>
            </m:sub>
          </m:sSub>
          <m:r>
            <w:rPr>
              <w:rFonts w:ascii="Cambria Math" w:hAnsi="Cambria Math"/>
            </w:rPr>
            <m:t xml:space="preserve">FiF+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2j</m:t>
              </m:r>
            </m:sub>
          </m:sSub>
          <m:r>
            <w:rPr>
              <w:rFonts w:ascii="Cambria Math" w:hAnsi="Cambria Math"/>
            </w:rPr>
            <m:t>EG+</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3j</m:t>
              </m:r>
            </m:sub>
          </m:sSub>
          <m:r>
            <w:rPr>
              <w:rFonts w:ascii="Cambria Math" w:hAnsi="Cambria Math"/>
            </w:rPr>
            <m:t>(FiF</m:t>
          </m:r>
          <m:r>
            <w:rPr>
              <w:rFonts w:ascii="Cambria Math" w:hAnsi="Cambria Math" w:cstheme="minorHAnsi"/>
            </w:rPr>
            <m:t>×</m:t>
          </m:r>
          <m:r>
            <w:rPr>
              <w:rFonts w:ascii="Cambria Math" w:hAnsi="Cambria Math"/>
            </w:rPr>
            <m:t>EG)+</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4j</m:t>
              </m:r>
            </m:sub>
          </m:sSub>
          <m:r>
            <w:rPr>
              <w:rFonts w:ascii="Cambria Math" w:hAnsi="Cambria Math"/>
            </w:rPr>
            <m:t>C</m:t>
          </m:r>
        </m:oMath>
      </m:oMathPara>
    </w:p>
    <w:p w14:paraId="33DCE094" w14:textId="501170CA" w:rsidR="00A55B71" w:rsidRDefault="00A55B71" w:rsidP="00A55B71">
      <w:pPr>
        <w:rPr>
          <w:rFonts w:cstheme="minorHAnsi"/>
        </w:rPr>
      </w:pPr>
      <w:r>
        <w:t xml:space="preserve">Where </w:t>
      </w:r>
      <w:r>
        <w:rPr>
          <w:i/>
          <w:iCs/>
        </w:rPr>
        <w:t>F</w:t>
      </w:r>
      <w:r>
        <w:t xml:space="preserve"> was </w:t>
      </w:r>
      <w:r>
        <w:rPr>
          <w:rFonts w:eastAsiaTheme="minorEastAsia"/>
        </w:rPr>
        <w:t xml:space="preserve">a categorical variable capturing the field of study; </w:t>
      </w:r>
      <w:r w:rsidRPr="00A55B71">
        <w:rPr>
          <w:rFonts w:eastAsiaTheme="minorEastAsia"/>
          <w:i/>
          <w:iCs/>
        </w:rPr>
        <w:t>j</w:t>
      </w:r>
      <w:r>
        <w:rPr>
          <w:rFonts w:eastAsiaTheme="minorEastAsia"/>
        </w:rPr>
        <w:t xml:space="preserve"> represents a specific value of </w:t>
      </w:r>
      <w:r>
        <w:rPr>
          <w:rFonts w:eastAsiaTheme="minorEastAsia"/>
          <w:i/>
          <w:iCs/>
        </w:rPr>
        <w:t>F;</w:t>
      </w:r>
      <w:r>
        <w:rPr>
          <w:rFonts w:eastAsiaTheme="minorEastAsia"/>
        </w:rPr>
        <w:t xml:space="preserve"> </w:t>
      </w:r>
      <w:r w:rsidRPr="00A55B71">
        <w:rPr>
          <w:rFonts w:eastAsiaTheme="minorEastAsia"/>
          <w:i/>
          <w:iCs/>
        </w:rPr>
        <w:t>FiF</w:t>
      </w:r>
      <w:r>
        <w:rPr>
          <w:rFonts w:eastAsiaTheme="minorEastAsia"/>
        </w:rPr>
        <w:t xml:space="preserve"> represented </w:t>
      </w:r>
      <w:r w:rsidR="00E61E05">
        <w:rPr>
          <w:rFonts w:eastAsiaTheme="minorEastAsia"/>
        </w:rPr>
        <w:t>First-in-Family</w:t>
      </w:r>
      <w:r>
        <w:rPr>
          <w:rFonts w:eastAsiaTheme="minorEastAsia"/>
        </w:rPr>
        <w:t xml:space="preserve"> status; </w:t>
      </w:r>
      <w:r>
        <w:rPr>
          <w:rFonts w:cstheme="minorHAnsi"/>
          <w:i/>
        </w:rPr>
        <w:t>EG</w:t>
      </w:r>
      <w:r w:rsidRPr="004B6170">
        <w:rPr>
          <w:rFonts w:cstheme="minorHAnsi"/>
        </w:rPr>
        <w:t xml:space="preserve"> </w:t>
      </w:r>
      <w:r>
        <w:rPr>
          <w:rFonts w:cstheme="minorHAnsi"/>
        </w:rPr>
        <w:t>stands for</w:t>
      </w:r>
      <w:r w:rsidRPr="004B6170">
        <w:rPr>
          <w:rFonts w:cstheme="minorHAnsi"/>
        </w:rPr>
        <w:t xml:space="preserve"> a set of dummy variables capturing membership in </w:t>
      </w:r>
      <w:r>
        <w:rPr>
          <w:rFonts w:cstheme="minorHAnsi"/>
        </w:rPr>
        <w:t>the equity groups</w:t>
      </w:r>
      <w:r>
        <w:rPr>
          <w:rFonts w:cstheme="minorHAnsi"/>
          <w:i/>
          <w:iCs/>
        </w:rPr>
        <w:t xml:space="preserve">; </w:t>
      </w:r>
      <w:r w:rsidRPr="00BD5421">
        <w:rPr>
          <w:rFonts w:cstheme="minorHAnsi"/>
          <w:i/>
          <w:iCs/>
        </w:rPr>
        <w:t>C</w:t>
      </w:r>
      <w:r>
        <w:rPr>
          <w:rFonts w:cstheme="minorHAnsi"/>
          <w:i/>
        </w:rPr>
        <w:t xml:space="preserve"> </w:t>
      </w:r>
      <w:r>
        <w:rPr>
          <w:rFonts w:cstheme="minorHAnsi"/>
          <w:iCs/>
        </w:rPr>
        <w:t>wa</w:t>
      </w:r>
      <w:r w:rsidRPr="00BD5421">
        <w:rPr>
          <w:rFonts w:cstheme="minorHAnsi"/>
          <w:iCs/>
        </w:rPr>
        <w:t>s a set of control variables</w:t>
      </w:r>
      <w:r>
        <w:rPr>
          <w:rFonts w:cstheme="minorHAnsi"/>
          <w:iCs/>
        </w:rPr>
        <w:t>;</w:t>
      </w:r>
      <w:r>
        <w:rPr>
          <w:rFonts w:cstheme="minorHAnsi"/>
          <w:i/>
        </w:rPr>
        <w:t xml:space="preserve"> </w:t>
      </w:r>
      <w:r w:rsidRPr="004B6170">
        <w:rPr>
          <w:rFonts w:cstheme="minorHAnsi"/>
          <w:i/>
        </w:rPr>
        <w:t>α</w:t>
      </w:r>
      <w:r w:rsidRPr="00A55B71">
        <w:rPr>
          <w:rFonts w:cstheme="minorHAnsi"/>
          <w:i/>
          <w:vertAlign w:val="subscript"/>
        </w:rPr>
        <w:t>j</w:t>
      </w:r>
      <w:r w:rsidRPr="004B6170">
        <w:rPr>
          <w:rFonts w:cstheme="minorHAnsi"/>
        </w:rPr>
        <w:t xml:space="preserve"> </w:t>
      </w:r>
      <w:r>
        <w:rPr>
          <w:rFonts w:cstheme="minorHAnsi"/>
        </w:rPr>
        <w:t>wa</w:t>
      </w:r>
      <w:r w:rsidRPr="004B6170">
        <w:rPr>
          <w:rFonts w:cstheme="minorHAnsi"/>
        </w:rPr>
        <w:t xml:space="preserve">s the </w:t>
      </w:r>
      <w:r>
        <w:rPr>
          <w:rFonts w:cstheme="minorHAnsi"/>
        </w:rPr>
        <w:t xml:space="preserve">model’s </w:t>
      </w:r>
      <w:r w:rsidRPr="004B6170">
        <w:rPr>
          <w:rFonts w:cstheme="minorHAnsi"/>
        </w:rPr>
        <w:t>intercept</w:t>
      </w:r>
      <w:r>
        <w:rPr>
          <w:rFonts w:cstheme="minorHAnsi"/>
        </w:rPr>
        <w:t xml:space="preserve"> and </w:t>
      </w:r>
      <w:r w:rsidRPr="004B6170">
        <w:rPr>
          <w:rFonts w:cstheme="minorHAnsi"/>
          <w:i/>
        </w:rPr>
        <w:t>β</w:t>
      </w:r>
      <w:r w:rsidRPr="004B6170">
        <w:rPr>
          <w:rFonts w:cstheme="minorHAnsi"/>
          <w:i/>
          <w:vertAlign w:val="subscript"/>
        </w:rPr>
        <w:t>1</w:t>
      </w:r>
      <w:r>
        <w:rPr>
          <w:rFonts w:cstheme="minorHAnsi"/>
          <w:i/>
          <w:vertAlign w:val="subscript"/>
        </w:rPr>
        <w:t>j</w:t>
      </w:r>
      <w:r w:rsidRPr="004B6170">
        <w:rPr>
          <w:rFonts w:cstheme="minorHAnsi"/>
          <w:i/>
        </w:rPr>
        <w:t xml:space="preserve"> </w:t>
      </w:r>
      <w:r>
        <w:rPr>
          <w:rFonts w:cstheme="minorHAnsi"/>
          <w:i/>
        </w:rPr>
        <w:t>to</w:t>
      </w:r>
      <w:r w:rsidRPr="004B6170">
        <w:rPr>
          <w:rFonts w:cstheme="minorHAnsi"/>
          <w:i/>
        </w:rPr>
        <w:t xml:space="preserve"> β</w:t>
      </w:r>
      <w:r>
        <w:rPr>
          <w:rFonts w:cstheme="minorHAnsi"/>
          <w:i/>
          <w:vertAlign w:val="subscript"/>
        </w:rPr>
        <w:t>4j</w:t>
      </w:r>
      <w:r w:rsidRPr="004B6170">
        <w:rPr>
          <w:rFonts w:cstheme="minorHAnsi"/>
        </w:rPr>
        <w:t xml:space="preserve"> </w:t>
      </w:r>
      <w:r>
        <w:rPr>
          <w:rFonts w:cstheme="minorHAnsi"/>
        </w:rPr>
        <w:t>were</w:t>
      </w:r>
      <w:r w:rsidRPr="004B6170">
        <w:rPr>
          <w:rFonts w:cstheme="minorHAnsi"/>
        </w:rPr>
        <w:t xml:space="preserve"> vectors of coefficients to be estimated</w:t>
      </w:r>
      <w:r>
        <w:rPr>
          <w:rFonts w:cstheme="minorHAnsi"/>
        </w:rPr>
        <w:t xml:space="preserve"> for the specific </w:t>
      </w:r>
      <w:r w:rsidRPr="00A55B71">
        <w:rPr>
          <w:rFonts w:cstheme="minorHAnsi"/>
          <w:i/>
          <w:iCs/>
        </w:rPr>
        <w:t>j</w:t>
      </w:r>
      <w:r>
        <w:rPr>
          <w:rFonts w:cstheme="minorHAnsi"/>
          <w:i/>
          <w:iCs/>
        </w:rPr>
        <w:t>-</w:t>
      </w:r>
      <w:r w:rsidRPr="00A55B71">
        <w:rPr>
          <w:rFonts w:cstheme="minorHAnsi"/>
          <w:i/>
          <w:iCs/>
        </w:rPr>
        <w:t>th</w:t>
      </w:r>
      <w:r>
        <w:rPr>
          <w:rFonts w:cstheme="minorHAnsi"/>
        </w:rPr>
        <w:t xml:space="preserve"> value of </w:t>
      </w:r>
      <w:r w:rsidRPr="00A55B71">
        <w:rPr>
          <w:rFonts w:cstheme="minorHAnsi"/>
          <w:i/>
          <w:iCs/>
        </w:rPr>
        <w:t>F</w:t>
      </w:r>
      <w:r>
        <w:rPr>
          <w:rFonts w:cstheme="minorHAnsi"/>
        </w:rPr>
        <w:t>.</w:t>
      </w:r>
    </w:p>
    <w:p w14:paraId="379926BA" w14:textId="3A8976F6" w:rsidR="004C7FF2" w:rsidRDefault="00A55B71" w:rsidP="00A55B71">
      <w:r w:rsidRPr="00401A2F">
        <w:t xml:space="preserve">Model results </w:t>
      </w:r>
      <w:r>
        <w:t>were</w:t>
      </w:r>
      <w:r w:rsidRPr="00401A2F">
        <w:t xml:space="preserve"> expressed as relative risk ratios</w:t>
      </w:r>
      <w:r>
        <w:t>, which are similar in interpretation to ORs</w:t>
      </w:r>
      <w:r w:rsidRPr="00401A2F">
        <w:t xml:space="preserve">. </w:t>
      </w:r>
      <w:r w:rsidR="00C5156A">
        <w:t xml:space="preserve">A </w:t>
      </w:r>
      <w:r w:rsidR="00C5156A" w:rsidRPr="00401A2F">
        <w:t>relative risk ratio</w:t>
      </w:r>
      <w:r w:rsidRPr="00401A2F">
        <w:t xml:space="preserve"> greater than 1 indicate</w:t>
      </w:r>
      <w:r w:rsidR="00C5156A">
        <w:t>s</w:t>
      </w:r>
      <w:r w:rsidRPr="00401A2F">
        <w:t xml:space="preserve"> that a one-unit increase in a given explanatory variable is associated with increased odds of respondents taking the value </w:t>
      </w:r>
      <w:r w:rsidRPr="00401A2F">
        <w:rPr>
          <w:i/>
          <w:iCs/>
        </w:rPr>
        <w:t>j</w:t>
      </w:r>
      <w:r w:rsidRPr="00401A2F">
        <w:t xml:space="preserve"> in the outcome variable compared to the reference category, all else being equal. Correspondingly, </w:t>
      </w:r>
      <w:r w:rsidR="00C5156A">
        <w:t xml:space="preserve">a </w:t>
      </w:r>
      <w:r w:rsidR="00C5156A" w:rsidRPr="00401A2F">
        <w:t>relative risk ratio</w:t>
      </w:r>
      <w:r w:rsidRPr="00401A2F">
        <w:t xml:space="preserve"> smaller than 1 indicate</w:t>
      </w:r>
      <w:r w:rsidR="00C5156A">
        <w:t>s</w:t>
      </w:r>
      <w:r w:rsidRPr="00401A2F">
        <w:t xml:space="preserve"> that a one-unit increase in a given explanatory variable is associated with a decrease in the odds of respondents taking the value j in the outcome variable compared to the reference category, all else being equal.</w:t>
      </w:r>
      <w:r>
        <w:t xml:space="preserve"> </w:t>
      </w:r>
      <w:r w:rsidR="00320652">
        <w:t>Furthermore, we calculated adjusted probabilities of enrolling in specific fields of study and AME.</w:t>
      </w:r>
    </w:p>
    <w:p w14:paraId="079D74CA" w14:textId="77777777" w:rsidR="004C7FF2" w:rsidRDefault="004C7FF2">
      <w:pPr>
        <w:spacing w:line="259" w:lineRule="auto"/>
      </w:pPr>
      <w:r>
        <w:br w:type="page"/>
      </w:r>
    </w:p>
    <w:p w14:paraId="0E48615D" w14:textId="59FECA89" w:rsidR="00597496" w:rsidRPr="002F3A26" w:rsidRDefault="00925C36" w:rsidP="00500DF0">
      <w:pPr>
        <w:pStyle w:val="Heading7"/>
      </w:pPr>
      <w:bookmarkStart w:id="78" w:name="_Ref191461657"/>
      <w:bookmarkStart w:id="79" w:name="_Ref191461680"/>
      <w:bookmarkStart w:id="80" w:name="_Ref191461978"/>
      <w:r>
        <w:lastRenderedPageBreak/>
        <w:t xml:space="preserve">– </w:t>
      </w:r>
      <w:r w:rsidR="00597496" w:rsidRPr="002F3A26">
        <w:t>Additional tables</w:t>
      </w:r>
      <w:bookmarkEnd w:id="78"/>
      <w:bookmarkEnd w:id="79"/>
      <w:bookmarkEnd w:id="80"/>
    </w:p>
    <w:p w14:paraId="5FFB3FBB" w14:textId="1F27094A" w:rsidR="00015E8C" w:rsidRPr="002F3A26" w:rsidRDefault="00500DF0" w:rsidP="00D23949">
      <w:pPr>
        <w:pStyle w:val="Caption"/>
      </w:pPr>
      <w:bookmarkStart w:id="81" w:name="_Ref191461463"/>
      <w:bookmarkStart w:id="82" w:name="_Ref192860489"/>
      <w:r>
        <w:t xml:space="preserve">Table </w:t>
      </w:r>
      <w:fldSimple w:instr=" STYLEREF 7 \s ">
        <w:r w:rsidR="00627572">
          <w:rPr>
            <w:noProof/>
          </w:rPr>
          <w:t>B</w:t>
        </w:r>
      </w:fldSimple>
      <w:r>
        <w:noBreakHyphen/>
      </w:r>
      <w:fldSimple w:instr=" SEQ Table_ap \* ARABIC \s 7 ">
        <w:r w:rsidR="00627572">
          <w:rPr>
            <w:noProof/>
          </w:rPr>
          <w:t>1</w:t>
        </w:r>
      </w:fldSimple>
      <w:bookmarkEnd w:id="81"/>
      <w:r w:rsidR="006D4F66">
        <w:rPr>
          <w:noProof/>
        </w:rPr>
        <w:t>:</w:t>
      </w:r>
      <w:r>
        <w:t xml:space="preserve"> Descriptive statistics of all variables included in the analyses</w:t>
      </w:r>
      <w:bookmarkEnd w:id="82"/>
    </w:p>
    <w:tbl>
      <w:tblPr>
        <w:tblStyle w:val="TableGrid"/>
        <w:tblW w:w="0" w:type="auto"/>
        <w:tblCellMar>
          <w:top w:w="28" w:type="dxa"/>
          <w:left w:w="28" w:type="dxa"/>
          <w:bottom w:w="28" w:type="dxa"/>
          <w:right w:w="28" w:type="dxa"/>
        </w:tblCellMar>
        <w:tblLook w:val="04A0" w:firstRow="1" w:lastRow="0" w:firstColumn="1" w:lastColumn="0" w:noHBand="0" w:noVBand="1"/>
      </w:tblPr>
      <w:tblGrid>
        <w:gridCol w:w="6908"/>
        <w:gridCol w:w="2065"/>
      </w:tblGrid>
      <w:tr w:rsidR="005A3D7D" w:rsidRPr="002F3A26" w14:paraId="2CD59346" w14:textId="77777777" w:rsidTr="00D17B28">
        <w:trPr>
          <w:trHeight w:val="20"/>
        </w:trPr>
        <w:tc>
          <w:tcPr>
            <w:tcW w:w="6908" w:type="dxa"/>
            <w:shd w:val="clear" w:color="auto" w:fill="78DED9" w:themeFill="accent1"/>
          </w:tcPr>
          <w:p w14:paraId="0721E01C" w14:textId="77777777" w:rsidR="00CC41E7" w:rsidRPr="002F3A26" w:rsidRDefault="00CC41E7" w:rsidP="00CC41E7">
            <w:pPr>
              <w:pStyle w:val="TOCHeading"/>
            </w:pPr>
          </w:p>
        </w:tc>
        <w:tc>
          <w:tcPr>
            <w:tcW w:w="2065" w:type="dxa"/>
            <w:shd w:val="clear" w:color="auto" w:fill="78DED9" w:themeFill="accent1"/>
            <w:vAlign w:val="bottom"/>
          </w:tcPr>
          <w:p w14:paraId="399F3C35" w14:textId="77777777" w:rsidR="00CC41E7" w:rsidRPr="002F3A26" w:rsidRDefault="00CC41E7" w:rsidP="00CC41E7">
            <w:pPr>
              <w:pStyle w:val="TOCHeading"/>
              <w:ind w:right="397"/>
              <w:jc w:val="right"/>
            </w:pPr>
            <w:r w:rsidRPr="002F3A26">
              <w:t>Summary</w:t>
            </w:r>
          </w:p>
        </w:tc>
      </w:tr>
      <w:tr w:rsidR="00CC41E7" w:rsidRPr="002F3A26" w14:paraId="14F7F4BB" w14:textId="77777777" w:rsidTr="00D17B28">
        <w:trPr>
          <w:trHeight w:val="20"/>
        </w:trPr>
        <w:tc>
          <w:tcPr>
            <w:tcW w:w="6908" w:type="dxa"/>
            <w:vAlign w:val="bottom"/>
          </w:tcPr>
          <w:p w14:paraId="187FABFD" w14:textId="77777777" w:rsidR="00CC41E7" w:rsidRPr="002F3A26" w:rsidRDefault="00CC41E7" w:rsidP="00CC41E7">
            <w:pPr>
              <w:pStyle w:val="TableParagraph"/>
            </w:pPr>
            <w:r w:rsidRPr="002F3A26">
              <w:t>N</w:t>
            </w:r>
          </w:p>
        </w:tc>
        <w:tc>
          <w:tcPr>
            <w:tcW w:w="2065" w:type="dxa"/>
            <w:vAlign w:val="bottom"/>
          </w:tcPr>
          <w:p w14:paraId="74F5CE4A" w14:textId="77777777" w:rsidR="00CC41E7" w:rsidRPr="002F3A26" w:rsidRDefault="00CC41E7" w:rsidP="00CC41E7">
            <w:pPr>
              <w:pStyle w:val="TableParagraph"/>
              <w:ind w:right="397"/>
              <w:jc w:val="right"/>
            </w:pPr>
            <w:r w:rsidRPr="002F3A26">
              <w:t>443,609</w:t>
            </w:r>
          </w:p>
        </w:tc>
      </w:tr>
      <w:tr w:rsidR="00CC41E7" w:rsidRPr="002F3A26" w14:paraId="200E6B9B" w14:textId="77777777" w:rsidTr="00D17B28">
        <w:trPr>
          <w:trHeight w:val="20"/>
        </w:trPr>
        <w:tc>
          <w:tcPr>
            <w:tcW w:w="6908" w:type="dxa"/>
            <w:vAlign w:val="bottom"/>
          </w:tcPr>
          <w:p w14:paraId="0774698D" w14:textId="04B48501" w:rsidR="00CC41E7" w:rsidRPr="002F3A26" w:rsidRDefault="00CC41E7" w:rsidP="00CC41E7">
            <w:pPr>
              <w:pStyle w:val="TableParagraph"/>
            </w:pPr>
            <w:r w:rsidRPr="002F3A26">
              <w:t xml:space="preserve">Enrolled in a </w:t>
            </w:r>
            <w:r w:rsidR="00FA2653" w:rsidRPr="002F3A26">
              <w:t xml:space="preserve">bachelor’s level </w:t>
            </w:r>
            <w:r w:rsidRPr="002F3A26">
              <w:t>programme</w:t>
            </w:r>
          </w:p>
        </w:tc>
        <w:tc>
          <w:tcPr>
            <w:tcW w:w="2065" w:type="dxa"/>
          </w:tcPr>
          <w:p w14:paraId="180201DE" w14:textId="77777777" w:rsidR="00CC41E7" w:rsidRPr="002F3A26" w:rsidRDefault="00CC41E7" w:rsidP="00CC41E7">
            <w:pPr>
              <w:pStyle w:val="TableParagraph"/>
              <w:ind w:right="397"/>
              <w:jc w:val="right"/>
            </w:pPr>
          </w:p>
        </w:tc>
      </w:tr>
      <w:tr w:rsidR="00CC41E7" w:rsidRPr="002F3A26" w14:paraId="2FC3E20E" w14:textId="77777777" w:rsidTr="00D17B28">
        <w:trPr>
          <w:trHeight w:val="20"/>
        </w:trPr>
        <w:tc>
          <w:tcPr>
            <w:tcW w:w="6908" w:type="dxa"/>
            <w:vAlign w:val="bottom"/>
          </w:tcPr>
          <w:p w14:paraId="6442D77F" w14:textId="77777777" w:rsidR="00CC41E7" w:rsidRPr="002F3A26" w:rsidRDefault="00CC41E7" w:rsidP="00CC41E7">
            <w:pPr>
              <w:pStyle w:val="TableParagraph"/>
            </w:pPr>
            <w:r w:rsidRPr="002F3A26">
              <w:t xml:space="preserve">  0</w:t>
            </w:r>
          </w:p>
        </w:tc>
        <w:tc>
          <w:tcPr>
            <w:tcW w:w="2065" w:type="dxa"/>
            <w:vAlign w:val="bottom"/>
          </w:tcPr>
          <w:p w14:paraId="73521A32" w14:textId="77777777" w:rsidR="00CC41E7" w:rsidRPr="002F3A26" w:rsidRDefault="00CC41E7" w:rsidP="00CC41E7">
            <w:pPr>
              <w:pStyle w:val="TableParagraph"/>
              <w:ind w:right="397"/>
              <w:jc w:val="right"/>
            </w:pPr>
            <w:r w:rsidRPr="002F3A26">
              <w:t>56.5%</w:t>
            </w:r>
          </w:p>
        </w:tc>
      </w:tr>
      <w:tr w:rsidR="00CC41E7" w:rsidRPr="002F3A26" w14:paraId="685486B5" w14:textId="77777777" w:rsidTr="00D17B28">
        <w:trPr>
          <w:trHeight w:val="20"/>
        </w:trPr>
        <w:tc>
          <w:tcPr>
            <w:tcW w:w="6908" w:type="dxa"/>
            <w:vAlign w:val="bottom"/>
          </w:tcPr>
          <w:p w14:paraId="08C41086" w14:textId="77777777" w:rsidR="00CC41E7" w:rsidRPr="002F3A26" w:rsidRDefault="00CC41E7" w:rsidP="00CC41E7">
            <w:pPr>
              <w:pStyle w:val="TableParagraph"/>
            </w:pPr>
            <w:r w:rsidRPr="002F3A26">
              <w:t xml:space="preserve">  1</w:t>
            </w:r>
          </w:p>
        </w:tc>
        <w:tc>
          <w:tcPr>
            <w:tcW w:w="2065" w:type="dxa"/>
            <w:vAlign w:val="bottom"/>
          </w:tcPr>
          <w:p w14:paraId="64BAAB8F" w14:textId="77777777" w:rsidR="00CC41E7" w:rsidRPr="002F3A26" w:rsidRDefault="00CC41E7" w:rsidP="00CC41E7">
            <w:pPr>
              <w:pStyle w:val="TableParagraph"/>
              <w:ind w:right="397"/>
              <w:jc w:val="right"/>
            </w:pPr>
            <w:r w:rsidRPr="002F3A26">
              <w:t>43.5%</w:t>
            </w:r>
          </w:p>
        </w:tc>
      </w:tr>
      <w:tr w:rsidR="00CC41E7" w:rsidRPr="002F3A26" w14:paraId="7D9C83EC" w14:textId="77777777" w:rsidTr="00D17B28">
        <w:trPr>
          <w:trHeight w:val="20"/>
        </w:trPr>
        <w:tc>
          <w:tcPr>
            <w:tcW w:w="6908" w:type="dxa"/>
            <w:vAlign w:val="bottom"/>
          </w:tcPr>
          <w:p w14:paraId="0DC0ADF7" w14:textId="3CAE134A" w:rsidR="00CC41E7" w:rsidRPr="002F3A26" w:rsidRDefault="00CC41E7" w:rsidP="00CC41E7">
            <w:pPr>
              <w:pStyle w:val="TableParagraph"/>
            </w:pPr>
            <w:r w:rsidRPr="002F3A26">
              <w:t xml:space="preserve">Enrolled in a </w:t>
            </w:r>
            <w:r w:rsidR="00FA2653" w:rsidRPr="002F3A26">
              <w:t xml:space="preserve">bachelor’s level </w:t>
            </w:r>
            <w:r w:rsidRPr="002F3A26">
              <w:t>programme at selective HEI</w:t>
            </w:r>
          </w:p>
        </w:tc>
        <w:tc>
          <w:tcPr>
            <w:tcW w:w="2065" w:type="dxa"/>
          </w:tcPr>
          <w:p w14:paraId="33DE98E6" w14:textId="77777777" w:rsidR="00CC41E7" w:rsidRPr="002F3A26" w:rsidRDefault="00CC41E7" w:rsidP="00CC41E7">
            <w:pPr>
              <w:pStyle w:val="TableParagraph"/>
              <w:ind w:right="397"/>
              <w:jc w:val="right"/>
            </w:pPr>
          </w:p>
        </w:tc>
      </w:tr>
      <w:tr w:rsidR="00CC41E7" w:rsidRPr="002F3A26" w14:paraId="1F11D3B8" w14:textId="77777777" w:rsidTr="00D17B28">
        <w:trPr>
          <w:trHeight w:val="20"/>
        </w:trPr>
        <w:tc>
          <w:tcPr>
            <w:tcW w:w="6908" w:type="dxa"/>
            <w:vAlign w:val="bottom"/>
          </w:tcPr>
          <w:p w14:paraId="787DE2CD" w14:textId="77777777" w:rsidR="00CC41E7" w:rsidRPr="002F3A26" w:rsidRDefault="00CC41E7" w:rsidP="00CC41E7">
            <w:pPr>
              <w:pStyle w:val="TableParagraph"/>
            </w:pPr>
            <w:r w:rsidRPr="002F3A26">
              <w:t xml:space="preserve">  0</w:t>
            </w:r>
          </w:p>
        </w:tc>
        <w:tc>
          <w:tcPr>
            <w:tcW w:w="2065" w:type="dxa"/>
            <w:vAlign w:val="bottom"/>
          </w:tcPr>
          <w:p w14:paraId="1072CC3C" w14:textId="77777777" w:rsidR="00CC41E7" w:rsidRPr="002F3A26" w:rsidRDefault="00CC41E7" w:rsidP="00CC41E7">
            <w:pPr>
              <w:pStyle w:val="TableParagraph"/>
              <w:ind w:right="397"/>
              <w:jc w:val="right"/>
            </w:pPr>
            <w:r w:rsidRPr="002F3A26">
              <w:t>53.6%</w:t>
            </w:r>
          </w:p>
        </w:tc>
      </w:tr>
      <w:tr w:rsidR="00CC41E7" w:rsidRPr="002F3A26" w14:paraId="6E39DF67" w14:textId="77777777" w:rsidTr="00D17B28">
        <w:trPr>
          <w:trHeight w:val="20"/>
        </w:trPr>
        <w:tc>
          <w:tcPr>
            <w:tcW w:w="6908" w:type="dxa"/>
            <w:vAlign w:val="bottom"/>
          </w:tcPr>
          <w:p w14:paraId="09F3FCFC" w14:textId="77777777" w:rsidR="00CC41E7" w:rsidRPr="002F3A26" w:rsidRDefault="00CC41E7" w:rsidP="00CC41E7">
            <w:pPr>
              <w:pStyle w:val="TableParagraph"/>
            </w:pPr>
            <w:r w:rsidRPr="002F3A26">
              <w:t xml:space="preserve">  1</w:t>
            </w:r>
          </w:p>
        </w:tc>
        <w:tc>
          <w:tcPr>
            <w:tcW w:w="2065" w:type="dxa"/>
            <w:vAlign w:val="bottom"/>
          </w:tcPr>
          <w:p w14:paraId="703CF96E" w14:textId="77777777" w:rsidR="00CC41E7" w:rsidRPr="002F3A26" w:rsidRDefault="00CC41E7" w:rsidP="00CC41E7">
            <w:pPr>
              <w:pStyle w:val="TableParagraph"/>
              <w:ind w:right="397"/>
              <w:jc w:val="right"/>
            </w:pPr>
            <w:r w:rsidRPr="002F3A26">
              <w:t>46.4%</w:t>
            </w:r>
          </w:p>
        </w:tc>
      </w:tr>
      <w:tr w:rsidR="00CC41E7" w:rsidRPr="002F3A26" w14:paraId="71B2613C" w14:textId="77777777" w:rsidTr="00D17B28">
        <w:trPr>
          <w:trHeight w:val="20"/>
        </w:trPr>
        <w:tc>
          <w:tcPr>
            <w:tcW w:w="6908" w:type="dxa"/>
            <w:vAlign w:val="bottom"/>
          </w:tcPr>
          <w:p w14:paraId="3D3C6895" w14:textId="77777777" w:rsidR="00CC41E7" w:rsidRPr="002F3A26" w:rsidRDefault="00CC41E7" w:rsidP="00CC41E7">
            <w:pPr>
              <w:pStyle w:val="TableParagraph"/>
            </w:pPr>
            <w:r w:rsidRPr="002F3A26">
              <w:t>Field of study</w:t>
            </w:r>
          </w:p>
        </w:tc>
        <w:tc>
          <w:tcPr>
            <w:tcW w:w="2065" w:type="dxa"/>
          </w:tcPr>
          <w:p w14:paraId="5184E0D6" w14:textId="77777777" w:rsidR="00CC41E7" w:rsidRPr="002F3A26" w:rsidRDefault="00CC41E7" w:rsidP="00CC41E7">
            <w:pPr>
              <w:pStyle w:val="TableParagraph"/>
              <w:ind w:right="397"/>
              <w:jc w:val="right"/>
            </w:pPr>
          </w:p>
        </w:tc>
      </w:tr>
      <w:tr w:rsidR="00CC41E7" w:rsidRPr="002F3A26" w14:paraId="5AAD87FB" w14:textId="77777777" w:rsidTr="00D17B28">
        <w:trPr>
          <w:trHeight w:val="20"/>
        </w:trPr>
        <w:tc>
          <w:tcPr>
            <w:tcW w:w="6908" w:type="dxa"/>
            <w:vAlign w:val="bottom"/>
          </w:tcPr>
          <w:p w14:paraId="63491F6C" w14:textId="77777777" w:rsidR="00CC41E7" w:rsidRPr="002F3A26" w:rsidRDefault="00CC41E7" w:rsidP="00CC41E7">
            <w:pPr>
              <w:pStyle w:val="TableParagraph"/>
            </w:pPr>
            <w:r w:rsidRPr="002F3A26">
              <w:t xml:space="preserve">  Natural and Physical Sciences</w:t>
            </w:r>
          </w:p>
        </w:tc>
        <w:tc>
          <w:tcPr>
            <w:tcW w:w="2065" w:type="dxa"/>
            <w:vAlign w:val="bottom"/>
          </w:tcPr>
          <w:p w14:paraId="07477058" w14:textId="77777777" w:rsidR="00CC41E7" w:rsidRPr="002F3A26" w:rsidRDefault="00CC41E7" w:rsidP="00CC41E7">
            <w:pPr>
              <w:pStyle w:val="TableParagraph"/>
              <w:ind w:right="397"/>
              <w:jc w:val="right"/>
            </w:pPr>
            <w:r w:rsidRPr="002F3A26">
              <w:t>14.1%</w:t>
            </w:r>
          </w:p>
        </w:tc>
      </w:tr>
      <w:tr w:rsidR="00CC41E7" w:rsidRPr="002F3A26" w14:paraId="1D1C3DCE" w14:textId="77777777" w:rsidTr="00D17B28">
        <w:trPr>
          <w:trHeight w:val="20"/>
        </w:trPr>
        <w:tc>
          <w:tcPr>
            <w:tcW w:w="6908" w:type="dxa"/>
            <w:vAlign w:val="bottom"/>
          </w:tcPr>
          <w:p w14:paraId="4E4681DF" w14:textId="77777777" w:rsidR="00CC41E7" w:rsidRPr="002F3A26" w:rsidRDefault="00CC41E7" w:rsidP="00CC41E7">
            <w:pPr>
              <w:pStyle w:val="TableParagraph"/>
            </w:pPr>
            <w:r w:rsidRPr="002F3A26">
              <w:t xml:space="preserve">  Information Technology</w:t>
            </w:r>
          </w:p>
        </w:tc>
        <w:tc>
          <w:tcPr>
            <w:tcW w:w="2065" w:type="dxa"/>
            <w:vAlign w:val="bottom"/>
          </w:tcPr>
          <w:p w14:paraId="01F1321D" w14:textId="77777777" w:rsidR="00CC41E7" w:rsidRPr="002F3A26" w:rsidRDefault="00CC41E7" w:rsidP="00CC41E7">
            <w:pPr>
              <w:pStyle w:val="TableParagraph"/>
              <w:ind w:right="397"/>
              <w:jc w:val="right"/>
            </w:pPr>
            <w:r w:rsidRPr="002F3A26">
              <w:t>3.6%</w:t>
            </w:r>
          </w:p>
        </w:tc>
      </w:tr>
      <w:tr w:rsidR="00CC41E7" w:rsidRPr="002F3A26" w14:paraId="74D8AF0A" w14:textId="77777777" w:rsidTr="00D17B28">
        <w:trPr>
          <w:trHeight w:val="20"/>
        </w:trPr>
        <w:tc>
          <w:tcPr>
            <w:tcW w:w="6908" w:type="dxa"/>
            <w:vAlign w:val="bottom"/>
          </w:tcPr>
          <w:p w14:paraId="5F7BD550" w14:textId="77777777" w:rsidR="00CC41E7" w:rsidRPr="002F3A26" w:rsidRDefault="00CC41E7" w:rsidP="00CC41E7">
            <w:pPr>
              <w:pStyle w:val="TableParagraph"/>
            </w:pPr>
            <w:r w:rsidRPr="002F3A26">
              <w:t xml:space="preserve">  Engineering and Related Technologies</w:t>
            </w:r>
          </w:p>
        </w:tc>
        <w:tc>
          <w:tcPr>
            <w:tcW w:w="2065" w:type="dxa"/>
            <w:vAlign w:val="bottom"/>
          </w:tcPr>
          <w:p w14:paraId="2CB347DD" w14:textId="77777777" w:rsidR="00CC41E7" w:rsidRPr="002F3A26" w:rsidRDefault="00CC41E7" w:rsidP="00CC41E7">
            <w:pPr>
              <w:pStyle w:val="TableParagraph"/>
              <w:ind w:right="397"/>
              <w:jc w:val="right"/>
            </w:pPr>
            <w:r w:rsidRPr="002F3A26">
              <w:t>7.0%</w:t>
            </w:r>
          </w:p>
        </w:tc>
      </w:tr>
      <w:tr w:rsidR="00CC41E7" w:rsidRPr="002F3A26" w14:paraId="565614E2" w14:textId="77777777" w:rsidTr="00D17B28">
        <w:trPr>
          <w:trHeight w:val="20"/>
        </w:trPr>
        <w:tc>
          <w:tcPr>
            <w:tcW w:w="6908" w:type="dxa"/>
            <w:vAlign w:val="bottom"/>
          </w:tcPr>
          <w:p w14:paraId="37C016F5" w14:textId="77777777" w:rsidR="00CC41E7" w:rsidRPr="002F3A26" w:rsidRDefault="00CC41E7" w:rsidP="00CC41E7">
            <w:pPr>
              <w:pStyle w:val="TableParagraph"/>
            </w:pPr>
            <w:r w:rsidRPr="002F3A26">
              <w:t xml:space="preserve">  Architecture and Building</w:t>
            </w:r>
          </w:p>
        </w:tc>
        <w:tc>
          <w:tcPr>
            <w:tcW w:w="2065" w:type="dxa"/>
            <w:vAlign w:val="bottom"/>
          </w:tcPr>
          <w:p w14:paraId="5F3D864D" w14:textId="77777777" w:rsidR="00CC41E7" w:rsidRPr="002F3A26" w:rsidRDefault="00CC41E7" w:rsidP="00CC41E7">
            <w:pPr>
              <w:pStyle w:val="TableParagraph"/>
              <w:ind w:right="397"/>
              <w:jc w:val="right"/>
            </w:pPr>
            <w:r w:rsidRPr="002F3A26">
              <w:t>3.0%</w:t>
            </w:r>
          </w:p>
        </w:tc>
      </w:tr>
      <w:tr w:rsidR="00CC41E7" w:rsidRPr="002F3A26" w14:paraId="396EECFA" w14:textId="77777777" w:rsidTr="00D17B28">
        <w:trPr>
          <w:trHeight w:val="20"/>
        </w:trPr>
        <w:tc>
          <w:tcPr>
            <w:tcW w:w="6908" w:type="dxa"/>
            <w:vAlign w:val="bottom"/>
          </w:tcPr>
          <w:p w14:paraId="3F6C04EF" w14:textId="77777777" w:rsidR="00CC41E7" w:rsidRPr="002F3A26" w:rsidRDefault="00CC41E7" w:rsidP="00CC41E7">
            <w:pPr>
              <w:pStyle w:val="TableParagraph"/>
            </w:pPr>
            <w:r w:rsidRPr="002F3A26">
              <w:t xml:space="preserve">  Agriculture Environmental and Related Studies</w:t>
            </w:r>
          </w:p>
        </w:tc>
        <w:tc>
          <w:tcPr>
            <w:tcW w:w="2065" w:type="dxa"/>
            <w:vAlign w:val="bottom"/>
          </w:tcPr>
          <w:p w14:paraId="2E060EB4" w14:textId="77777777" w:rsidR="00CC41E7" w:rsidRPr="002F3A26" w:rsidRDefault="00CC41E7" w:rsidP="00CC41E7">
            <w:pPr>
              <w:pStyle w:val="TableParagraph"/>
              <w:ind w:right="397"/>
              <w:jc w:val="right"/>
            </w:pPr>
            <w:r w:rsidRPr="002F3A26">
              <w:t>0.9%</w:t>
            </w:r>
          </w:p>
        </w:tc>
      </w:tr>
      <w:tr w:rsidR="00CC41E7" w:rsidRPr="002F3A26" w14:paraId="40168BF7" w14:textId="77777777" w:rsidTr="00D17B28">
        <w:trPr>
          <w:trHeight w:val="20"/>
        </w:trPr>
        <w:tc>
          <w:tcPr>
            <w:tcW w:w="6908" w:type="dxa"/>
            <w:vAlign w:val="bottom"/>
          </w:tcPr>
          <w:p w14:paraId="6F8607A3" w14:textId="77777777" w:rsidR="00CC41E7" w:rsidRPr="002F3A26" w:rsidRDefault="00CC41E7" w:rsidP="00CC41E7">
            <w:pPr>
              <w:pStyle w:val="TableParagraph"/>
            </w:pPr>
            <w:r w:rsidRPr="002F3A26">
              <w:t xml:space="preserve">  Other Health</w:t>
            </w:r>
          </w:p>
        </w:tc>
        <w:tc>
          <w:tcPr>
            <w:tcW w:w="2065" w:type="dxa"/>
            <w:vAlign w:val="bottom"/>
          </w:tcPr>
          <w:p w14:paraId="03DFE9BC" w14:textId="77777777" w:rsidR="00CC41E7" w:rsidRPr="002F3A26" w:rsidRDefault="00CC41E7" w:rsidP="00CC41E7">
            <w:pPr>
              <w:pStyle w:val="TableParagraph"/>
              <w:ind w:right="397"/>
              <w:jc w:val="right"/>
            </w:pPr>
            <w:r w:rsidRPr="002F3A26">
              <w:t>17.2%</w:t>
            </w:r>
          </w:p>
        </w:tc>
      </w:tr>
      <w:tr w:rsidR="00CC41E7" w:rsidRPr="002F3A26" w14:paraId="222896EF" w14:textId="77777777" w:rsidTr="00D17B28">
        <w:trPr>
          <w:trHeight w:val="20"/>
        </w:trPr>
        <w:tc>
          <w:tcPr>
            <w:tcW w:w="6908" w:type="dxa"/>
            <w:vAlign w:val="bottom"/>
          </w:tcPr>
          <w:p w14:paraId="3C046530" w14:textId="77777777" w:rsidR="00CC41E7" w:rsidRPr="002F3A26" w:rsidRDefault="00CC41E7" w:rsidP="00CC41E7">
            <w:pPr>
              <w:pStyle w:val="TableParagraph"/>
            </w:pPr>
            <w:r w:rsidRPr="002F3A26">
              <w:t xml:space="preserve">  Education</w:t>
            </w:r>
          </w:p>
        </w:tc>
        <w:tc>
          <w:tcPr>
            <w:tcW w:w="2065" w:type="dxa"/>
            <w:vAlign w:val="bottom"/>
          </w:tcPr>
          <w:p w14:paraId="0FAAAFD7" w14:textId="77777777" w:rsidR="00CC41E7" w:rsidRPr="002F3A26" w:rsidRDefault="00CC41E7" w:rsidP="00CC41E7">
            <w:pPr>
              <w:pStyle w:val="TableParagraph"/>
              <w:ind w:right="397"/>
              <w:jc w:val="right"/>
            </w:pPr>
            <w:r w:rsidRPr="002F3A26">
              <w:t>6.5%</w:t>
            </w:r>
          </w:p>
        </w:tc>
      </w:tr>
      <w:tr w:rsidR="00CC41E7" w:rsidRPr="002F3A26" w14:paraId="248CEE69" w14:textId="77777777" w:rsidTr="00D17B28">
        <w:trPr>
          <w:trHeight w:val="20"/>
        </w:trPr>
        <w:tc>
          <w:tcPr>
            <w:tcW w:w="6908" w:type="dxa"/>
            <w:vAlign w:val="bottom"/>
          </w:tcPr>
          <w:p w14:paraId="0A3321C6" w14:textId="77777777" w:rsidR="00CC41E7" w:rsidRPr="002F3A26" w:rsidRDefault="00CC41E7" w:rsidP="00CC41E7">
            <w:pPr>
              <w:pStyle w:val="TableParagraph"/>
            </w:pPr>
            <w:r w:rsidRPr="002F3A26">
              <w:t xml:space="preserve">  Management and Commerce</w:t>
            </w:r>
          </w:p>
        </w:tc>
        <w:tc>
          <w:tcPr>
            <w:tcW w:w="2065" w:type="dxa"/>
            <w:vAlign w:val="bottom"/>
          </w:tcPr>
          <w:p w14:paraId="66A35F53" w14:textId="77777777" w:rsidR="00CC41E7" w:rsidRPr="002F3A26" w:rsidRDefault="00CC41E7" w:rsidP="00CC41E7">
            <w:pPr>
              <w:pStyle w:val="TableParagraph"/>
              <w:ind w:right="397"/>
              <w:jc w:val="right"/>
            </w:pPr>
            <w:r w:rsidRPr="002F3A26">
              <w:t>15.8%</w:t>
            </w:r>
          </w:p>
        </w:tc>
      </w:tr>
      <w:tr w:rsidR="00CC41E7" w:rsidRPr="002F3A26" w14:paraId="296166FF" w14:textId="77777777" w:rsidTr="00D17B28">
        <w:trPr>
          <w:trHeight w:val="20"/>
        </w:trPr>
        <w:tc>
          <w:tcPr>
            <w:tcW w:w="6908" w:type="dxa"/>
            <w:vAlign w:val="bottom"/>
          </w:tcPr>
          <w:p w14:paraId="4DA30444" w14:textId="77777777" w:rsidR="00CC41E7" w:rsidRPr="002F3A26" w:rsidRDefault="00CC41E7" w:rsidP="00CC41E7">
            <w:pPr>
              <w:pStyle w:val="TableParagraph"/>
            </w:pPr>
            <w:r w:rsidRPr="002F3A26">
              <w:t xml:space="preserve">  Society and Culture</w:t>
            </w:r>
          </w:p>
        </w:tc>
        <w:tc>
          <w:tcPr>
            <w:tcW w:w="2065" w:type="dxa"/>
            <w:vAlign w:val="bottom"/>
          </w:tcPr>
          <w:p w14:paraId="01E7818B" w14:textId="77777777" w:rsidR="00CC41E7" w:rsidRPr="002F3A26" w:rsidRDefault="00CC41E7" w:rsidP="00CC41E7">
            <w:pPr>
              <w:pStyle w:val="TableParagraph"/>
              <w:ind w:right="397"/>
              <w:jc w:val="right"/>
            </w:pPr>
            <w:r w:rsidRPr="002F3A26">
              <w:t>19.9%</w:t>
            </w:r>
          </w:p>
        </w:tc>
      </w:tr>
      <w:tr w:rsidR="00CC41E7" w:rsidRPr="002F3A26" w14:paraId="7DB0AA3B" w14:textId="77777777" w:rsidTr="00D17B28">
        <w:trPr>
          <w:trHeight w:val="20"/>
        </w:trPr>
        <w:tc>
          <w:tcPr>
            <w:tcW w:w="6908" w:type="dxa"/>
            <w:vAlign w:val="bottom"/>
          </w:tcPr>
          <w:p w14:paraId="18B912A4" w14:textId="77777777" w:rsidR="00CC41E7" w:rsidRPr="002F3A26" w:rsidRDefault="00CC41E7" w:rsidP="00CC41E7">
            <w:pPr>
              <w:pStyle w:val="TableParagraph"/>
            </w:pPr>
            <w:r w:rsidRPr="002F3A26">
              <w:t xml:space="preserve">  Creative Arts</w:t>
            </w:r>
          </w:p>
        </w:tc>
        <w:tc>
          <w:tcPr>
            <w:tcW w:w="2065" w:type="dxa"/>
            <w:vAlign w:val="bottom"/>
          </w:tcPr>
          <w:p w14:paraId="0F0CEB6F" w14:textId="77777777" w:rsidR="00CC41E7" w:rsidRPr="002F3A26" w:rsidRDefault="00CC41E7" w:rsidP="00CC41E7">
            <w:pPr>
              <w:pStyle w:val="TableParagraph"/>
              <w:ind w:right="397"/>
              <w:jc w:val="right"/>
            </w:pPr>
            <w:r w:rsidRPr="002F3A26">
              <w:t>9.2%</w:t>
            </w:r>
          </w:p>
        </w:tc>
      </w:tr>
      <w:tr w:rsidR="00CC41E7" w:rsidRPr="002F3A26" w14:paraId="27D29EF6" w14:textId="77777777" w:rsidTr="00D17B28">
        <w:trPr>
          <w:trHeight w:val="20"/>
        </w:trPr>
        <w:tc>
          <w:tcPr>
            <w:tcW w:w="6908" w:type="dxa"/>
            <w:vAlign w:val="bottom"/>
          </w:tcPr>
          <w:p w14:paraId="7D7FA060" w14:textId="77777777" w:rsidR="00CC41E7" w:rsidRPr="002F3A26" w:rsidRDefault="00CC41E7" w:rsidP="00CC41E7">
            <w:pPr>
              <w:pStyle w:val="TableParagraph"/>
            </w:pPr>
            <w:r w:rsidRPr="002F3A26">
              <w:t xml:space="preserve">  Medical Studies</w:t>
            </w:r>
          </w:p>
        </w:tc>
        <w:tc>
          <w:tcPr>
            <w:tcW w:w="2065" w:type="dxa"/>
            <w:vAlign w:val="bottom"/>
          </w:tcPr>
          <w:p w14:paraId="24388853" w14:textId="77777777" w:rsidR="00CC41E7" w:rsidRPr="002F3A26" w:rsidRDefault="00CC41E7" w:rsidP="00CC41E7">
            <w:pPr>
              <w:pStyle w:val="TableParagraph"/>
              <w:ind w:right="397"/>
              <w:jc w:val="right"/>
            </w:pPr>
            <w:r w:rsidRPr="002F3A26">
              <w:t>0.8%</w:t>
            </w:r>
          </w:p>
        </w:tc>
      </w:tr>
      <w:tr w:rsidR="00CC41E7" w:rsidRPr="002F3A26" w14:paraId="0EFB9210" w14:textId="77777777" w:rsidTr="00D17B28">
        <w:trPr>
          <w:trHeight w:val="20"/>
        </w:trPr>
        <w:tc>
          <w:tcPr>
            <w:tcW w:w="6908" w:type="dxa"/>
            <w:vAlign w:val="bottom"/>
          </w:tcPr>
          <w:p w14:paraId="56290FCB" w14:textId="77777777" w:rsidR="00CC41E7" w:rsidRPr="002F3A26" w:rsidRDefault="00CC41E7" w:rsidP="00CC41E7">
            <w:pPr>
              <w:pStyle w:val="TableParagraph"/>
            </w:pPr>
            <w:r w:rsidRPr="002F3A26">
              <w:t xml:space="preserve">  Law</w:t>
            </w:r>
          </w:p>
        </w:tc>
        <w:tc>
          <w:tcPr>
            <w:tcW w:w="2065" w:type="dxa"/>
            <w:vAlign w:val="bottom"/>
          </w:tcPr>
          <w:p w14:paraId="004FC314" w14:textId="77777777" w:rsidR="00CC41E7" w:rsidRPr="002F3A26" w:rsidRDefault="00CC41E7" w:rsidP="00CC41E7">
            <w:pPr>
              <w:pStyle w:val="TableParagraph"/>
              <w:ind w:right="397"/>
              <w:jc w:val="right"/>
            </w:pPr>
            <w:r w:rsidRPr="002F3A26">
              <w:t>2.0%</w:t>
            </w:r>
          </w:p>
        </w:tc>
      </w:tr>
      <w:tr w:rsidR="00CC41E7" w:rsidRPr="002F3A26" w14:paraId="048B520B" w14:textId="77777777" w:rsidTr="00D17B28">
        <w:trPr>
          <w:trHeight w:val="20"/>
        </w:trPr>
        <w:tc>
          <w:tcPr>
            <w:tcW w:w="6908" w:type="dxa"/>
            <w:vAlign w:val="bottom"/>
          </w:tcPr>
          <w:p w14:paraId="641F2157" w14:textId="77777777" w:rsidR="00CC41E7" w:rsidRPr="002F3A26" w:rsidRDefault="00CC41E7" w:rsidP="00CC41E7">
            <w:pPr>
              <w:pStyle w:val="TableParagraph"/>
            </w:pPr>
            <w:r w:rsidRPr="002F3A26">
              <w:t>Field of study at selective HEI</w:t>
            </w:r>
          </w:p>
        </w:tc>
        <w:tc>
          <w:tcPr>
            <w:tcW w:w="2065" w:type="dxa"/>
          </w:tcPr>
          <w:p w14:paraId="194EF14A" w14:textId="77777777" w:rsidR="00CC41E7" w:rsidRPr="002F3A26" w:rsidRDefault="00CC41E7" w:rsidP="00CC41E7">
            <w:pPr>
              <w:pStyle w:val="TableParagraph"/>
              <w:ind w:right="397"/>
              <w:jc w:val="right"/>
            </w:pPr>
          </w:p>
        </w:tc>
      </w:tr>
      <w:tr w:rsidR="00CC41E7" w:rsidRPr="002F3A26" w14:paraId="2FCF9200" w14:textId="77777777" w:rsidTr="00D17B28">
        <w:trPr>
          <w:trHeight w:val="20"/>
        </w:trPr>
        <w:tc>
          <w:tcPr>
            <w:tcW w:w="6908" w:type="dxa"/>
            <w:vAlign w:val="bottom"/>
          </w:tcPr>
          <w:p w14:paraId="6FD71F46" w14:textId="77777777" w:rsidR="00CC41E7" w:rsidRPr="002F3A26" w:rsidRDefault="00CC41E7" w:rsidP="00CC41E7">
            <w:pPr>
              <w:pStyle w:val="TableParagraph"/>
            </w:pPr>
            <w:r w:rsidRPr="002F3A26">
              <w:t xml:space="preserve">  Natural and Physical Sciences</w:t>
            </w:r>
          </w:p>
        </w:tc>
        <w:tc>
          <w:tcPr>
            <w:tcW w:w="2065" w:type="dxa"/>
            <w:vAlign w:val="bottom"/>
          </w:tcPr>
          <w:p w14:paraId="2AD7B1DF" w14:textId="77777777" w:rsidR="00CC41E7" w:rsidRPr="002F3A26" w:rsidRDefault="00CC41E7" w:rsidP="00CC41E7">
            <w:pPr>
              <w:pStyle w:val="TableParagraph"/>
              <w:ind w:right="397"/>
              <w:jc w:val="right"/>
            </w:pPr>
            <w:r w:rsidRPr="002F3A26">
              <w:t>20.2%</w:t>
            </w:r>
          </w:p>
        </w:tc>
      </w:tr>
      <w:tr w:rsidR="00CC41E7" w:rsidRPr="002F3A26" w14:paraId="64740543" w14:textId="77777777" w:rsidTr="00D17B28">
        <w:trPr>
          <w:trHeight w:val="20"/>
        </w:trPr>
        <w:tc>
          <w:tcPr>
            <w:tcW w:w="6908" w:type="dxa"/>
            <w:vAlign w:val="bottom"/>
          </w:tcPr>
          <w:p w14:paraId="4920E99C" w14:textId="77777777" w:rsidR="00CC41E7" w:rsidRPr="002F3A26" w:rsidRDefault="00CC41E7" w:rsidP="00CC41E7">
            <w:pPr>
              <w:pStyle w:val="TableParagraph"/>
            </w:pPr>
            <w:r w:rsidRPr="002F3A26">
              <w:t xml:space="preserve">  Information Technology</w:t>
            </w:r>
          </w:p>
        </w:tc>
        <w:tc>
          <w:tcPr>
            <w:tcW w:w="2065" w:type="dxa"/>
            <w:vAlign w:val="bottom"/>
          </w:tcPr>
          <w:p w14:paraId="0EAED6D3" w14:textId="77777777" w:rsidR="00CC41E7" w:rsidRPr="002F3A26" w:rsidRDefault="00CC41E7" w:rsidP="00CC41E7">
            <w:pPr>
              <w:pStyle w:val="TableParagraph"/>
              <w:ind w:right="397"/>
              <w:jc w:val="right"/>
            </w:pPr>
            <w:r w:rsidRPr="002F3A26">
              <w:t>3.4%</w:t>
            </w:r>
          </w:p>
        </w:tc>
      </w:tr>
      <w:tr w:rsidR="00CC41E7" w:rsidRPr="002F3A26" w14:paraId="7204E6D7" w14:textId="77777777" w:rsidTr="00D17B28">
        <w:trPr>
          <w:trHeight w:val="20"/>
        </w:trPr>
        <w:tc>
          <w:tcPr>
            <w:tcW w:w="6908" w:type="dxa"/>
            <w:vAlign w:val="bottom"/>
          </w:tcPr>
          <w:p w14:paraId="51FAC669" w14:textId="77777777" w:rsidR="00CC41E7" w:rsidRPr="002F3A26" w:rsidRDefault="00CC41E7" w:rsidP="00CC41E7">
            <w:pPr>
              <w:pStyle w:val="TableParagraph"/>
            </w:pPr>
            <w:r w:rsidRPr="002F3A26">
              <w:t xml:space="preserve">  Engineering and Related Technologies</w:t>
            </w:r>
          </w:p>
        </w:tc>
        <w:tc>
          <w:tcPr>
            <w:tcW w:w="2065" w:type="dxa"/>
            <w:vAlign w:val="bottom"/>
          </w:tcPr>
          <w:p w14:paraId="1C9A99A4" w14:textId="77777777" w:rsidR="00CC41E7" w:rsidRPr="002F3A26" w:rsidRDefault="00CC41E7" w:rsidP="00CC41E7">
            <w:pPr>
              <w:pStyle w:val="TableParagraph"/>
              <w:ind w:right="397"/>
              <w:jc w:val="right"/>
            </w:pPr>
            <w:r w:rsidRPr="002F3A26">
              <w:t>8.9%</w:t>
            </w:r>
          </w:p>
        </w:tc>
      </w:tr>
      <w:tr w:rsidR="00CC41E7" w:rsidRPr="002F3A26" w14:paraId="3EA79513" w14:textId="77777777" w:rsidTr="00D17B28">
        <w:trPr>
          <w:trHeight w:val="20"/>
        </w:trPr>
        <w:tc>
          <w:tcPr>
            <w:tcW w:w="6908" w:type="dxa"/>
            <w:vAlign w:val="bottom"/>
          </w:tcPr>
          <w:p w14:paraId="4118C423" w14:textId="77777777" w:rsidR="00CC41E7" w:rsidRPr="002F3A26" w:rsidRDefault="00CC41E7" w:rsidP="00CC41E7">
            <w:pPr>
              <w:pStyle w:val="TableParagraph"/>
            </w:pPr>
            <w:r w:rsidRPr="002F3A26">
              <w:t xml:space="preserve">  Architecture and Building</w:t>
            </w:r>
          </w:p>
        </w:tc>
        <w:tc>
          <w:tcPr>
            <w:tcW w:w="2065" w:type="dxa"/>
            <w:vAlign w:val="bottom"/>
          </w:tcPr>
          <w:p w14:paraId="6E293A1E" w14:textId="77777777" w:rsidR="00CC41E7" w:rsidRPr="002F3A26" w:rsidRDefault="00CC41E7" w:rsidP="00CC41E7">
            <w:pPr>
              <w:pStyle w:val="TableParagraph"/>
              <w:ind w:right="397"/>
              <w:jc w:val="right"/>
            </w:pPr>
            <w:r w:rsidRPr="002F3A26">
              <w:t>3.4%</w:t>
            </w:r>
          </w:p>
        </w:tc>
      </w:tr>
      <w:tr w:rsidR="00CC41E7" w:rsidRPr="002F3A26" w14:paraId="7809FBDA" w14:textId="77777777" w:rsidTr="00D17B28">
        <w:trPr>
          <w:trHeight w:val="20"/>
        </w:trPr>
        <w:tc>
          <w:tcPr>
            <w:tcW w:w="6908" w:type="dxa"/>
            <w:vAlign w:val="bottom"/>
          </w:tcPr>
          <w:p w14:paraId="3E0EBD43" w14:textId="77777777" w:rsidR="00CC41E7" w:rsidRPr="002F3A26" w:rsidRDefault="00CC41E7" w:rsidP="00CC41E7">
            <w:pPr>
              <w:pStyle w:val="TableParagraph"/>
            </w:pPr>
            <w:r w:rsidRPr="002F3A26">
              <w:t xml:space="preserve">  Agriculture Environmental and Related Studies</w:t>
            </w:r>
          </w:p>
        </w:tc>
        <w:tc>
          <w:tcPr>
            <w:tcW w:w="2065" w:type="dxa"/>
            <w:vAlign w:val="bottom"/>
          </w:tcPr>
          <w:p w14:paraId="567F987E" w14:textId="77777777" w:rsidR="00CC41E7" w:rsidRPr="002F3A26" w:rsidRDefault="00CC41E7" w:rsidP="00CC41E7">
            <w:pPr>
              <w:pStyle w:val="TableParagraph"/>
              <w:ind w:right="397"/>
              <w:jc w:val="right"/>
            </w:pPr>
            <w:r w:rsidRPr="002F3A26">
              <w:t>0.7%</w:t>
            </w:r>
          </w:p>
        </w:tc>
      </w:tr>
      <w:tr w:rsidR="00CC41E7" w:rsidRPr="002F3A26" w14:paraId="05E31BFA" w14:textId="77777777" w:rsidTr="00D17B28">
        <w:trPr>
          <w:trHeight w:val="20"/>
        </w:trPr>
        <w:tc>
          <w:tcPr>
            <w:tcW w:w="6908" w:type="dxa"/>
            <w:vAlign w:val="bottom"/>
          </w:tcPr>
          <w:p w14:paraId="320FD17B" w14:textId="77777777" w:rsidR="00CC41E7" w:rsidRPr="002F3A26" w:rsidRDefault="00CC41E7" w:rsidP="00CC41E7">
            <w:pPr>
              <w:pStyle w:val="TableParagraph"/>
            </w:pPr>
            <w:r w:rsidRPr="002F3A26">
              <w:t xml:space="preserve">  Other Health</w:t>
            </w:r>
          </w:p>
        </w:tc>
        <w:tc>
          <w:tcPr>
            <w:tcW w:w="2065" w:type="dxa"/>
            <w:vAlign w:val="bottom"/>
          </w:tcPr>
          <w:p w14:paraId="23E43C1E" w14:textId="77777777" w:rsidR="00CC41E7" w:rsidRPr="002F3A26" w:rsidRDefault="00CC41E7" w:rsidP="00CC41E7">
            <w:pPr>
              <w:pStyle w:val="TableParagraph"/>
              <w:ind w:right="397"/>
              <w:jc w:val="right"/>
            </w:pPr>
            <w:r w:rsidRPr="002F3A26">
              <w:t>10.8%</w:t>
            </w:r>
          </w:p>
        </w:tc>
      </w:tr>
      <w:tr w:rsidR="00CC41E7" w:rsidRPr="002F3A26" w14:paraId="0A36F392" w14:textId="77777777" w:rsidTr="00D17B28">
        <w:trPr>
          <w:trHeight w:val="20"/>
        </w:trPr>
        <w:tc>
          <w:tcPr>
            <w:tcW w:w="6908" w:type="dxa"/>
            <w:vAlign w:val="bottom"/>
          </w:tcPr>
          <w:p w14:paraId="74B4E776" w14:textId="77777777" w:rsidR="00CC41E7" w:rsidRPr="002F3A26" w:rsidRDefault="00CC41E7" w:rsidP="00CC41E7">
            <w:pPr>
              <w:pStyle w:val="TableParagraph"/>
            </w:pPr>
            <w:r w:rsidRPr="002F3A26">
              <w:t xml:space="preserve">  Education</w:t>
            </w:r>
          </w:p>
        </w:tc>
        <w:tc>
          <w:tcPr>
            <w:tcW w:w="2065" w:type="dxa"/>
            <w:vAlign w:val="bottom"/>
          </w:tcPr>
          <w:p w14:paraId="5B20890F" w14:textId="77777777" w:rsidR="00CC41E7" w:rsidRPr="002F3A26" w:rsidRDefault="00CC41E7" w:rsidP="00CC41E7">
            <w:pPr>
              <w:pStyle w:val="TableParagraph"/>
              <w:ind w:right="397"/>
              <w:jc w:val="right"/>
            </w:pPr>
            <w:r w:rsidRPr="002F3A26">
              <w:t>3.1%</w:t>
            </w:r>
          </w:p>
        </w:tc>
      </w:tr>
      <w:tr w:rsidR="00CC41E7" w:rsidRPr="002F3A26" w14:paraId="3E905CB5" w14:textId="77777777" w:rsidTr="00D17B28">
        <w:trPr>
          <w:trHeight w:val="20"/>
        </w:trPr>
        <w:tc>
          <w:tcPr>
            <w:tcW w:w="6908" w:type="dxa"/>
            <w:vAlign w:val="bottom"/>
          </w:tcPr>
          <w:p w14:paraId="792AE9D3" w14:textId="77777777" w:rsidR="00CC41E7" w:rsidRPr="002F3A26" w:rsidRDefault="00CC41E7" w:rsidP="00CC41E7">
            <w:pPr>
              <w:pStyle w:val="TableParagraph"/>
            </w:pPr>
            <w:r w:rsidRPr="002F3A26">
              <w:t xml:space="preserve">  Management and Commerce</w:t>
            </w:r>
          </w:p>
        </w:tc>
        <w:tc>
          <w:tcPr>
            <w:tcW w:w="2065" w:type="dxa"/>
            <w:vAlign w:val="bottom"/>
          </w:tcPr>
          <w:p w14:paraId="7E592FEC" w14:textId="77777777" w:rsidR="00CC41E7" w:rsidRPr="002F3A26" w:rsidRDefault="00CC41E7" w:rsidP="00CC41E7">
            <w:pPr>
              <w:pStyle w:val="TableParagraph"/>
              <w:ind w:right="397"/>
              <w:jc w:val="right"/>
            </w:pPr>
            <w:r w:rsidRPr="002F3A26">
              <w:t>17.9%</w:t>
            </w:r>
          </w:p>
        </w:tc>
      </w:tr>
      <w:tr w:rsidR="00CC41E7" w:rsidRPr="002F3A26" w14:paraId="30D4C36F" w14:textId="77777777" w:rsidTr="00D17B28">
        <w:trPr>
          <w:trHeight w:val="20"/>
        </w:trPr>
        <w:tc>
          <w:tcPr>
            <w:tcW w:w="6908" w:type="dxa"/>
            <w:vAlign w:val="bottom"/>
          </w:tcPr>
          <w:p w14:paraId="43415BDA" w14:textId="77777777" w:rsidR="00CC41E7" w:rsidRPr="002F3A26" w:rsidRDefault="00CC41E7" w:rsidP="00CC41E7">
            <w:pPr>
              <w:pStyle w:val="TableParagraph"/>
            </w:pPr>
            <w:r w:rsidRPr="002F3A26">
              <w:t xml:space="preserve">  Society and Culture</w:t>
            </w:r>
          </w:p>
        </w:tc>
        <w:tc>
          <w:tcPr>
            <w:tcW w:w="2065" w:type="dxa"/>
            <w:vAlign w:val="bottom"/>
          </w:tcPr>
          <w:p w14:paraId="3D6D9AB4" w14:textId="77777777" w:rsidR="00CC41E7" w:rsidRPr="002F3A26" w:rsidRDefault="00CC41E7" w:rsidP="00CC41E7">
            <w:pPr>
              <w:pStyle w:val="TableParagraph"/>
              <w:ind w:right="397"/>
              <w:jc w:val="right"/>
            </w:pPr>
            <w:r w:rsidRPr="002F3A26">
              <w:t>21.9%</w:t>
            </w:r>
          </w:p>
        </w:tc>
      </w:tr>
      <w:tr w:rsidR="00CC41E7" w:rsidRPr="002F3A26" w14:paraId="08E4A8F7" w14:textId="77777777" w:rsidTr="00D17B28">
        <w:trPr>
          <w:trHeight w:val="20"/>
        </w:trPr>
        <w:tc>
          <w:tcPr>
            <w:tcW w:w="6908" w:type="dxa"/>
            <w:vAlign w:val="bottom"/>
          </w:tcPr>
          <w:p w14:paraId="6D5A3D35" w14:textId="77777777" w:rsidR="00CC41E7" w:rsidRPr="002F3A26" w:rsidRDefault="00CC41E7" w:rsidP="00CC41E7">
            <w:pPr>
              <w:pStyle w:val="TableParagraph"/>
            </w:pPr>
            <w:r w:rsidRPr="002F3A26">
              <w:t xml:space="preserve">  Creative Arts</w:t>
            </w:r>
          </w:p>
        </w:tc>
        <w:tc>
          <w:tcPr>
            <w:tcW w:w="2065" w:type="dxa"/>
            <w:vAlign w:val="bottom"/>
          </w:tcPr>
          <w:p w14:paraId="39EB09D3" w14:textId="77777777" w:rsidR="00CC41E7" w:rsidRPr="002F3A26" w:rsidRDefault="00CC41E7" w:rsidP="00CC41E7">
            <w:pPr>
              <w:pStyle w:val="TableParagraph"/>
              <w:ind w:right="397"/>
              <w:jc w:val="right"/>
            </w:pPr>
            <w:r w:rsidRPr="002F3A26">
              <w:t>7.1%</w:t>
            </w:r>
          </w:p>
        </w:tc>
      </w:tr>
      <w:tr w:rsidR="00CC41E7" w:rsidRPr="002F3A26" w14:paraId="45DB8781" w14:textId="77777777" w:rsidTr="00D17B28">
        <w:trPr>
          <w:trHeight w:val="20"/>
        </w:trPr>
        <w:tc>
          <w:tcPr>
            <w:tcW w:w="6908" w:type="dxa"/>
            <w:vAlign w:val="bottom"/>
          </w:tcPr>
          <w:p w14:paraId="4732BFE1" w14:textId="77777777" w:rsidR="00CC41E7" w:rsidRPr="002F3A26" w:rsidRDefault="00CC41E7" w:rsidP="00CC41E7">
            <w:pPr>
              <w:pStyle w:val="TableParagraph"/>
            </w:pPr>
            <w:r w:rsidRPr="002F3A26">
              <w:t xml:space="preserve">  Medical Studies</w:t>
            </w:r>
          </w:p>
        </w:tc>
        <w:tc>
          <w:tcPr>
            <w:tcW w:w="2065" w:type="dxa"/>
            <w:vAlign w:val="bottom"/>
          </w:tcPr>
          <w:p w14:paraId="00F804C4" w14:textId="77777777" w:rsidR="00CC41E7" w:rsidRPr="002F3A26" w:rsidRDefault="00CC41E7" w:rsidP="00CC41E7">
            <w:pPr>
              <w:pStyle w:val="TableParagraph"/>
              <w:ind w:right="397"/>
              <w:jc w:val="right"/>
            </w:pPr>
            <w:r w:rsidRPr="002F3A26">
              <w:t>1.0%</w:t>
            </w:r>
          </w:p>
        </w:tc>
      </w:tr>
      <w:tr w:rsidR="00CC41E7" w:rsidRPr="002F3A26" w14:paraId="04180B72" w14:textId="77777777" w:rsidTr="00D17B28">
        <w:trPr>
          <w:trHeight w:val="20"/>
        </w:trPr>
        <w:tc>
          <w:tcPr>
            <w:tcW w:w="6908" w:type="dxa"/>
            <w:vAlign w:val="bottom"/>
          </w:tcPr>
          <w:p w14:paraId="11EA3177" w14:textId="77777777" w:rsidR="00CC41E7" w:rsidRPr="002F3A26" w:rsidRDefault="00CC41E7" w:rsidP="00CC41E7">
            <w:pPr>
              <w:pStyle w:val="TableParagraph"/>
            </w:pPr>
            <w:r w:rsidRPr="002F3A26">
              <w:t xml:space="preserve">  Law</w:t>
            </w:r>
          </w:p>
        </w:tc>
        <w:tc>
          <w:tcPr>
            <w:tcW w:w="2065" w:type="dxa"/>
            <w:vAlign w:val="bottom"/>
          </w:tcPr>
          <w:p w14:paraId="607859C0" w14:textId="77777777" w:rsidR="00CC41E7" w:rsidRPr="002F3A26" w:rsidRDefault="00CC41E7" w:rsidP="00CC41E7">
            <w:pPr>
              <w:pStyle w:val="TableParagraph"/>
              <w:ind w:right="397"/>
              <w:jc w:val="right"/>
            </w:pPr>
            <w:r w:rsidRPr="002F3A26">
              <w:t>1.6%</w:t>
            </w:r>
          </w:p>
        </w:tc>
      </w:tr>
      <w:tr w:rsidR="00CC41E7" w:rsidRPr="002F3A26" w14:paraId="3C1B8865" w14:textId="77777777" w:rsidTr="00D17B28">
        <w:trPr>
          <w:trHeight w:val="20"/>
        </w:trPr>
        <w:tc>
          <w:tcPr>
            <w:tcW w:w="6908" w:type="dxa"/>
            <w:vAlign w:val="bottom"/>
          </w:tcPr>
          <w:p w14:paraId="297BCF16" w14:textId="3091CEA9" w:rsidR="00CC41E7" w:rsidRPr="002F3A26" w:rsidRDefault="00E61E05" w:rsidP="00CC41E7">
            <w:pPr>
              <w:pStyle w:val="TableParagraph"/>
            </w:pPr>
            <w:r>
              <w:t>First-in-Family</w:t>
            </w:r>
          </w:p>
        </w:tc>
        <w:tc>
          <w:tcPr>
            <w:tcW w:w="2065" w:type="dxa"/>
          </w:tcPr>
          <w:p w14:paraId="0DC43B17" w14:textId="77777777" w:rsidR="00CC41E7" w:rsidRPr="002F3A26" w:rsidRDefault="00CC41E7" w:rsidP="00CC41E7">
            <w:pPr>
              <w:pStyle w:val="TableParagraph"/>
              <w:ind w:right="397"/>
              <w:jc w:val="right"/>
            </w:pPr>
          </w:p>
        </w:tc>
      </w:tr>
      <w:tr w:rsidR="00CC41E7" w:rsidRPr="002F3A26" w14:paraId="13108A1B" w14:textId="77777777" w:rsidTr="00D17B28">
        <w:trPr>
          <w:trHeight w:val="20"/>
        </w:trPr>
        <w:tc>
          <w:tcPr>
            <w:tcW w:w="6908" w:type="dxa"/>
            <w:vAlign w:val="bottom"/>
          </w:tcPr>
          <w:p w14:paraId="074C5686" w14:textId="1B1C1304" w:rsidR="00CC41E7" w:rsidRPr="002F3A26" w:rsidRDefault="00CC41E7" w:rsidP="00CC41E7">
            <w:pPr>
              <w:pStyle w:val="TableParagraph"/>
            </w:pPr>
            <w:r w:rsidRPr="002F3A26">
              <w:t xml:space="preserve">  Not </w:t>
            </w:r>
            <w:r w:rsidR="00E61E05">
              <w:t>First-in-Family</w:t>
            </w:r>
          </w:p>
        </w:tc>
        <w:tc>
          <w:tcPr>
            <w:tcW w:w="2065" w:type="dxa"/>
            <w:vAlign w:val="bottom"/>
          </w:tcPr>
          <w:p w14:paraId="169FFF44" w14:textId="77777777" w:rsidR="00CC41E7" w:rsidRPr="002F3A26" w:rsidRDefault="00CC41E7" w:rsidP="00CC41E7">
            <w:pPr>
              <w:pStyle w:val="TableParagraph"/>
              <w:ind w:right="397"/>
              <w:jc w:val="right"/>
            </w:pPr>
            <w:r w:rsidRPr="002F3A26">
              <w:t>33.5%</w:t>
            </w:r>
          </w:p>
        </w:tc>
      </w:tr>
      <w:tr w:rsidR="00CC41E7" w:rsidRPr="002F3A26" w14:paraId="32A60768" w14:textId="77777777" w:rsidTr="00D17B28">
        <w:trPr>
          <w:trHeight w:val="20"/>
        </w:trPr>
        <w:tc>
          <w:tcPr>
            <w:tcW w:w="6908" w:type="dxa"/>
            <w:vAlign w:val="bottom"/>
          </w:tcPr>
          <w:p w14:paraId="7C8EDC56" w14:textId="1AB7C81B" w:rsidR="00CC41E7" w:rsidRPr="002F3A26" w:rsidRDefault="00CC41E7" w:rsidP="00CC41E7">
            <w:pPr>
              <w:pStyle w:val="TableParagraph"/>
            </w:pPr>
            <w:r w:rsidRPr="002F3A26">
              <w:t xml:space="preserve">  </w:t>
            </w:r>
            <w:r w:rsidR="00E61E05">
              <w:t>First-in-Family</w:t>
            </w:r>
          </w:p>
        </w:tc>
        <w:tc>
          <w:tcPr>
            <w:tcW w:w="2065" w:type="dxa"/>
            <w:vAlign w:val="bottom"/>
          </w:tcPr>
          <w:p w14:paraId="0FA7C7BB" w14:textId="77777777" w:rsidR="00CC41E7" w:rsidRPr="002F3A26" w:rsidRDefault="00CC41E7" w:rsidP="00CC41E7">
            <w:pPr>
              <w:pStyle w:val="TableParagraph"/>
              <w:ind w:right="397"/>
              <w:jc w:val="right"/>
            </w:pPr>
            <w:r w:rsidRPr="002F3A26">
              <w:t>66.5%</w:t>
            </w:r>
          </w:p>
        </w:tc>
      </w:tr>
      <w:tr w:rsidR="00CC41E7" w:rsidRPr="002F3A26" w14:paraId="1954E1C4" w14:textId="77777777" w:rsidTr="00D17B28">
        <w:trPr>
          <w:trHeight w:val="20"/>
        </w:trPr>
        <w:tc>
          <w:tcPr>
            <w:tcW w:w="6908" w:type="dxa"/>
            <w:vAlign w:val="bottom"/>
          </w:tcPr>
          <w:p w14:paraId="2676FCA5" w14:textId="77777777" w:rsidR="00CC41E7" w:rsidRPr="002F3A26" w:rsidRDefault="00CC41E7" w:rsidP="00CC41E7">
            <w:pPr>
              <w:pStyle w:val="TableParagraph"/>
            </w:pPr>
            <w:r w:rsidRPr="002F3A26">
              <w:t>Low SES</w:t>
            </w:r>
          </w:p>
        </w:tc>
        <w:tc>
          <w:tcPr>
            <w:tcW w:w="2065" w:type="dxa"/>
          </w:tcPr>
          <w:p w14:paraId="3DC713F1" w14:textId="77777777" w:rsidR="00CC41E7" w:rsidRPr="002F3A26" w:rsidRDefault="00CC41E7" w:rsidP="00CC41E7">
            <w:pPr>
              <w:pStyle w:val="TableParagraph"/>
              <w:ind w:right="397"/>
              <w:jc w:val="right"/>
            </w:pPr>
          </w:p>
        </w:tc>
      </w:tr>
      <w:tr w:rsidR="00CC41E7" w:rsidRPr="002F3A26" w14:paraId="3369CCAE" w14:textId="77777777" w:rsidTr="00D17B28">
        <w:trPr>
          <w:trHeight w:val="20"/>
        </w:trPr>
        <w:tc>
          <w:tcPr>
            <w:tcW w:w="6908" w:type="dxa"/>
            <w:vAlign w:val="bottom"/>
          </w:tcPr>
          <w:p w14:paraId="6865CE2E" w14:textId="77777777" w:rsidR="00CC41E7" w:rsidRPr="002F3A26" w:rsidRDefault="00CC41E7" w:rsidP="00CC41E7">
            <w:pPr>
              <w:pStyle w:val="TableParagraph"/>
            </w:pPr>
            <w:r w:rsidRPr="002F3A26">
              <w:t xml:space="preserve">  0</w:t>
            </w:r>
          </w:p>
        </w:tc>
        <w:tc>
          <w:tcPr>
            <w:tcW w:w="2065" w:type="dxa"/>
            <w:vAlign w:val="bottom"/>
          </w:tcPr>
          <w:p w14:paraId="24A39A79" w14:textId="77777777" w:rsidR="00CC41E7" w:rsidRPr="002F3A26" w:rsidRDefault="00CC41E7" w:rsidP="00CC41E7">
            <w:pPr>
              <w:pStyle w:val="TableParagraph"/>
              <w:ind w:right="397"/>
              <w:jc w:val="right"/>
            </w:pPr>
            <w:r w:rsidRPr="002F3A26">
              <w:t>82.0%</w:t>
            </w:r>
          </w:p>
        </w:tc>
      </w:tr>
      <w:tr w:rsidR="00CC41E7" w:rsidRPr="002F3A26" w14:paraId="7667C709" w14:textId="77777777" w:rsidTr="00D17B28">
        <w:trPr>
          <w:trHeight w:val="20"/>
        </w:trPr>
        <w:tc>
          <w:tcPr>
            <w:tcW w:w="6908" w:type="dxa"/>
            <w:vAlign w:val="bottom"/>
          </w:tcPr>
          <w:p w14:paraId="7CDDF5F1" w14:textId="77777777" w:rsidR="00CC41E7" w:rsidRPr="002F3A26" w:rsidRDefault="00CC41E7" w:rsidP="00CC41E7">
            <w:pPr>
              <w:pStyle w:val="TableParagraph"/>
            </w:pPr>
            <w:r w:rsidRPr="002F3A26">
              <w:lastRenderedPageBreak/>
              <w:t xml:space="preserve">  1</w:t>
            </w:r>
          </w:p>
        </w:tc>
        <w:tc>
          <w:tcPr>
            <w:tcW w:w="2065" w:type="dxa"/>
            <w:vAlign w:val="bottom"/>
          </w:tcPr>
          <w:p w14:paraId="6A310A5F" w14:textId="77777777" w:rsidR="00CC41E7" w:rsidRPr="002F3A26" w:rsidRDefault="00CC41E7" w:rsidP="00CC41E7">
            <w:pPr>
              <w:pStyle w:val="TableParagraph"/>
              <w:ind w:right="397"/>
              <w:jc w:val="right"/>
            </w:pPr>
            <w:r w:rsidRPr="002F3A26">
              <w:t>18.0%</w:t>
            </w:r>
          </w:p>
        </w:tc>
      </w:tr>
      <w:tr w:rsidR="00CC41E7" w:rsidRPr="002F3A26" w14:paraId="5ED58D19" w14:textId="77777777" w:rsidTr="00D17B28">
        <w:trPr>
          <w:trHeight w:val="20"/>
        </w:trPr>
        <w:tc>
          <w:tcPr>
            <w:tcW w:w="6908" w:type="dxa"/>
            <w:vAlign w:val="bottom"/>
          </w:tcPr>
          <w:p w14:paraId="064B8D06" w14:textId="58C99703" w:rsidR="00CC41E7" w:rsidRPr="002F3A26" w:rsidRDefault="009F5FEC" w:rsidP="00CC41E7">
            <w:pPr>
              <w:pStyle w:val="TableParagraph"/>
            </w:pPr>
            <w:r>
              <w:t>RR</w:t>
            </w:r>
          </w:p>
        </w:tc>
        <w:tc>
          <w:tcPr>
            <w:tcW w:w="2065" w:type="dxa"/>
          </w:tcPr>
          <w:p w14:paraId="1B6DD01C" w14:textId="77777777" w:rsidR="00CC41E7" w:rsidRPr="002F3A26" w:rsidRDefault="00CC41E7" w:rsidP="00CC41E7">
            <w:pPr>
              <w:pStyle w:val="TableParagraph"/>
              <w:ind w:right="397"/>
              <w:jc w:val="right"/>
            </w:pPr>
          </w:p>
        </w:tc>
      </w:tr>
      <w:tr w:rsidR="00CC41E7" w:rsidRPr="002F3A26" w14:paraId="3C62474F" w14:textId="77777777" w:rsidTr="00D17B28">
        <w:trPr>
          <w:trHeight w:val="20"/>
        </w:trPr>
        <w:tc>
          <w:tcPr>
            <w:tcW w:w="6908" w:type="dxa"/>
            <w:vAlign w:val="bottom"/>
          </w:tcPr>
          <w:p w14:paraId="4192EA7F" w14:textId="77777777" w:rsidR="00CC41E7" w:rsidRPr="002F3A26" w:rsidRDefault="00CC41E7" w:rsidP="00CC41E7">
            <w:pPr>
              <w:pStyle w:val="TableParagraph"/>
            </w:pPr>
            <w:r w:rsidRPr="002F3A26">
              <w:t xml:space="preserve">  0</w:t>
            </w:r>
          </w:p>
        </w:tc>
        <w:tc>
          <w:tcPr>
            <w:tcW w:w="2065" w:type="dxa"/>
            <w:vAlign w:val="bottom"/>
          </w:tcPr>
          <w:p w14:paraId="3C3AF1FD" w14:textId="77777777" w:rsidR="00CC41E7" w:rsidRPr="002F3A26" w:rsidRDefault="00CC41E7" w:rsidP="00CC41E7">
            <w:pPr>
              <w:pStyle w:val="TableParagraph"/>
              <w:ind w:right="397"/>
              <w:jc w:val="right"/>
            </w:pPr>
            <w:r w:rsidRPr="002F3A26">
              <w:t>71.0%</w:t>
            </w:r>
          </w:p>
        </w:tc>
      </w:tr>
      <w:tr w:rsidR="00CC41E7" w:rsidRPr="002F3A26" w14:paraId="41DF55CD" w14:textId="77777777" w:rsidTr="00D17B28">
        <w:trPr>
          <w:trHeight w:val="20"/>
        </w:trPr>
        <w:tc>
          <w:tcPr>
            <w:tcW w:w="6908" w:type="dxa"/>
            <w:vAlign w:val="bottom"/>
          </w:tcPr>
          <w:p w14:paraId="215677B8" w14:textId="77777777" w:rsidR="00CC41E7" w:rsidRPr="002F3A26" w:rsidRDefault="00CC41E7" w:rsidP="00CC41E7">
            <w:pPr>
              <w:pStyle w:val="TableParagraph"/>
            </w:pPr>
            <w:r w:rsidRPr="002F3A26">
              <w:t xml:space="preserve">  1</w:t>
            </w:r>
          </w:p>
        </w:tc>
        <w:tc>
          <w:tcPr>
            <w:tcW w:w="2065" w:type="dxa"/>
            <w:vAlign w:val="bottom"/>
          </w:tcPr>
          <w:p w14:paraId="0D3B9567" w14:textId="77777777" w:rsidR="00CC41E7" w:rsidRPr="002F3A26" w:rsidRDefault="00CC41E7" w:rsidP="00CC41E7">
            <w:pPr>
              <w:pStyle w:val="TableParagraph"/>
              <w:ind w:right="397"/>
              <w:jc w:val="right"/>
            </w:pPr>
            <w:r w:rsidRPr="002F3A26">
              <w:t>29.0%</w:t>
            </w:r>
          </w:p>
        </w:tc>
      </w:tr>
      <w:tr w:rsidR="00CC41E7" w:rsidRPr="002F3A26" w14:paraId="52925788" w14:textId="77777777" w:rsidTr="00D17B28">
        <w:trPr>
          <w:trHeight w:val="20"/>
        </w:trPr>
        <w:tc>
          <w:tcPr>
            <w:tcW w:w="6908" w:type="dxa"/>
            <w:vAlign w:val="bottom"/>
          </w:tcPr>
          <w:p w14:paraId="2FEB7AF5" w14:textId="77777777" w:rsidR="00CC41E7" w:rsidRPr="002F3A26" w:rsidRDefault="00CC41E7" w:rsidP="00CC41E7">
            <w:pPr>
              <w:pStyle w:val="TableParagraph"/>
            </w:pPr>
            <w:r w:rsidRPr="002F3A26">
              <w:t>Indigenous</w:t>
            </w:r>
          </w:p>
        </w:tc>
        <w:tc>
          <w:tcPr>
            <w:tcW w:w="2065" w:type="dxa"/>
          </w:tcPr>
          <w:p w14:paraId="77D8C88A" w14:textId="77777777" w:rsidR="00CC41E7" w:rsidRPr="002F3A26" w:rsidRDefault="00CC41E7" w:rsidP="00CC41E7">
            <w:pPr>
              <w:pStyle w:val="TableParagraph"/>
              <w:ind w:right="397"/>
              <w:jc w:val="right"/>
            </w:pPr>
          </w:p>
        </w:tc>
      </w:tr>
      <w:tr w:rsidR="00CC41E7" w:rsidRPr="002F3A26" w14:paraId="1A69886B" w14:textId="77777777" w:rsidTr="00D17B28">
        <w:trPr>
          <w:trHeight w:val="20"/>
        </w:trPr>
        <w:tc>
          <w:tcPr>
            <w:tcW w:w="6908" w:type="dxa"/>
            <w:vAlign w:val="bottom"/>
          </w:tcPr>
          <w:p w14:paraId="5334F0EB" w14:textId="77777777" w:rsidR="00CC41E7" w:rsidRPr="002F3A26" w:rsidRDefault="00CC41E7" w:rsidP="00CC41E7">
            <w:pPr>
              <w:pStyle w:val="TableParagraph"/>
            </w:pPr>
            <w:r w:rsidRPr="002F3A26">
              <w:t xml:space="preserve">  0</w:t>
            </w:r>
          </w:p>
        </w:tc>
        <w:tc>
          <w:tcPr>
            <w:tcW w:w="2065" w:type="dxa"/>
            <w:vAlign w:val="bottom"/>
          </w:tcPr>
          <w:p w14:paraId="310B5285" w14:textId="77777777" w:rsidR="00CC41E7" w:rsidRPr="002F3A26" w:rsidRDefault="00CC41E7" w:rsidP="00CC41E7">
            <w:pPr>
              <w:pStyle w:val="TableParagraph"/>
              <w:ind w:right="397"/>
              <w:jc w:val="right"/>
            </w:pPr>
            <w:r w:rsidRPr="002F3A26">
              <w:t>96.1%</w:t>
            </w:r>
          </w:p>
        </w:tc>
      </w:tr>
      <w:tr w:rsidR="00CC41E7" w:rsidRPr="002F3A26" w14:paraId="7EA39C05" w14:textId="77777777" w:rsidTr="00D17B28">
        <w:trPr>
          <w:trHeight w:val="20"/>
        </w:trPr>
        <w:tc>
          <w:tcPr>
            <w:tcW w:w="6908" w:type="dxa"/>
            <w:vAlign w:val="bottom"/>
          </w:tcPr>
          <w:p w14:paraId="5DA32B04" w14:textId="77777777" w:rsidR="00CC41E7" w:rsidRPr="002F3A26" w:rsidRDefault="00CC41E7" w:rsidP="00CC41E7">
            <w:pPr>
              <w:pStyle w:val="TableParagraph"/>
            </w:pPr>
            <w:r w:rsidRPr="002F3A26">
              <w:t xml:space="preserve">  1</w:t>
            </w:r>
          </w:p>
        </w:tc>
        <w:tc>
          <w:tcPr>
            <w:tcW w:w="2065" w:type="dxa"/>
            <w:vAlign w:val="bottom"/>
          </w:tcPr>
          <w:p w14:paraId="57B6107E" w14:textId="77777777" w:rsidR="00CC41E7" w:rsidRPr="002F3A26" w:rsidRDefault="00CC41E7" w:rsidP="00CC41E7">
            <w:pPr>
              <w:pStyle w:val="TableParagraph"/>
              <w:ind w:right="397"/>
              <w:jc w:val="right"/>
            </w:pPr>
            <w:r w:rsidRPr="002F3A26">
              <w:t>3.9%</w:t>
            </w:r>
          </w:p>
        </w:tc>
      </w:tr>
      <w:tr w:rsidR="00CC41E7" w:rsidRPr="002F3A26" w14:paraId="552419F1" w14:textId="77777777" w:rsidTr="00D17B28">
        <w:trPr>
          <w:trHeight w:val="20"/>
        </w:trPr>
        <w:tc>
          <w:tcPr>
            <w:tcW w:w="6908" w:type="dxa"/>
            <w:vAlign w:val="bottom"/>
          </w:tcPr>
          <w:p w14:paraId="65A55B62" w14:textId="77777777" w:rsidR="00CC41E7" w:rsidRPr="002F3A26" w:rsidRDefault="00CC41E7" w:rsidP="00CC41E7">
            <w:pPr>
              <w:pStyle w:val="TableParagraph"/>
            </w:pPr>
            <w:r w:rsidRPr="002F3A26">
              <w:t>NESB</w:t>
            </w:r>
          </w:p>
        </w:tc>
        <w:tc>
          <w:tcPr>
            <w:tcW w:w="2065" w:type="dxa"/>
          </w:tcPr>
          <w:p w14:paraId="13AFAA47" w14:textId="77777777" w:rsidR="00CC41E7" w:rsidRPr="002F3A26" w:rsidRDefault="00CC41E7" w:rsidP="00CC41E7">
            <w:pPr>
              <w:pStyle w:val="TableParagraph"/>
              <w:ind w:right="397"/>
              <w:jc w:val="right"/>
            </w:pPr>
          </w:p>
        </w:tc>
      </w:tr>
      <w:tr w:rsidR="00CC41E7" w:rsidRPr="002F3A26" w14:paraId="612D73C5" w14:textId="77777777" w:rsidTr="00D17B28">
        <w:trPr>
          <w:trHeight w:val="20"/>
        </w:trPr>
        <w:tc>
          <w:tcPr>
            <w:tcW w:w="6908" w:type="dxa"/>
            <w:vAlign w:val="bottom"/>
          </w:tcPr>
          <w:p w14:paraId="65041C93" w14:textId="77777777" w:rsidR="00CC41E7" w:rsidRPr="002F3A26" w:rsidRDefault="00CC41E7" w:rsidP="00CC41E7">
            <w:pPr>
              <w:pStyle w:val="TableParagraph"/>
            </w:pPr>
            <w:r w:rsidRPr="002F3A26">
              <w:t xml:space="preserve">  0</w:t>
            </w:r>
          </w:p>
        </w:tc>
        <w:tc>
          <w:tcPr>
            <w:tcW w:w="2065" w:type="dxa"/>
            <w:vAlign w:val="bottom"/>
          </w:tcPr>
          <w:p w14:paraId="69C90E10" w14:textId="77777777" w:rsidR="00CC41E7" w:rsidRPr="002F3A26" w:rsidRDefault="00CC41E7" w:rsidP="00CC41E7">
            <w:pPr>
              <w:pStyle w:val="TableParagraph"/>
              <w:ind w:right="397"/>
              <w:jc w:val="right"/>
            </w:pPr>
            <w:r w:rsidRPr="002F3A26">
              <w:t>96.6%</w:t>
            </w:r>
          </w:p>
        </w:tc>
      </w:tr>
      <w:tr w:rsidR="00CC41E7" w:rsidRPr="002F3A26" w14:paraId="41755160" w14:textId="77777777" w:rsidTr="00D17B28">
        <w:trPr>
          <w:trHeight w:val="20"/>
        </w:trPr>
        <w:tc>
          <w:tcPr>
            <w:tcW w:w="6908" w:type="dxa"/>
            <w:vAlign w:val="bottom"/>
          </w:tcPr>
          <w:p w14:paraId="27BF455A" w14:textId="77777777" w:rsidR="00CC41E7" w:rsidRPr="002F3A26" w:rsidRDefault="00CC41E7" w:rsidP="00CC41E7">
            <w:pPr>
              <w:pStyle w:val="TableParagraph"/>
            </w:pPr>
            <w:r w:rsidRPr="002F3A26">
              <w:t xml:space="preserve">  1</w:t>
            </w:r>
          </w:p>
        </w:tc>
        <w:tc>
          <w:tcPr>
            <w:tcW w:w="2065" w:type="dxa"/>
            <w:vAlign w:val="bottom"/>
          </w:tcPr>
          <w:p w14:paraId="6FD4600A" w14:textId="77777777" w:rsidR="00CC41E7" w:rsidRPr="002F3A26" w:rsidRDefault="00CC41E7" w:rsidP="00CC41E7">
            <w:pPr>
              <w:pStyle w:val="TableParagraph"/>
              <w:ind w:right="397"/>
              <w:jc w:val="right"/>
            </w:pPr>
            <w:r w:rsidRPr="002F3A26">
              <w:t>3.4%</w:t>
            </w:r>
          </w:p>
        </w:tc>
      </w:tr>
      <w:tr w:rsidR="00CC41E7" w:rsidRPr="002F3A26" w14:paraId="5930D3A5" w14:textId="77777777" w:rsidTr="00D17B28">
        <w:trPr>
          <w:trHeight w:val="20"/>
        </w:trPr>
        <w:tc>
          <w:tcPr>
            <w:tcW w:w="6908" w:type="dxa"/>
            <w:vAlign w:val="bottom"/>
          </w:tcPr>
          <w:p w14:paraId="4CBF9F60" w14:textId="77777777" w:rsidR="00CC41E7" w:rsidRPr="002F3A26" w:rsidRDefault="00CC41E7" w:rsidP="00CC41E7">
            <w:pPr>
              <w:pStyle w:val="TableParagraph"/>
            </w:pPr>
            <w:r w:rsidRPr="002F3A26">
              <w:t>Female</w:t>
            </w:r>
          </w:p>
        </w:tc>
        <w:tc>
          <w:tcPr>
            <w:tcW w:w="2065" w:type="dxa"/>
          </w:tcPr>
          <w:p w14:paraId="6E51F4FF" w14:textId="77777777" w:rsidR="00CC41E7" w:rsidRPr="002F3A26" w:rsidRDefault="00CC41E7" w:rsidP="00CC41E7">
            <w:pPr>
              <w:pStyle w:val="TableParagraph"/>
              <w:ind w:right="397"/>
              <w:jc w:val="right"/>
            </w:pPr>
          </w:p>
        </w:tc>
      </w:tr>
      <w:tr w:rsidR="00CC41E7" w:rsidRPr="002F3A26" w14:paraId="63F6D039" w14:textId="77777777" w:rsidTr="00D17B28">
        <w:trPr>
          <w:trHeight w:val="20"/>
        </w:trPr>
        <w:tc>
          <w:tcPr>
            <w:tcW w:w="6908" w:type="dxa"/>
            <w:vAlign w:val="bottom"/>
          </w:tcPr>
          <w:p w14:paraId="41344845" w14:textId="77777777" w:rsidR="00CC41E7" w:rsidRPr="002F3A26" w:rsidRDefault="00CC41E7" w:rsidP="00CC41E7">
            <w:pPr>
              <w:pStyle w:val="TableParagraph"/>
            </w:pPr>
            <w:r w:rsidRPr="002F3A26">
              <w:t xml:space="preserve">  0</w:t>
            </w:r>
          </w:p>
        </w:tc>
        <w:tc>
          <w:tcPr>
            <w:tcW w:w="2065" w:type="dxa"/>
            <w:vAlign w:val="bottom"/>
          </w:tcPr>
          <w:p w14:paraId="0DC5450E" w14:textId="77777777" w:rsidR="00CC41E7" w:rsidRPr="002F3A26" w:rsidRDefault="00CC41E7" w:rsidP="00CC41E7">
            <w:pPr>
              <w:pStyle w:val="TableParagraph"/>
              <w:ind w:right="397"/>
              <w:jc w:val="right"/>
            </w:pPr>
            <w:r w:rsidRPr="002F3A26">
              <w:t>51.3%</w:t>
            </w:r>
          </w:p>
        </w:tc>
      </w:tr>
      <w:tr w:rsidR="00CC41E7" w:rsidRPr="002F3A26" w14:paraId="39B84B52" w14:textId="77777777" w:rsidTr="00D17B28">
        <w:trPr>
          <w:trHeight w:val="20"/>
        </w:trPr>
        <w:tc>
          <w:tcPr>
            <w:tcW w:w="6908" w:type="dxa"/>
            <w:vAlign w:val="bottom"/>
          </w:tcPr>
          <w:p w14:paraId="0E9F0602" w14:textId="77777777" w:rsidR="00CC41E7" w:rsidRPr="002F3A26" w:rsidRDefault="00CC41E7" w:rsidP="00CC41E7">
            <w:pPr>
              <w:pStyle w:val="TableParagraph"/>
            </w:pPr>
            <w:r w:rsidRPr="002F3A26">
              <w:t xml:space="preserve">  1</w:t>
            </w:r>
          </w:p>
        </w:tc>
        <w:tc>
          <w:tcPr>
            <w:tcW w:w="2065" w:type="dxa"/>
            <w:vAlign w:val="bottom"/>
          </w:tcPr>
          <w:p w14:paraId="05B63267" w14:textId="77777777" w:rsidR="00CC41E7" w:rsidRPr="002F3A26" w:rsidRDefault="00CC41E7" w:rsidP="00CC41E7">
            <w:pPr>
              <w:pStyle w:val="TableParagraph"/>
              <w:ind w:right="397"/>
              <w:jc w:val="right"/>
            </w:pPr>
            <w:r w:rsidRPr="002F3A26">
              <w:t>48.7%</w:t>
            </w:r>
          </w:p>
        </w:tc>
      </w:tr>
      <w:tr w:rsidR="00CC41E7" w:rsidRPr="002F3A26" w14:paraId="4A560FD0" w14:textId="77777777" w:rsidTr="00D17B28">
        <w:trPr>
          <w:trHeight w:val="20"/>
        </w:trPr>
        <w:tc>
          <w:tcPr>
            <w:tcW w:w="6908" w:type="dxa"/>
            <w:vAlign w:val="bottom"/>
          </w:tcPr>
          <w:p w14:paraId="6E2E6194" w14:textId="77777777" w:rsidR="00CC41E7" w:rsidRPr="002F3A26" w:rsidRDefault="00CC41E7" w:rsidP="00CC41E7">
            <w:pPr>
              <w:pStyle w:val="TableParagraph"/>
            </w:pPr>
            <w:r w:rsidRPr="002F3A26">
              <w:t>Disability</w:t>
            </w:r>
          </w:p>
        </w:tc>
        <w:tc>
          <w:tcPr>
            <w:tcW w:w="2065" w:type="dxa"/>
          </w:tcPr>
          <w:p w14:paraId="04624DFA" w14:textId="77777777" w:rsidR="00CC41E7" w:rsidRPr="002F3A26" w:rsidRDefault="00CC41E7" w:rsidP="00CC41E7">
            <w:pPr>
              <w:pStyle w:val="TableParagraph"/>
              <w:ind w:right="397"/>
              <w:jc w:val="right"/>
            </w:pPr>
          </w:p>
        </w:tc>
      </w:tr>
      <w:tr w:rsidR="00CC41E7" w:rsidRPr="002F3A26" w14:paraId="6391D75D" w14:textId="77777777" w:rsidTr="00D17B28">
        <w:trPr>
          <w:trHeight w:val="20"/>
        </w:trPr>
        <w:tc>
          <w:tcPr>
            <w:tcW w:w="6908" w:type="dxa"/>
            <w:vAlign w:val="bottom"/>
          </w:tcPr>
          <w:p w14:paraId="62A98DE7" w14:textId="77777777" w:rsidR="00CC41E7" w:rsidRPr="002F3A26" w:rsidRDefault="00CC41E7" w:rsidP="00CC41E7">
            <w:pPr>
              <w:pStyle w:val="TableParagraph"/>
            </w:pPr>
            <w:r w:rsidRPr="002F3A26">
              <w:t xml:space="preserve">  0</w:t>
            </w:r>
          </w:p>
        </w:tc>
        <w:tc>
          <w:tcPr>
            <w:tcW w:w="2065" w:type="dxa"/>
            <w:vAlign w:val="bottom"/>
          </w:tcPr>
          <w:p w14:paraId="1DB5D3FA" w14:textId="77777777" w:rsidR="00CC41E7" w:rsidRPr="002F3A26" w:rsidRDefault="00CC41E7" w:rsidP="00CC41E7">
            <w:pPr>
              <w:pStyle w:val="TableParagraph"/>
              <w:ind w:right="397"/>
              <w:jc w:val="right"/>
            </w:pPr>
            <w:r w:rsidRPr="002F3A26">
              <w:t>97.0%</w:t>
            </w:r>
          </w:p>
        </w:tc>
      </w:tr>
      <w:tr w:rsidR="00CC41E7" w:rsidRPr="002F3A26" w14:paraId="50531282" w14:textId="77777777" w:rsidTr="00D17B28">
        <w:trPr>
          <w:trHeight w:val="20"/>
        </w:trPr>
        <w:tc>
          <w:tcPr>
            <w:tcW w:w="6908" w:type="dxa"/>
            <w:vAlign w:val="bottom"/>
          </w:tcPr>
          <w:p w14:paraId="6CFFF7CE" w14:textId="77777777" w:rsidR="00CC41E7" w:rsidRPr="002F3A26" w:rsidRDefault="00CC41E7" w:rsidP="00CC41E7">
            <w:pPr>
              <w:pStyle w:val="TableParagraph"/>
            </w:pPr>
            <w:r w:rsidRPr="002F3A26">
              <w:t xml:space="preserve">  1</w:t>
            </w:r>
          </w:p>
        </w:tc>
        <w:tc>
          <w:tcPr>
            <w:tcW w:w="2065" w:type="dxa"/>
            <w:vAlign w:val="bottom"/>
          </w:tcPr>
          <w:p w14:paraId="32D27EB1" w14:textId="77777777" w:rsidR="00CC41E7" w:rsidRPr="002F3A26" w:rsidRDefault="00CC41E7" w:rsidP="00CC41E7">
            <w:pPr>
              <w:pStyle w:val="TableParagraph"/>
              <w:ind w:right="397"/>
              <w:jc w:val="right"/>
            </w:pPr>
            <w:r w:rsidRPr="002F3A26">
              <w:t>3.0%</w:t>
            </w:r>
          </w:p>
        </w:tc>
      </w:tr>
      <w:tr w:rsidR="00CC41E7" w:rsidRPr="002F3A26" w14:paraId="1D2B052E" w14:textId="77777777" w:rsidTr="00D17B28">
        <w:trPr>
          <w:trHeight w:val="20"/>
        </w:trPr>
        <w:tc>
          <w:tcPr>
            <w:tcW w:w="6908" w:type="dxa"/>
            <w:vAlign w:val="bottom"/>
          </w:tcPr>
          <w:p w14:paraId="1DF9E6A3" w14:textId="77777777" w:rsidR="00CC41E7" w:rsidRPr="002F3A26" w:rsidRDefault="00CC41E7" w:rsidP="00CC41E7">
            <w:pPr>
              <w:pStyle w:val="TableParagraph"/>
            </w:pPr>
            <w:r w:rsidRPr="002F3A26">
              <w:t>Father: manager/professional</w:t>
            </w:r>
          </w:p>
        </w:tc>
        <w:tc>
          <w:tcPr>
            <w:tcW w:w="2065" w:type="dxa"/>
          </w:tcPr>
          <w:p w14:paraId="1711B3CA" w14:textId="77777777" w:rsidR="00CC41E7" w:rsidRPr="002F3A26" w:rsidRDefault="00CC41E7" w:rsidP="00CC41E7">
            <w:pPr>
              <w:pStyle w:val="TableParagraph"/>
              <w:ind w:right="397"/>
              <w:jc w:val="right"/>
            </w:pPr>
          </w:p>
        </w:tc>
      </w:tr>
      <w:tr w:rsidR="00CC41E7" w:rsidRPr="002F3A26" w14:paraId="1C66594C" w14:textId="77777777" w:rsidTr="00D17B28">
        <w:trPr>
          <w:trHeight w:val="20"/>
        </w:trPr>
        <w:tc>
          <w:tcPr>
            <w:tcW w:w="6908" w:type="dxa"/>
            <w:vAlign w:val="bottom"/>
          </w:tcPr>
          <w:p w14:paraId="1672836A" w14:textId="77777777" w:rsidR="00CC41E7" w:rsidRPr="002F3A26" w:rsidRDefault="00CC41E7" w:rsidP="00CC41E7">
            <w:pPr>
              <w:pStyle w:val="TableParagraph"/>
            </w:pPr>
            <w:r w:rsidRPr="002F3A26">
              <w:t xml:space="preserve">  0</w:t>
            </w:r>
          </w:p>
        </w:tc>
        <w:tc>
          <w:tcPr>
            <w:tcW w:w="2065" w:type="dxa"/>
            <w:vAlign w:val="bottom"/>
          </w:tcPr>
          <w:p w14:paraId="42283AD8" w14:textId="77777777" w:rsidR="00CC41E7" w:rsidRPr="002F3A26" w:rsidRDefault="00CC41E7" w:rsidP="00CC41E7">
            <w:pPr>
              <w:pStyle w:val="TableParagraph"/>
              <w:ind w:right="397"/>
              <w:jc w:val="right"/>
            </w:pPr>
            <w:r w:rsidRPr="002F3A26">
              <w:t>72.4%</w:t>
            </w:r>
          </w:p>
        </w:tc>
      </w:tr>
      <w:tr w:rsidR="00CC41E7" w:rsidRPr="002F3A26" w14:paraId="54F60FB2" w14:textId="77777777" w:rsidTr="00D17B28">
        <w:trPr>
          <w:trHeight w:val="20"/>
        </w:trPr>
        <w:tc>
          <w:tcPr>
            <w:tcW w:w="6908" w:type="dxa"/>
            <w:vAlign w:val="bottom"/>
          </w:tcPr>
          <w:p w14:paraId="1D7C7082" w14:textId="77777777" w:rsidR="00CC41E7" w:rsidRPr="002F3A26" w:rsidRDefault="00CC41E7" w:rsidP="00CC41E7">
            <w:pPr>
              <w:pStyle w:val="TableParagraph"/>
            </w:pPr>
            <w:r w:rsidRPr="002F3A26">
              <w:t xml:space="preserve">  1</w:t>
            </w:r>
          </w:p>
        </w:tc>
        <w:tc>
          <w:tcPr>
            <w:tcW w:w="2065" w:type="dxa"/>
            <w:vAlign w:val="bottom"/>
          </w:tcPr>
          <w:p w14:paraId="49F4F209" w14:textId="77777777" w:rsidR="00CC41E7" w:rsidRPr="002F3A26" w:rsidRDefault="00CC41E7" w:rsidP="00CC41E7">
            <w:pPr>
              <w:pStyle w:val="TableParagraph"/>
              <w:ind w:right="397"/>
              <w:jc w:val="right"/>
            </w:pPr>
            <w:r w:rsidRPr="002F3A26">
              <w:t>27.6%</w:t>
            </w:r>
          </w:p>
        </w:tc>
      </w:tr>
      <w:tr w:rsidR="00CC41E7" w:rsidRPr="002F3A26" w14:paraId="457198DA" w14:textId="77777777" w:rsidTr="00D17B28">
        <w:trPr>
          <w:trHeight w:val="20"/>
        </w:trPr>
        <w:tc>
          <w:tcPr>
            <w:tcW w:w="6908" w:type="dxa"/>
            <w:vAlign w:val="bottom"/>
          </w:tcPr>
          <w:p w14:paraId="7EC503FD" w14:textId="77777777" w:rsidR="00CC41E7" w:rsidRPr="002F3A26" w:rsidRDefault="00CC41E7" w:rsidP="00CC41E7">
            <w:pPr>
              <w:pStyle w:val="TableParagraph"/>
            </w:pPr>
            <w:r w:rsidRPr="002F3A26">
              <w:t>Mother: manager/professional</w:t>
            </w:r>
          </w:p>
        </w:tc>
        <w:tc>
          <w:tcPr>
            <w:tcW w:w="2065" w:type="dxa"/>
          </w:tcPr>
          <w:p w14:paraId="6737096D" w14:textId="77777777" w:rsidR="00CC41E7" w:rsidRPr="002F3A26" w:rsidRDefault="00CC41E7" w:rsidP="00CC41E7">
            <w:pPr>
              <w:pStyle w:val="TableParagraph"/>
              <w:ind w:right="397"/>
              <w:jc w:val="right"/>
            </w:pPr>
          </w:p>
        </w:tc>
      </w:tr>
      <w:tr w:rsidR="00CC41E7" w:rsidRPr="002F3A26" w14:paraId="4F8C4455" w14:textId="77777777" w:rsidTr="00D17B28">
        <w:trPr>
          <w:trHeight w:val="20"/>
        </w:trPr>
        <w:tc>
          <w:tcPr>
            <w:tcW w:w="6908" w:type="dxa"/>
            <w:vAlign w:val="bottom"/>
          </w:tcPr>
          <w:p w14:paraId="3201BF82" w14:textId="77777777" w:rsidR="00CC41E7" w:rsidRPr="002F3A26" w:rsidRDefault="00CC41E7" w:rsidP="00CC41E7">
            <w:pPr>
              <w:pStyle w:val="TableParagraph"/>
            </w:pPr>
            <w:r w:rsidRPr="002F3A26">
              <w:t xml:space="preserve">  0</w:t>
            </w:r>
          </w:p>
        </w:tc>
        <w:tc>
          <w:tcPr>
            <w:tcW w:w="2065" w:type="dxa"/>
            <w:vAlign w:val="bottom"/>
          </w:tcPr>
          <w:p w14:paraId="081CAFAD" w14:textId="77777777" w:rsidR="00CC41E7" w:rsidRPr="002F3A26" w:rsidRDefault="00CC41E7" w:rsidP="00CC41E7">
            <w:pPr>
              <w:pStyle w:val="TableParagraph"/>
              <w:ind w:right="397"/>
              <w:jc w:val="right"/>
            </w:pPr>
            <w:r w:rsidRPr="002F3A26">
              <w:t>74.7%</w:t>
            </w:r>
          </w:p>
        </w:tc>
      </w:tr>
      <w:tr w:rsidR="00CC41E7" w:rsidRPr="002F3A26" w14:paraId="0A173241" w14:textId="77777777" w:rsidTr="00D17B28">
        <w:trPr>
          <w:trHeight w:val="20"/>
        </w:trPr>
        <w:tc>
          <w:tcPr>
            <w:tcW w:w="6908" w:type="dxa"/>
            <w:vAlign w:val="bottom"/>
          </w:tcPr>
          <w:p w14:paraId="53264B77" w14:textId="77777777" w:rsidR="00CC41E7" w:rsidRPr="002F3A26" w:rsidRDefault="00CC41E7" w:rsidP="00CC41E7">
            <w:pPr>
              <w:pStyle w:val="TableParagraph"/>
            </w:pPr>
            <w:r w:rsidRPr="002F3A26">
              <w:t xml:space="preserve">  1</w:t>
            </w:r>
          </w:p>
        </w:tc>
        <w:tc>
          <w:tcPr>
            <w:tcW w:w="2065" w:type="dxa"/>
            <w:vAlign w:val="bottom"/>
          </w:tcPr>
          <w:p w14:paraId="7F2A0538" w14:textId="77777777" w:rsidR="00CC41E7" w:rsidRPr="002F3A26" w:rsidRDefault="00CC41E7" w:rsidP="00CC41E7">
            <w:pPr>
              <w:pStyle w:val="TableParagraph"/>
              <w:ind w:right="397"/>
              <w:jc w:val="right"/>
            </w:pPr>
            <w:r w:rsidRPr="002F3A26">
              <w:t>25.3%</w:t>
            </w:r>
          </w:p>
        </w:tc>
      </w:tr>
      <w:tr w:rsidR="00CC41E7" w:rsidRPr="002F3A26" w14:paraId="3A03484E" w14:textId="77777777" w:rsidTr="00D17B28">
        <w:trPr>
          <w:trHeight w:val="20"/>
        </w:trPr>
        <w:tc>
          <w:tcPr>
            <w:tcW w:w="6908" w:type="dxa"/>
            <w:vAlign w:val="bottom"/>
          </w:tcPr>
          <w:p w14:paraId="36EF934C" w14:textId="77777777" w:rsidR="00CC41E7" w:rsidRPr="002F3A26" w:rsidRDefault="00CC41E7" w:rsidP="00CC41E7">
            <w:pPr>
              <w:pStyle w:val="TableParagraph"/>
            </w:pPr>
            <w:r w:rsidRPr="002F3A26">
              <w:t>Single-parent family</w:t>
            </w:r>
          </w:p>
        </w:tc>
        <w:tc>
          <w:tcPr>
            <w:tcW w:w="2065" w:type="dxa"/>
          </w:tcPr>
          <w:p w14:paraId="1FF2A07B" w14:textId="77777777" w:rsidR="00CC41E7" w:rsidRPr="002F3A26" w:rsidRDefault="00CC41E7" w:rsidP="00CC41E7">
            <w:pPr>
              <w:pStyle w:val="TableParagraph"/>
              <w:ind w:right="397"/>
              <w:jc w:val="right"/>
            </w:pPr>
          </w:p>
        </w:tc>
      </w:tr>
      <w:tr w:rsidR="00CC41E7" w:rsidRPr="002F3A26" w14:paraId="062A3F08" w14:textId="77777777" w:rsidTr="00D17B28">
        <w:trPr>
          <w:trHeight w:val="20"/>
        </w:trPr>
        <w:tc>
          <w:tcPr>
            <w:tcW w:w="6908" w:type="dxa"/>
            <w:vAlign w:val="bottom"/>
          </w:tcPr>
          <w:p w14:paraId="2AF9A5F7" w14:textId="77777777" w:rsidR="00CC41E7" w:rsidRPr="002F3A26" w:rsidRDefault="00CC41E7" w:rsidP="00CC41E7">
            <w:pPr>
              <w:pStyle w:val="TableParagraph"/>
            </w:pPr>
            <w:r w:rsidRPr="002F3A26">
              <w:t xml:space="preserve">  Couple</w:t>
            </w:r>
          </w:p>
        </w:tc>
        <w:tc>
          <w:tcPr>
            <w:tcW w:w="2065" w:type="dxa"/>
            <w:vAlign w:val="bottom"/>
          </w:tcPr>
          <w:p w14:paraId="4660AF19" w14:textId="77777777" w:rsidR="00CC41E7" w:rsidRPr="002F3A26" w:rsidRDefault="00CC41E7" w:rsidP="00CC41E7">
            <w:pPr>
              <w:pStyle w:val="TableParagraph"/>
              <w:ind w:right="397"/>
              <w:jc w:val="right"/>
            </w:pPr>
            <w:r w:rsidRPr="002F3A26">
              <w:t>75.8%</w:t>
            </w:r>
          </w:p>
        </w:tc>
      </w:tr>
      <w:tr w:rsidR="00CC41E7" w:rsidRPr="002F3A26" w14:paraId="73D85AEA" w14:textId="77777777" w:rsidTr="00D17B28">
        <w:trPr>
          <w:trHeight w:val="20"/>
        </w:trPr>
        <w:tc>
          <w:tcPr>
            <w:tcW w:w="6908" w:type="dxa"/>
            <w:vAlign w:val="bottom"/>
          </w:tcPr>
          <w:p w14:paraId="1DC0CD6E" w14:textId="77777777" w:rsidR="00CC41E7" w:rsidRPr="002F3A26" w:rsidRDefault="00CC41E7" w:rsidP="00CC41E7">
            <w:pPr>
              <w:pStyle w:val="TableParagraph"/>
            </w:pPr>
            <w:r w:rsidRPr="002F3A26">
              <w:t xml:space="preserve">  Single parent</w:t>
            </w:r>
          </w:p>
        </w:tc>
        <w:tc>
          <w:tcPr>
            <w:tcW w:w="2065" w:type="dxa"/>
            <w:vAlign w:val="bottom"/>
          </w:tcPr>
          <w:p w14:paraId="0895BF4B" w14:textId="77777777" w:rsidR="00CC41E7" w:rsidRPr="002F3A26" w:rsidRDefault="00CC41E7" w:rsidP="00CC41E7">
            <w:pPr>
              <w:pStyle w:val="TableParagraph"/>
              <w:ind w:right="397"/>
              <w:jc w:val="right"/>
            </w:pPr>
            <w:r w:rsidRPr="002F3A26">
              <w:t>24.2%</w:t>
            </w:r>
          </w:p>
        </w:tc>
      </w:tr>
      <w:tr w:rsidR="00CC41E7" w:rsidRPr="002F3A26" w14:paraId="04E879AF" w14:textId="77777777" w:rsidTr="00D17B28">
        <w:trPr>
          <w:trHeight w:val="20"/>
        </w:trPr>
        <w:tc>
          <w:tcPr>
            <w:tcW w:w="6908" w:type="dxa"/>
            <w:vAlign w:val="bottom"/>
          </w:tcPr>
          <w:p w14:paraId="4E24A577" w14:textId="77777777" w:rsidR="00CC41E7" w:rsidRPr="002F3A26" w:rsidRDefault="00CC41E7" w:rsidP="00CC41E7">
            <w:pPr>
              <w:pStyle w:val="TableParagraph"/>
            </w:pPr>
            <w:r w:rsidRPr="002F3A26">
              <w:t>Family income</w:t>
            </w:r>
          </w:p>
        </w:tc>
        <w:tc>
          <w:tcPr>
            <w:tcW w:w="2065" w:type="dxa"/>
          </w:tcPr>
          <w:p w14:paraId="6EEC93A1" w14:textId="77777777" w:rsidR="00CC41E7" w:rsidRPr="002F3A26" w:rsidRDefault="00CC41E7" w:rsidP="00CC41E7">
            <w:pPr>
              <w:pStyle w:val="TableParagraph"/>
              <w:ind w:right="397"/>
              <w:jc w:val="right"/>
            </w:pPr>
          </w:p>
        </w:tc>
      </w:tr>
      <w:tr w:rsidR="00CC41E7" w:rsidRPr="002F3A26" w14:paraId="52DE9424" w14:textId="77777777" w:rsidTr="00D17B28">
        <w:trPr>
          <w:trHeight w:val="20"/>
        </w:trPr>
        <w:tc>
          <w:tcPr>
            <w:tcW w:w="6908" w:type="dxa"/>
            <w:vAlign w:val="bottom"/>
          </w:tcPr>
          <w:p w14:paraId="6590DB28" w14:textId="77777777" w:rsidR="00CC41E7" w:rsidRPr="002F3A26" w:rsidRDefault="00CC41E7" w:rsidP="00CC41E7">
            <w:pPr>
              <w:pStyle w:val="TableParagraph"/>
            </w:pPr>
            <w:r w:rsidRPr="002F3A26">
              <w:t xml:space="preserve">  $1,249 or less</w:t>
            </w:r>
          </w:p>
        </w:tc>
        <w:tc>
          <w:tcPr>
            <w:tcW w:w="2065" w:type="dxa"/>
            <w:vAlign w:val="bottom"/>
          </w:tcPr>
          <w:p w14:paraId="01346A4C" w14:textId="77777777" w:rsidR="00CC41E7" w:rsidRPr="002F3A26" w:rsidRDefault="00CC41E7" w:rsidP="00CC41E7">
            <w:pPr>
              <w:pStyle w:val="TableParagraph"/>
              <w:ind w:right="397"/>
              <w:jc w:val="right"/>
            </w:pPr>
            <w:r w:rsidRPr="002F3A26">
              <w:t>23.0%</w:t>
            </w:r>
          </w:p>
        </w:tc>
      </w:tr>
      <w:tr w:rsidR="00CC41E7" w:rsidRPr="002F3A26" w14:paraId="394C87DC" w14:textId="77777777" w:rsidTr="00D17B28">
        <w:trPr>
          <w:trHeight w:val="20"/>
        </w:trPr>
        <w:tc>
          <w:tcPr>
            <w:tcW w:w="6908" w:type="dxa"/>
            <w:vAlign w:val="bottom"/>
          </w:tcPr>
          <w:p w14:paraId="3FE5FB33" w14:textId="77777777" w:rsidR="00CC41E7" w:rsidRPr="002F3A26" w:rsidRDefault="00CC41E7" w:rsidP="00CC41E7">
            <w:pPr>
              <w:pStyle w:val="TableParagraph"/>
            </w:pPr>
            <w:r w:rsidRPr="002F3A26">
              <w:t xml:space="preserve">  $1,250-$1,999 </w:t>
            </w:r>
          </w:p>
        </w:tc>
        <w:tc>
          <w:tcPr>
            <w:tcW w:w="2065" w:type="dxa"/>
            <w:vAlign w:val="bottom"/>
          </w:tcPr>
          <w:p w14:paraId="74E2BBD3" w14:textId="77777777" w:rsidR="00CC41E7" w:rsidRPr="002F3A26" w:rsidRDefault="00CC41E7" w:rsidP="00CC41E7">
            <w:pPr>
              <w:pStyle w:val="TableParagraph"/>
              <w:ind w:right="397"/>
              <w:jc w:val="right"/>
            </w:pPr>
            <w:r w:rsidRPr="002F3A26">
              <w:t>18.8%</w:t>
            </w:r>
          </w:p>
        </w:tc>
      </w:tr>
      <w:tr w:rsidR="00CC41E7" w:rsidRPr="002F3A26" w14:paraId="596D728C" w14:textId="77777777" w:rsidTr="00D17B28">
        <w:trPr>
          <w:trHeight w:val="20"/>
        </w:trPr>
        <w:tc>
          <w:tcPr>
            <w:tcW w:w="6908" w:type="dxa"/>
            <w:vAlign w:val="bottom"/>
          </w:tcPr>
          <w:p w14:paraId="4804E6A7" w14:textId="77777777" w:rsidR="00CC41E7" w:rsidRPr="002F3A26" w:rsidRDefault="00CC41E7" w:rsidP="00CC41E7">
            <w:pPr>
              <w:pStyle w:val="TableParagraph"/>
            </w:pPr>
            <w:r w:rsidRPr="002F3A26">
              <w:t xml:space="preserve">  $2,000-$2,999 </w:t>
            </w:r>
          </w:p>
        </w:tc>
        <w:tc>
          <w:tcPr>
            <w:tcW w:w="2065" w:type="dxa"/>
            <w:vAlign w:val="bottom"/>
          </w:tcPr>
          <w:p w14:paraId="7F116570" w14:textId="77777777" w:rsidR="00CC41E7" w:rsidRPr="002F3A26" w:rsidRDefault="00CC41E7" w:rsidP="00CC41E7">
            <w:pPr>
              <w:pStyle w:val="TableParagraph"/>
              <w:ind w:right="397"/>
              <w:jc w:val="right"/>
            </w:pPr>
            <w:r w:rsidRPr="002F3A26">
              <w:t>21.0%</w:t>
            </w:r>
          </w:p>
        </w:tc>
      </w:tr>
      <w:tr w:rsidR="00CC41E7" w:rsidRPr="002F3A26" w14:paraId="6E867312" w14:textId="77777777" w:rsidTr="00D17B28">
        <w:trPr>
          <w:trHeight w:val="20"/>
        </w:trPr>
        <w:tc>
          <w:tcPr>
            <w:tcW w:w="6908" w:type="dxa"/>
            <w:vAlign w:val="bottom"/>
          </w:tcPr>
          <w:p w14:paraId="56D03E3F" w14:textId="77777777" w:rsidR="00CC41E7" w:rsidRPr="002F3A26" w:rsidRDefault="00CC41E7" w:rsidP="00CC41E7">
            <w:pPr>
              <w:pStyle w:val="TableParagraph"/>
            </w:pPr>
            <w:r w:rsidRPr="002F3A26">
              <w:t xml:space="preserve">  $3,000 or more </w:t>
            </w:r>
          </w:p>
        </w:tc>
        <w:tc>
          <w:tcPr>
            <w:tcW w:w="2065" w:type="dxa"/>
            <w:vAlign w:val="bottom"/>
          </w:tcPr>
          <w:p w14:paraId="0DF0EB7B" w14:textId="77777777" w:rsidR="00CC41E7" w:rsidRPr="002F3A26" w:rsidRDefault="00CC41E7" w:rsidP="00CC41E7">
            <w:pPr>
              <w:pStyle w:val="TableParagraph"/>
              <w:ind w:right="397"/>
              <w:jc w:val="right"/>
            </w:pPr>
            <w:r w:rsidRPr="002F3A26">
              <w:t>23.4%</w:t>
            </w:r>
          </w:p>
        </w:tc>
      </w:tr>
      <w:tr w:rsidR="00CC41E7" w:rsidRPr="002F3A26" w14:paraId="0875E349" w14:textId="77777777" w:rsidTr="00D17B28">
        <w:trPr>
          <w:trHeight w:val="20"/>
        </w:trPr>
        <w:tc>
          <w:tcPr>
            <w:tcW w:w="6908" w:type="dxa"/>
            <w:vAlign w:val="bottom"/>
          </w:tcPr>
          <w:p w14:paraId="36F96BE1" w14:textId="77777777" w:rsidR="00CC41E7" w:rsidRPr="002F3A26" w:rsidRDefault="00CC41E7" w:rsidP="00CC41E7">
            <w:pPr>
              <w:pStyle w:val="TableParagraph"/>
              <w:snapToGrid w:val="0"/>
            </w:pPr>
            <w:r w:rsidRPr="002F3A26">
              <w:t xml:space="preserve">  Partial or no information</w:t>
            </w:r>
          </w:p>
        </w:tc>
        <w:tc>
          <w:tcPr>
            <w:tcW w:w="2065" w:type="dxa"/>
            <w:vAlign w:val="bottom"/>
          </w:tcPr>
          <w:p w14:paraId="19AC77A0" w14:textId="77777777" w:rsidR="00CC41E7" w:rsidRPr="002F3A26" w:rsidRDefault="00CC41E7" w:rsidP="00CC41E7">
            <w:pPr>
              <w:pStyle w:val="TableParagraph"/>
              <w:ind w:right="397"/>
              <w:jc w:val="right"/>
            </w:pPr>
            <w:r w:rsidRPr="002F3A26">
              <w:t>13.8%</w:t>
            </w:r>
          </w:p>
        </w:tc>
      </w:tr>
    </w:tbl>
    <w:p w14:paraId="450B7703" w14:textId="347DC68C" w:rsidR="00500DF0" w:rsidRDefault="00500DF0" w:rsidP="00500DF0">
      <w:pPr>
        <w:pStyle w:val="Notes"/>
      </w:pPr>
      <w:bookmarkStart w:id="83" w:name="_Ref187214961"/>
      <w:bookmarkStart w:id="84" w:name="_Ref187214881"/>
      <w:r w:rsidRPr="002F3A26">
        <w:t>Notes: Data from PLIDA.</w:t>
      </w:r>
      <w:r w:rsidR="00020A2C">
        <w:t xml:space="preserve"> </w:t>
      </w:r>
      <w:r w:rsidR="00020A2C" w:rsidRPr="002F3A26">
        <w:t>SES: socio</w:t>
      </w:r>
      <w:r w:rsidR="00BB7379">
        <w:t>-</w:t>
      </w:r>
      <w:r w:rsidR="00020A2C" w:rsidRPr="002F3A26">
        <w:t xml:space="preserve">economic status. NESB: Non-English Speaking Background. </w:t>
      </w:r>
      <w:r w:rsidR="00020A2C">
        <w:t>RR: regional or remote.</w:t>
      </w:r>
    </w:p>
    <w:p w14:paraId="6E7FDD9A" w14:textId="77777777" w:rsidR="00CA6B25" w:rsidRDefault="00CA6B25">
      <w:pPr>
        <w:spacing w:line="259" w:lineRule="auto"/>
        <w:rPr>
          <w:i/>
          <w:iCs/>
          <w:color w:val="351C26" w:themeColor="text2"/>
          <w:sz w:val="18"/>
          <w:szCs w:val="18"/>
        </w:rPr>
      </w:pPr>
      <w:bookmarkStart w:id="85" w:name="_Ref191462263"/>
      <w:r>
        <w:br w:type="page"/>
      </w:r>
    </w:p>
    <w:p w14:paraId="050DBF54" w14:textId="5935AE98" w:rsidR="00500DF0" w:rsidRPr="00500DF0" w:rsidRDefault="00500DF0" w:rsidP="00D23949">
      <w:pPr>
        <w:pStyle w:val="Caption"/>
      </w:pPr>
      <w:r>
        <w:lastRenderedPageBreak/>
        <w:t xml:space="preserve">Table </w:t>
      </w:r>
      <w:fldSimple w:instr=" STYLEREF 7 \s ">
        <w:r w:rsidR="00627572">
          <w:rPr>
            <w:noProof/>
          </w:rPr>
          <w:t>B</w:t>
        </w:r>
      </w:fldSimple>
      <w:r>
        <w:noBreakHyphen/>
      </w:r>
      <w:fldSimple w:instr=" SEQ Table_ap \* ARABIC \s 7 ">
        <w:r w:rsidR="00627572">
          <w:rPr>
            <w:noProof/>
          </w:rPr>
          <w:t>2</w:t>
        </w:r>
      </w:fldSimple>
      <w:bookmarkEnd w:id="85"/>
      <w:r w:rsidR="006D4F66">
        <w:rPr>
          <w:noProof/>
        </w:rPr>
        <w:t>:</w:t>
      </w:r>
      <w:r>
        <w:t xml:space="preserve"> M</w:t>
      </w:r>
      <w:r w:rsidRPr="002F3A26">
        <w:t>odel coefficients (odds ratios) from logistic regression models of enrolment in a bachelor’s level course.</w:t>
      </w:r>
    </w:p>
    <w:tbl>
      <w:tblPr>
        <w:tblStyle w:val="ACSEStable"/>
        <w:tblW w:w="0" w:type="auto"/>
        <w:tblCellMar>
          <w:top w:w="28" w:type="dxa"/>
          <w:left w:w="68" w:type="dxa"/>
          <w:bottom w:w="28" w:type="dxa"/>
          <w:right w:w="68" w:type="dxa"/>
        </w:tblCellMar>
        <w:tblLook w:val="04A0" w:firstRow="1" w:lastRow="0" w:firstColumn="1" w:lastColumn="0" w:noHBand="0" w:noVBand="1"/>
      </w:tblPr>
      <w:tblGrid>
        <w:gridCol w:w="5131"/>
        <w:gridCol w:w="1140"/>
        <w:gridCol w:w="1283"/>
        <w:gridCol w:w="1333"/>
      </w:tblGrid>
      <w:tr w:rsidR="00A56952" w:rsidRPr="002F3A26" w14:paraId="4DC840CB" w14:textId="77777777" w:rsidTr="00D17B28">
        <w:trPr>
          <w:cnfStyle w:val="100000000000" w:firstRow="1" w:lastRow="0" w:firstColumn="0" w:lastColumn="0" w:oddVBand="0" w:evenVBand="0" w:oddHBand="0" w:evenHBand="0" w:firstRowFirstColumn="0" w:firstRowLastColumn="0" w:lastRowFirstColumn="0" w:lastRowLastColumn="0"/>
          <w:trHeight w:val="20"/>
        </w:trPr>
        <w:tc>
          <w:tcPr>
            <w:tcW w:w="5131" w:type="dxa"/>
          </w:tcPr>
          <w:p w14:paraId="79AE8480" w14:textId="77777777" w:rsidR="00A56952" w:rsidRPr="002F3A26" w:rsidRDefault="00A56952" w:rsidP="00A408CA">
            <w:pPr>
              <w:pStyle w:val="TOCHeading"/>
              <w:rPr>
                <w:rFonts w:cs="Arial"/>
                <w:b/>
                <w:bCs/>
              </w:rPr>
            </w:pPr>
            <w:r w:rsidRPr="002F3A26">
              <w:rPr>
                <w:rFonts w:cs="Arial"/>
                <w:b/>
                <w:bCs/>
              </w:rPr>
              <w:t>Model number</w:t>
            </w:r>
          </w:p>
        </w:tc>
        <w:tc>
          <w:tcPr>
            <w:tcW w:w="1140" w:type="dxa"/>
          </w:tcPr>
          <w:p w14:paraId="371E27CC" w14:textId="77777777" w:rsidR="00A56952" w:rsidRPr="002F3A26" w:rsidRDefault="00A56952" w:rsidP="00A408CA">
            <w:pPr>
              <w:pStyle w:val="TOCHeading"/>
              <w:jc w:val="center"/>
              <w:rPr>
                <w:rFonts w:cs="Arial"/>
                <w:b/>
                <w:bCs/>
              </w:rPr>
            </w:pPr>
            <w:r w:rsidRPr="002F3A26">
              <w:rPr>
                <w:rFonts w:cs="Arial"/>
                <w:b/>
                <w:bCs/>
              </w:rPr>
              <w:t>I</w:t>
            </w:r>
          </w:p>
        </w:tc>
        <w:tc>
          <w:tcPr>
            <w:tcW w:w="1283" w:type="dxa"/>
          </w:tcPr>
          <w:p w14:paraId="1AE99C59" w14:textId="77777777" w:rsidR="00A56952" w:rsidRPr="002F3A26" w:rsidRDefault="00A56952" w:rsidP="00A408CA">
            <w:pPr>
              <w:pStyle w:val="TOCHeading"/>
              <w:jc w:val="center"/>
              <w:rPr>
                <w:rFonts w:cs="Arial"/>
                <w:b/>
                <w:bCs/>
              </w:rPr>
            </w:pPr>
            <w:r w:rsidRPr="002F3A26">
              <w:rPr>
                <w:rFonts w:cs="Arial"/>
                <w:b/>
                <w:bCs/>
              </w:rPr>
              <w:t>II</w:t>
            </w:r>
          </w:p>
        </w:tc>
        <w:tc>
          <w:tcPr>
            <w:tcW w:w="1333" w:type="dxa"/>
          </w:tcPr>
          <w:p w14:paraId="0F1FB0A4" w14:textId="77777777" w:rsidR="00A56952" w:rsidRPr="002F3A26" w:rsidRDefault="00A56952" w:rsidP="00A408CA">
            <w:pPr>
              <w:pStyle w:val="TOCHeading"/>
              <w:jc w:val="center"/>
              <w:rPr>
                <w:rFonts w:cs="Arial"/>
                <w:b/>
                <w:bCs/>
              </w:rPr>
            </w:pPr>
            <w:r w:rsidRPr="002F3A26">
              <w:rPr>
                <w:rFonts w:cs="Arial"/>
                <w:b/>
                <w:bCs/>
              </w:rPr>
              <w:t>III</w:t>
            </w:r>
          </w:p>
        </w:tc>
      </w:tr>
      <w:tr w:rsidR="00A56952" w:rsidRPr="002F3A26" w14:paraId="25972EE1" w14:textId="77777777" w:rsidTr="00D17B28">
        <w:trPr>
          <w:trHeight w:val="20"/>
        </w:trPr>
        <w:tc>
          <w:tcPr>
            <w:tcW w:w="5131" w:type="dxa"/>
            <w:shd w:val="clear" w:color="auto" w:fill="78DED9" w:themeFill="accent1"/>
          </w:tcPr>
          <w:p w14:paraId="166A94F3" w14:textId="77777777" w:rsidR="00A56952" w:rsidRPr="002F3A26" w:rsidRDefault="00A56952" w:rsidP="00A408CA">
            <w:pPr>
              <w:pStyle w:val="TOCHeading"/>
            </w:pPr>
            <w:r w:rsidRPr="002F3A26">
              <w:t>Model title</w:t>
            </w:r>
          </w:p>
        </w:tc>
        <w:tc>
          <w:tcPr>
            <w:tcW w:w="1140" w:type="dxa"/>
            <w:shd w:val="clear" w:color="auto" w:fill="78DED9" w:themeFill="accent1"/>
          </w:tcPr>
          <w:p w14:paraId="11E0E2A8" w14:textId="77777777" w:rsidR="00A56952" w:rsidRPr="002F3A26" w:rsidRDefault="00A56952" w:rsidP="00A408CA">
            <w:pPr>
              <w:pStyle w:val="TOCHeading"/>
              <w:jc w:val="center"/>
            </w:pPr>
            <w:r w:rsidRPr="002F3A26">
              <w:t>FiF</w:t>
            </w:r>
          </w:p>
        </w:tc>
        <w:tc>
          <w:tcPr>
            <w:tcW w:w="1283" w:type="dxa"/>
            <w:shd w:val="clear" w:color="auto" w:fill="78DED9" w:themeFill="accent1"/>
          </w:tcPr>
          <w:p w14:paraId="7B63F93B" w14:textId="77777777" w:rsidR="00A56952" w:rsidRPr="002F3A26" w:rsidRDefault="00A56952" w:rsidP="00A408CA">
            <w:pPr>
              <w:pStyle w:val="TOCHeading"/>
              <w:jc w:val="center"/>
            </w:pPr>
            <w:r w:rsidRPr="002F3A26">
              <w:t>FiF+EG</w:t>
            </w:r>
          </w:p>
        </w:tc>
        <w:tc>
          <w:tcPr>
            <w:tcW w:w="1333" w:type="dxa"/>
            <w:shd w:val="clear" w:color="auto" w:fill="78DED9" w:themeFill="accent1"/>
          </w:tcPr>
          <w:p w14:paraId="455D4119" w14:textId="77777777" w:rsidR="00A56952" w:rsidRPr="002F3A26" w:rsidRDefault="00A56952" w:rsidP="00A408CA">
            <w:pPr>
              <w:pStyle w:val="TOCHeading"/>
              <w:jc w:val="center"/>
            </w:pPr>
            <w:r w:rsidRPr="002F3A26">
              <w:t>FiFxEG</w:t>
            </w:r>
          </w:p>
        </w:tc>
      </w:tr>
      <w:tr w:rsidR="00A56952" w:rsidRPr="002F3A26" w14:paraId="32CD9F5C" w14:textId="77777777" w:rsidTr="00D17B28">
        <w:trPr>
          <w:trHeight w:val="20"/>
        </w:trPr>
        <w:tc>
          <w:tcPr>
            <w:tcW w:w="5131" w:type="dxa"/>
          </w:tcPr>
          <w:p w14:paraId="33EE3C90" w14:textId="6BCF3C14" w:rsidR="00A56952" w:rsidRPr="002F3A26" w:rsidRDefault="00A56952" w:rsidP="00CC41E7">
            <w:pPr>
              <w:pStyle w:val="TableParagraph"/>
              <w:snapToGrid w:val="0"/>
            </w:pPr>
            <w:r w:rsidRPr="002F3A26">
              <w:t>FiF</w:t>
            </w:r>
          </w:p>
        </w:tc>
        <w:tc>
          <w:tcPr>
            <w:tcW w:w="1140" w:type="dxa"/>
          </w:tcPr>
          <w:p w14:paraId="55963D73" w14:textId="77777777" w:rsidR="00A56952" w:rsidRPr="002F3A26" w:rsidRDefault="00A56952" w:rsidP="00CC41E7">
            <w:pPr>
              <w:pStyle w:val="TableParagraph"/>
              <w:snapToGrid w:val="0"/>
              <w:ind w:left="170"/>
            </w:pPr>
            <w:r w:rsidRPr="002F3A26">
              <w:t>0.33</w:t>
            </w:r>
            <w:r w:rsidRPr="002F3A26">
              <w:rPr>
                <w:vertAlign w:val="superscript"/>
              </w:rPr>
              <w:t>***</w:t>
            </w:r>
          </w:p>
        </w:tc>
        <w:tc>
          <w:tcPr>
            <w:tcW w:w="1283" w:type="dxa"/>
          </w:tcPr>
          <w:p w14:paraId="7FC03625" w14:textId="77777777" w:rsidR="00A56952" w:rsidRPr="002F3A26" w:rsidRDefault="00A56952" w:rsidP="00CC41E7">
            <w:pPr>
              <w:pStyle w:val="TableParagraph"/>
              <w:snapToGrid w:val="0"/>
              <w:ind w:left="170"/>
            </w:pPr>
            <w:r w:rsidRPr="002F3A26">
              <w:t>0.35</w:t>
            </w:r>
            <w:r w:rsidRPr="002F3A26">
              <w:rPr>
                <w:vertAlign w:val="superscript"/>
              </w:rPr>
              <w:t>***</w:t>
            </w:r>
          </w:p>
        </w:tc>
        <w:tc>
          <w:tcPr>
            <w:tcW w:w="1333" w:type="dxa"/>
          </w:tcPr>
          <w:p w14:paraId="0BEA33B0" w14:textId="77777777" w:rsidR="00A56952" w:rsidRPr="002F3A26" w:rsidRDefault="00A56952" w:rsidP="00CC41E7">
            <w:pPr>
              <w:pStyle w:val="TableParagraph"/>
              <w:snapToGrid w:val="0"/>
              <w:ind w:left="170"/>
            </w:pPr>
            <w:r w:rsidRPr="002F3A26">
              <w:t>0.33</w:t>
            </w:r>
            <w:r w:rsidRPr="002F3A26">
              <w:rPr>
                <w:vertAlign w:val="superscript"/>
              </w:rPr>
              <w:t>***</w:t>
            </w:r>
          </w:p>
        </w:tc>
      </w:tr>
      <w:tr w:rsidR="00A56952" w:rsidRPr="002F3A26" w14:paraId="6B8300F6" w14:textId="77777777" w:rsidTr="00D17B28">
        <w:trPr>
          <w:trHeight w:val="20"/>
        </w:trPr>
        <w:tc>
          <w:tcPr>
            <w:tcW w:w="5131" w:type="dxa"/>
          </w:tcPr>
          <w:p w14:paraId="15675DA6" w14:textId="35EAAD73" w:rsidR="00A56952" w:rsidRPr="002F3A26" w:rsidRDefault="00A56952" w:rsidP="00CC41E7">
            <w:pPr>
              <w:pStyle w:val="TableParagraph"/>
              <w:snapToGrid w:val="0"/>
              <w:rPr>
                <w:rFonts w:cs="Arial"/>
              </w:rPr>
            </w:pPr>
            <w:r w:rsidRPr="002F3A26">
              <w:t>Father: not manager/professional</w:t>
            </w:r>
          </w:p>
        </w:tc>
        <w:tc>
          <w:tcPr>
            <w:tcW w:w="1140" w:type="dxa"/>
          </w:tcPr>
          <w:p w14:paraId="398058E3" w14:textId="77777777" w:rsidR="00A56952" w:rsidRPr="002F3A26" w:rsidRDefault="00A56952" w:rsidP="00CC41E7">
            <w:pPr>
              <w:pStyle w:val="TableParagraph"/>
              <w:snapToGrid w:val="0"/>
              <w:ind w:left="170"/>
              <w:rPr>
                <w:rFonts w:cs="Arial"/>
              </w:rPr>
            </w:pPr>
            <w:r w:rsidRPr="002F3A26">
              <w:t>0.72</w:t>
            </w:r>
            <w:r w:rsidRPr="002F3A26">
              <w:rPr>
                <w:vertAlign w:val="superscript"/>
              </w:rPr>
              <w:t>***</w:t>
            </w:r>
          </w:p>
        </w:tc>
        <w:tc>
          <w:tcPr>
            <w:tcW w:w="1283" w:type="dxa"/>
          </w:tcPr>
          <w:p w14:paraId="0BDEBD0E" w14:textId="77777777" w:rsidR="00A56952" w:rsidRPr="002F3A26" w:rsidRDefault="00A56952" w:rsidP="00CC41E7">
            <w:pPr>
              <w:pStyle w:val="TableParagraph"/>
              <w:snapToGrid w:val="0"/>
              <w:ind w:left="170"/>
              <w:rPr>
                <w:rFonts w:cs="Arial"/>
              </w:rPr>
            </w:pPr>
            <w:r w:rsidRPr="002F3A26">
              <w:t>0.73</w:t>
            </w:r>
            <w:r w:rsidRPr="002F3A26">
              <w:rPr>
                <w:vertAlign w:val="superscript"/>
              </w:rPr>
              <w:t>***</w:t>
            </w:r>
          </w:p>
        </w:tc>
        <w:tc>
          <w:tcPr>
            <w:tcW w:w="1333" w:type="dxa"/>
          </w:tcPr>
          <w:p w14:paraId="7B078B96" w14:textId="77777777" w:rsidR="00A56952" w:rsidRPr="002F3A26" w:rsidRDefault="00A56952" w:rsidP="00CC41E7">
            <w:pPr>
              <w:pStyle w:val="TableParagraph"/>
              <w:snapToGrid w:val="0"/>
              <w:ind w:left="170"/>
              <w:rPr>
                <w:rFonts w:cs="Arial"/>
              </w:rPr>
            </w:pPr>
            <w:r w:rsidRPr="002F3A26">
              <w:t>0.73</w:t>
            </w:r>
            <w:r w:rsidRPr="002F3A26">
              <w:rPr>
                <w:vertAlign w:val="superscript"/>
              </w:rPr>
              <w:t>***</w:t>
            </w:r>
          </w:p>
        </w:tc>
      </w:tr>
      <w:tr w:rsidR="00A56952" w:rsidRPr="002F3A26" w14:paraId="70038C6C" w14:textId="77777777" w:rsidTr="00D17B28">
        <w:trPr>
          <w:trHeight w:val="20"/>
        </w:trPr>
        <w:tc>
          <w:tcPr>
            <w:tcW w:w="5131" w:type="dxa"/>
          </w:tcPr>
          <w:p w14:paraId="1BC8C6CB" w14:textId="14452AEE" w:rsidR="00A56952" w:rsidRPr="002F3A26" w:rsidRDefault="00A56952" w:rsidP="00CC41E7">
            <w:pPr>
              <w:pStyle w:val="TableParagraph"/>
              <w:snapToGrid w:val="0"/>
              <w:rPr>
                <w:rFonts w:cs="Arial"/>
              </w:rPr>
            </w:pPr>
            <w:r w:rsidRPr="002F3A26">
              <w:t>Mother: not manager/professional</w:t>
            </w:r>
          </w:p>
        </w:tc>
        <w:tc>
          <w:tcPr>
            <w:tcW w:w="1140" w:type="dxa"/>
          </w:tcPr>
          <w:p w14:paraId="007F231B" w14:textId="77777777" w:rsidR="00A56952" w:rsidRPr="002F3A26" w:rsidRDefault="00A56952" w:rsidP="00CC41E7">
            <w:pPr>
              <w:pStyle w:val="TableParagraph"/>
              <w:snapToGrid w:val="0"/>
              <w:ind w:left="170"/>
              <w:rPr>
                <w:rFonts w:cs="Arial"/>
              </w:rPr>
            </w:pPr>
            <w:r w:rsidRPr="002F3A26">
              <w:t>0.89</w:t>
            </w:r>
            <w:r w:rsidRPr="002F3A26">
              <w:rPr>
                <w:vertAlign w:val="superscript"/>
              </w:rPr>
              <w:t>***</w:t>
            </w:r>
          </w:p>
        </w:tc>
        <w:tc>
          <w:tcPr>
            <w:tcW w:w="1283" w:type="dxa"/>
          </w:tcPr>
          <w:p w14:paraId="28726F9E" w14:textId="77777777" w:rsidR="00A56952" w:rsidRPr="002F3A26" w:rsidRDefault="00A56952" w:rsidP="00CC41E7">
            <w:pPr>
              <w:pStyle w:val="TableParagraph"/>
              <w:snapToGrid w:val="0"/>
              <w:ind w:left="170"/>
              <w:rPr>
                <w:rFonts w:cs="Arial"/>
              </w:rPr>
            </w:pPr>
            <w:r w:rsidRPr="002F3A26">
              <w:t>0.86</w:t>
            </w:r>
            <w:r w:rsidRPr="002F3A26">
              <w:rPr>
                <w:vertAlign w:val="superscript"/>
              </w:rPr>
              <w:t>***</w:t>
            </w:r>
          </w:p>
        </w:tc>
        <w:tc>
          <w:tcPr>
            <w:tcW w:w="1333" w:type="dxa"/>
          </w:tcPr>
          <w:p w14:paraId="4930CBB4" w14:textId="77777777" w:rsidR="00A56952" w:rsidRPr="002F3A26" w:rsidRDefault="00A56952" w:rsidP="00CC41E7">
            <w:pPr>
              <w:pStyle w:val="TableParagraph"/>
              <w:snapToGrid w:val="0"/>
              <w:ind w:left="170"/>
              <w:rPr>
                <w:rFonts w:cs="Arial"/>
              </w:rPr>
            </w:pPr>
            <w:r w:rsidRPr="002F3A26">
              <w:t>0.86</w:t>
            </w:r>
            <w:r w:rsidRPr="002F3A26">
              <w:rPr>
                <w:vertAlign w:val="superscript"/>
              </w:rPr>
              <w:t>***</w:t>
            </w:r>
          </w:p>
        </w:tc>
      </w:tr>
      <w:tr w:rsidR="00A56952" w:rsidRPr="002F3A26" w14:paraId="2ACF2444" w14:textId="77777777" w:rsidTr="00D17B28">
        <w:trPr>
          <w:trHeight w:val="20"/>
        </w:trPr>
        <w:tc>
          <w:tcPr>
            <w:tcW w:w="5131" w:type="dxa"/>
          </w:tcPr>
          <w:p w14:paraId="532EED2A" w14:textId="7AB2626A" w:rsidR="00A56952" w:rsidRPr="002F3A26" w:rsidRDefault="00A56952" w:rsidP="00CC41E7">
            <w:pPr>
              <w:pStyle w:val="TableParagraph"/>
              <w:snapToGrid w:val="0"/>
              <w:rPr>
                <w:rFonts w:cs="Arial"/>
              </w:rPr>
            </w:pPr>
            <w:r w:rsidRPr="002F3A26">
              <w:t>Single parent</w:t>
            </w:r>
          </w:p>
        </w:tc>
        <w:tc>
          <w:tcPr>
            <w:tcW w:w="1140" w:type="dxa"/>
          </w:tcPr>
          <w:p w14:paraId="4A4D4DAE" w14:textId="77777777" w:rsidR="00A56952" w:rsidRPr="002F3A26" w:rsidRDefault="00A56952" w:rsidP="00CC41E7">
            <w:pPr>
              <w:pStyle w:val="TableParagraph"/>
              <w:snapToGrid w:val="0"/>
              <w:ind w:left="170"/>
              <w:rPr>
                <w:rFonts w:cs="Arial"/>
              </w:rPr>
            </w:pPr>
            <w:r w:rsidRPr="002F3A26">
              <w:t>0.68</w:t>
            </w:r>
            <w:r w:rsidRPr="002F3A26">
              <w:rPr>
                <w:vertAlign w:val="superscript"/>
              </w:rPr>
              <w:t>***</w:t>
            </w:r>
          </w:p>
        </w:tc>
        <w:tc>
          <w:tcPr>
            <w:tcW w:w="1283" w:type="dxa"/>
          </w:tcPr>
          <w:p w14:paraId="12A9FBDB" w14:textId="77777777" w:rsidR="00A56952" w:rsidRPr="002F3A26" w:rsidRDefault="00A56952" w:rsidP="00CC41E7">
            <w:pPr>
              <w:pStyle w:val="TableParagraph"/>
              <w:snapToGrid w:val="0"/>
              <w:ind w:left="170"/>
              <w:rPr>
                <w:rFonts w:cs="Arial"/>
              </w:rPr>
            </w:pPr>
            <w:r w:rsidRPr="002F3A26">
              <w:t>0.68</w:t>
            </w:r>
            <w:r w:rsidRPr="002F3A26">
              <w:rPr>
                <w:vertAlign w:val="superscript"/>
              </w:rPr>
              <w:t>***</w:t>
            </w:r>
          </w:p>
        </w:tc>
        <w:tc>
          <w:tcPr>
            <w:tcW w:w="1333" w:type="dxa"/>
          </w:tcPr>
          <w:p w14:paraId="1E2FCCC3" w14:textId="77777777" w:rsidR="00A56952" w:rsidRPr="002F3A26" w:rsidRDefault="00A56952" w:rsidP="00CC41E7">
            <w:pPr>
              <w:pStyle w:val="TableParagraph"/>
              <w:snapToGrid w:val="0"/>
              <w:ind w:left="170"/>
              <w:rPr>
                <w:rFonts w:cs="Arial"/>
              </w:rPr>
            </w:pPr>
            <w:r w:rsidRPr="002F3A26">
              <w:t>0.68</w:t>
            </w:r>
            <w:r w:rsidRPr="002F3A26">
              <w:rPr>
                <w:vertAlign w:val="superscript"/>
              </w:rPr>
              <w:t>***</w:t>
            </w:r>
          </w:p>
        </w:tc>
      </w:tr>
      <w:tr w:rsidR="00A56952" w:rsidRPr="002F3A26" w14:paraId="26066A01" w14:textId="77777777" w:rsidTr="00D17B28">
        <w:trPr>
          <w:trHeight w:val="20"/>
        </w:trPr>
        <w:tc>
          <w:tcPr>
            <w:tcW w:w="5131" w:type="dxa"/>
          </w:tcPr>
          <w:p w14:paraId="70CE0700" w14:textId="28768255" w:rsidR="00A56952" w:rsidRPr="002F3A26" w:rsidRDefault="00A56952" w:rsidP="00CC41E7">
            <w:pPr>
              <w:pStyle w:val="TableParagraph"/>
              <w:snapToGrid w:val="0"/>
            </w:pPr>
            <w:r w:rsidRPr="002F3A26">
              <w:t>Family income (ref. $3,000 or more)</w:t>
            </w:r>
          </w:p>
        </w:tc>
        <w:tc>
          <w:tcPr>
            <w:tcW w:w="1140" w:type="dxa"/>
          </w:tcPr>
          <w:p w14:paraId="2AEF782C" w14:textId="77777777" w:rsidR="00A56952" w:rsidRPr="002F3A26" w:rsidRDefault="00A56952" w:rsidP="00CC41E7">
            <w:pPr>
              <w:pStyle w:val="TableParagraph"/>
              <w:snapToGrid w:val="0"/>
              <w:ind w:left="170"/>
            </w:pPr>
          </w:p>
        </w:tc>
        <w:tc>
          <w:tcPr>
            <w:tcW w:w="1283" w:type="dxa"/>
          </w:tcPr>
          <w:p w14:paraId="3FE1FC7D" w14:textId="77777777" w:rsidR="00A56952" w:rsidRPr="002F3A26" w:rsidRDefault="00A56952" w:rsidP="00CC41E7">
            <w:pPr>
              <w:pStyle w:val="TableParagraph"/>
              <w:snapToGrid w:val="0"/>
              <w:ind w:left="170"/>
            </w:pPr>
          </w:p>
        </w:tc>
        <w:tc>
          <w:tcPr>
            <w:tcW w:w="1333" w:type="dxa"/>
          </w:tcPr>
          <w:p w14:paraId="5BA00C58" w14:textId="77777777" w:rsidR="00A56952" w:rsidRPr="002F3A26" w:rsidRDefault="00A56952" w:rsidP="00CC41E7">
            <w:pPr>
              <w:pStyle w:val="TableParagraph"/>
              <w:snapToGrid w:val="0"/>
              <w:ind w:left="170"/>
            </w:pPr>
          </w:p>
        </w:tc>
      </w:tr>
      <w:tr w:rsidR="00A56952" w:rsidRPr="002F3A26" w14:paraId="3E2FA019" w14:textId="77777777" w:rsidTr="00D17B28">
        <w:trPr>
          <w:trHeight w:val="20"/>
        </w:trPr>
        <w:tc>
          <w:tcPr>
            <w:tcW w:w="5131" w:type="dxa"/>
          </w:tcPr>
          <w:p w14:paraId="67AF0CDB" w14:textId="7D59DB92" w:rsidR="00A56952" w:rsidRPr="002F3A26" w:rsidRDefault="00A56952" w:rsidP="00CC41E7">
            <w:pPr>
              <w:pStyle w:val="TableParagraph"/>
              <w:snapToGrid w:val="0"/>
              <w:rPr>
                <w:rFonts w:cs="Arial"/>
              </w:rPr>
            </w:pPr>
            <w:r w:rsidRPr="002F3A26">
              <w:t>$1,249 or less</w:t>
            </w:r>
          </w:p>
        </w:tc>
        <w:tc>
          <w:tcPr>
            <w:tcW w:w="1140" w:type="dxa"/>
          </w:tcPr>
          <w:p w14:paraId="418D2AB0" w14:textId="77777777" w:rsidR="00A56952" w:rsidRPr="002F3A26" w:rsidRDefault="00A56952" w:rsidP="00CC41E7">
            <w:pPr>
              <w:pStyle w:val="TableParagraph"/>
              <w:snapToGrid w:val="0"/>
              <w:ind w:left="170"/>
              <w:rPr>
                <w:rFonts w:cs="Arial"/>
              </w:rPr>
            </w:pPr>
            <w:r w:rsidRPr="002F3A26">
              <w:t>0.85</w:t>
            </w:r>
            <w:r w:rsidRPr="002F3A26">
              <w:rPr>
                <w:vertAlign w:val="superscript"/>
              </w:rPr>
              <w:t>***</w:t>
            </w:r>
          </w:p>
        </w:tc>
        <w:tc>
          <w:tcPr>
            <w:tcW w:w="1283" w:type="dxa"/>
          </w:tcPr>
          <w:p w14:paraId="5FAB88D0" w14:textId="77777777" w:rsidR="00A56952" w:rsidRPr="002F3A26" w:rsidRDefault="00A56952" w:rsidP="00CC41E7">
            <w:pPr>
              <w:pStyle w:val="TableParagraph"/>
              <w:snapToGrid w:val="0"/>
              <w:ind w:left="170"/>
              <w:rPr>
                <w:rFonts w:cs="Arial"/>
              </w:rPr>
            </w:pPr>
            <w:r w:rsidRPr="002F3A26">
              <w:t>0.98</w:t>
            </w:r>
          </w:p>
        </w:tc>
        <w:tc>
          <w:tcPr>
            <w:tcW w:w="1333" w:type="dxa"/>
          </w:tcPr>
          <w:p w14:paraId="52AC7C76" w14:textId="77777777" w:rsidR="00A56952" w:rsidRPr="002F3A26" w:rsidRDefault="00A56952" w:rsidP="00CC41E7">
            <w:pPr>
              <w:pStyle w:val="TableParagraph"/>
              <w:snapToGrid w:val="0"/>
              <w:ind w:left="170"/>
              <w:rPr>
                <w:rFonts w:cs="Arial"/>
              </w:rPr>
            </w:pPr>
            <w:r w:rsidRPr="002F3A26">
              <w:t>0.98</w:t>
            </w:r>
          </w:p>
        </w:tc>
      </w:tr>
      <w:tr w:rsidR="00A56952" w:rsidRPr="002F3A26" w14:paraId="655B4659" w14:textId="77777777" w:rsidTr="00D17B28">
        <w:trPr>
          <w:trHeight w:val="20"/>
        </w:trPr>
        <w:tc>
          <w:tcPr>
            <w:tcW w:w="5131" w:type="dxa"/>
          </w:tcPr>
          <w:p w14:paraId="441DA1C5" w14:textId="481C7208" w:rsidR="00A56952" w:rsidRPr="002F3A26" w:rsidRDefault="00A56952" w:rsidP="00CC41E7">
            <w:pPr>
              <w:pStyle w:val="TableParagraph"/>
              <w:snapToGrid w:val="0"/>
              <w:rPr>
                <w:rFonts w:cs="Arial"/>
              </w:rPr>
            </w:pPr>
            <w:r w:rsidRPr="002F3A26">
              <w:t>$1,250-$1,999</w:t>
            </w:r>
          </w:p>
        </w:tc>
        <w:tc>
          <w:tcPr>
            <w:tcW w:w="1140" w:type="dxa"/>
          </w:tcPr>
          <w:p w14:paraId="3FD3CF5E" w14:textId="77777777" w:rsidR="00A56952" w:rsidRPr="002F3A26" w:rsidRDefault="00A56952" w:rsidP="00CC41E7">
            <w:pPr>
              <w:pStyle w:val="TableParagraph"/>
              <w:snapToGrid w:val="0"/>
              <w:ind w:left="170"/>
              <w:rPr>
                <w:rFonts w:cs="Arial"/>
              </w:rPr>
            </w:pPr>
            <w:r w:rsidRPr="002F3A26">
              <w:t>0.85</w:t>
            </w:r>
            <w:r w:rsidRPr="002F3A26">
              <w:rPr>
                <w:vertAlign w:val="superscript"/>
              </w:rPr>
              <w:t>***</w:t>
            </w:r>
          </w:p>
        </w:tc>
        <w:tc>
          <w:tcPr>
            <w:tcW w:w="1283" w:type="dxa"/>
          </w:tcPr>
          <w:p w14:paraId="3BC729F5" w14:textId="77777777" w:rsidR="00A56952" w:rsidRPr="002F3A26" w:rsidRDefault="00A56952" w:rsidP="00CC41E7">
            <w:pPr>
              <w:pStyle w:val="TableParagraph"/>
              <w:snapToGrid w:val="0"/>
              <w:ind w:left="170"/>
              <w:rPr>
                <w:rFonts w:cs="Arial"/>
              </w:rPr>
            </w:pPr>
            <w:r w:rsidRPr="002F3A26">
              <w:t>0.93</w:t>
            </w:r>
            <w:r w:rsidRPr="002F3A26">
              <w:rPr>
                <w:vertAlign w:val="superscript"/>
              </w:rPr>
              <w:t>***</w:t>
            </w:r>
          </w:p>
        </w:tc>
        <w:tc>
          <w:tcPr>
            <w:tcW w:w="1333" w:type="dxa"/>
          </w:tcPr>
          <w:p w14:paraId="62A1698E" w14:textId="77777777" w:rsidR="00A56952" w:rsidRPr="002F3A26" w:rsidRDefault="00A56952" w:rsidP="00CC41E7">
            <w:pPr>
              <w:pStyle w:val="TableParagraph"/>
              <w:snapToGrid w:val="0"/>
              <w:ind w:left="170"/>
              <w:rPr>
                <w:rFonts w:cs="Arial"/>
              </w:rPr>
            </w:pPr>
            <w:r w:rsidRPr="002F3A26">
              <w:t>0.93</w:t>
            </w:r>
            <w:r w:rsidRPr="002F3A26">
              <w:rPr>
                <w:vertAlign w:val="superscript"/>
              </w:rPr>
              <w:t>***</w:t>
            </w:r>
          </w:p>
        </w:tc>
      </w:tr>
      <w:tr w:rsidR="00A56952" w:rsidRPr="002F3A26" w14:paraId="7D43F101" w14:textId="77777777" w:rsidTr="00D17B28">
        <w:trPr>
          <w:trHeight w:val="20"/>
        </w:trPr>
        <w:tc>
          <w:tcPr>
            <w:tcW w:w="5131" w:type="dxa"/>
          </w:tcPr>
          <w:p w14:paraId="79A6B565" w14:textId="34A4AB5E" w:rsidR="00A56952" w:rsidRPr="002F3A26" w:rsidRDefault="00A56952" w:rsidP="00CC41E7">
            <w:pPr>
              <w:pStyle w:val="TableParagraph"/>
              <w:snapToGrid w:val="0"/>
              <w:rPr>
                <w:rFonts w:cs="Arial"/>
              </w:rPr>
            </w:pPr>
            <w:r w:rsidRPr="002F3A26">
              <w:t>$2,000-$2,999</w:t>
            </w:r>
          </w:p>
        </w:tc>
        <w:tc>
          <w:tcPr>
            <w:tcW w:w="1140" w:type="dxa"/>
          </w:tcPr>
          <w:p w14:paraId="0B89E792" w14:textId="77777777" w:rsidR="00A56952" w:rsidRPr="002F3A26" w:rsidRDefault="00A56952" w:rsidP="00CC41E7">
            <w:pPr>
              <w:pStyle w:val="TableParagraph"/>
              <w:snapToGrid w:val="0"/>
              <w:ind w:left="170"/>
              <w:rPr>
                <w:rFonts w:cs="Arial"/>
              </w:rPr>
            </w:pPr>
            <w:r w:rsidRPr="002F3A26">
              <w:t>0.85</w:t>
            </w:r>
            <w:r w:rsidRPr="002F3A26">
              <w:rPr>
                <w:vertAlign w:val="superscript"/>
              </w:rPr>
              <w:t>***</w:t>
            </w:r>
          </w:p>
        </w:tc>
        <w:tc>
          <w:tcPr>
            <w:tcW w:w="1283" w:type="dxa"/>
          </w:tcPr>
          <w:p w14:paraId="44857387" w14:textId="77777777" w:rsidR="00A56952" w:rsidRPr="002F3A26" w:rsidRDefault="00A56952" w:rsidP="00CC41E7">
            <w:pPr>
              <w:pStyle w:val="TableParagraph"/>
              <w:snapToGrid w:val="0"/>
              <w:ind w:left="170"/>
              <w:rPr>
                <w:rFonts w:cs="Arial"/>
              </w:rPr>
            </w:pPr>
            <w:r w:rsidRPr="002F3A26">
              <w:t>0.90</w:t>
            </w:r>
            <w:r w:rsidRPr="002F3A26">
              <w:rPr>
                <w:vertAlign w:val="superscript"/>
              </w:rPr>
              <w:t>***</w:t>
            </w:r>
          </w:p>
        </w:tc>
        <w:tc>
          <w:tcPr>
            <w:tcW w:w="1333" w:type="dxa"/>
          </w:tcPr>
          <w:p w14:paraId="4EADD151" w14:textId="77777777" w:rsidR="00A56952" w:rsidRPr="002F3A26" w:rsidRDefault="00A56952" w:rsidP="00CC41E7">
            <w:pPr>
              <w:pStyle w:val="TableParagraph"/>
              <w:snapToGrid w:val="0"/>
              <w:ind w:left="170"/>
              <w:rPr>
                <w:rFonts w:cs="Arial"/>
              </w:rPr>
            </w:pPr>
            <w:r w:rsidRPr="002F3A26">
              <w:t>0.90</w:t>
            </w:r>
            <w:r w:rsidRPr="002F3A26">
              <w:rPr>
                <w:vertAlign w:val="superscript"/>
              </w:rPr>
              <w:t>***</w:t>
            </w:r>
          </w:p>
        </w:tc>
      </w:tr>
      <w:tr w:rsidR="00A56952" w:rsidRPr="002F3A26" w14:paraId="27714B8A" w14:textId="77777777" w:rsidTr="00D17B28">
        <w:trPr>
          <w:trHeight w:val="20"/>
        </w:trPr>
        <w:tc>
          <w:tcPr>
            <w:tcW w:w="5131" w:type="dxa"/>
          </w:tcPr>
          <w:p w14:paraId="3281B8BD" w14:textId="6C333D4B" w:rsidR="00A56952" w:rsidRPr="002F3A26" w:rsidRDefault="00A56952" w:rsidP="00CC41E7">
            <w:pPr>
              <w:pStyle w:val="TableParagraph"/>
              <w:snapToGrid w:val="0"/>
              <w:rPr>
                <w:rFonts w:cs="Arial"/>
              </w:rPr>
            </w:pPr>
            <w:r w:rsidRPr="002F3A26">
              <w:t>Partial/no information</w:t>
            </w:r>
          </w:p>
        </w:tc>
        <w:tc>
          <w:tcPr>
            <w:tcW w:w="1140" w:type="dxa"/>
          </w:tcPr>
          <w:p w14:paraId="3598EA6D" w14:textId="77777777" w:rsidR="00A56952" w:rsidRPr="002F3A26" w:rsidRDefault="00A56952" w:rsidP="00CC41E7">
            <w:pPr>
              <w:pStyle w:val="TableParagraph"/>
              <w:snapToGrid w:val="0"/>
              <w:ind w:left="170"/>
              <w:rPr>
                <w:rFonts w:cs="Arial"/>
              </w:rPr>
            </w:pPr>
            <w:r w:rsidRPr="002F3A26">
              <w:t>0.80</w:t>
            </w:r>
            <w:r w:rsidRPr="002F3A26">
              <w:rPr>
                <w:vertAlign w:val="superscript"/>
              </w:rPr>
              <w:t>***</w:t>
            </w:r>
          </w:p>
        </w:tc>
        <w:tc>
          <w:tcPr>
            <w:tcW w:w="1283" w:type="dxa"/>
          </w:tcPr>
          <w:p w14:paraId="4666212D" w14:textId="77777777" w:rsidR="00A56952" w:rsidRPr="002F3A26" w:rsidRDefault="00A56952" w:rsidP="00CC41E7">
            <w:pPr>
              <w:pStyle w:val="TableParagraph"/>
              <w:snapToGrid w:val="0"/>
              <w:ind w:left="170"/>
              <w:rPr>
                <w:rFonts w:cs="Arial"/>
              </w:rPr>
            </w:pPr>
            <w:r w:rsidRPr="002F3A26">
              <w:t>0.89</w:t>
            </w:r>
            <w:r w:rsidRPr="002F3A26">
              <w:rPr>
                <w:vertAlign w:val="superscript"/>
              </w:rPr>
              <w:t>***</w:t>
            </w:r>
          </w:p>
        </w:tc>
        <w:tc>
          <w:tcPr>
            <w:tcW w:w="1333" w:type="dxa"/>
          </w:tcPr>
          <w:p w14:paraId="5713A36C" w14:textId="77777777" w:rsidR="00A56952" w:rsidRPr="002F3A26" w:rsidRDefault="00A56952" w:rsidP="00CC41E7">
            <w:pPr>
              <w:pStyle w:val="TableParagraph"/>
              <w:snapToGrid w:val="0"/>
              <w:ind w:left="170"/>
              <w:rPr>
                <w:rFonts w:cs="Arial"/>
              </w:rPr>
            </w:pPr>
            <w:r w:rsidRPr="002F3A26">
              <w:t>0.89</w:t>
            </w:r>
            <w:r w:rsidRPr="002F3A26">
              <w:rPr>
                <w:vertAlign w:val="superscript"/>
              </w:rPr>
              <w:t>***</w:t>
            </w:r>
          </w:p>
        </w:tc>
      </w:tr>
      <w:tr w:rsidR="00A56952" w:rsidRPr="002F3A26" w14:paraId="314D1727" w14:textId="77777777" w:rsidTr="00D17B28">
        <w:trPr>
          <w:trHeight w:val="20"/>
        </w:trPr>
        <w:tc>
          <w:tcPr>
            <w:tcW w:w="5131" w:type="dxa"/>
          </w:tcPr>
          <w:p w14:paraId="406BB6CA" w14:textId="53334A15" w:rsidR="00A56952" w:rsidRPr="002F3A26" w:rsidRDefault="00A56952" w:rsidP="00CC41E7">
            <w:pPr>
              <w:pStyle w:val="TableParagraph"/>
              <w:snapToGrid w:val="0"/>
              <w:rPr>
                <w:rFonts w:cs="Arial"/>
              </w:rPr>
            </w:pPr>
            <w:r w:rsidRPr="002F3A26">
              <w:t>Low SES</w:t>
            </w:r>
          </w:p>
        </w:tc>
        <w:tc>
          <w:tcPr>
            <w:tcW w:w="1140" w:type="dxa"/>
          </w:tcPr>
          <w:p w14:paraId="7F502C0F" w14:textId="77777777" w:rsidR="00A56952" w:rsidRPr="002F3A26" w:rsidRDefault="00A56952" w:rsidP="00CC41E7">
            <w:pPr>
              <w:pStyle w:val="TableParagraph"/>
              <w:snapToGrid w:val="0"/>
              <w:ind w:left="170"/>
              <w:rPr>
                <w:rFonts w:cs="Arial"/>
              </w:rPr>
            </w:pPr>
          </w:p>
        </w:tc>
        <w:tc>
          <w:tcPr>
            <w:tcW w:w="1283" w:type="dxa"/>
          </w:tcPr>
          <w:p w14:paraId="41B742FF" w14:textId="77777777" w:rsidR="00A56952" w:rsidRPr="002F3A26" w:rsidRDefault="00A56952" w:rsidP="00CC41E7">
            <w:pPr>
              <w:pStyle w:val="TableParagraph"/>
              <w:snapToGrid w:val="0"/>
              <w:ind w:left="170"/>
              <w:rPr>
                <w:rFonts w:cs="Arial"/>
              </w:rPr>
            </w:pPr>
            <w:r w:rsidRPr="002F3A26">
              <w:t>0.67</w:t>
            </w:r>
            <w:r w:rsidRPr="002F3A26">
              <w:rPr>
                <w:vertAlign w:val="superscript"/>
              </w:rPr>
              <w:t>***</w:t>
            </w:r>
          </w:p>
        </w:tc>
        <w:tc>
          <w:tcPr>
            <w:tcW w:w="1333" w:type="dxa"/>
          </w:tcPr>
          <w:p w14:paraId="2E91FABE" w14:textId="77777777" w:rsidR="00A56952" w:rsidRPr="002F3A26" w:rsidRDefault="00A56952" w:rsidP="00CC41E7">
            <w:pPr>
              <w:pStyle w:val="TableParagraph"/>
              <w:snapToGrid w:val="0"/>
              <w:ind w:left="170"/>
              <w:rPr>
                <w:rFonts w:cs="Arial"/>
              </w:rPr>
            </w:pPr>
            <w:r w:rsidRPr="002F3A26">
              <w:t>0.69</w:t>
            </w:r>
            <w:r w:rsidRPr="002F3A26">
              <w:rPr>
                <w:vertAlign w:val="superscript"/>
              </w:rPr>
              <w:t>***</w:t>
            </w:r>
          </w:p>
        </w:tc>
      </w:tr>
      <w:tr w:rsidR="00A56952" w:rsidRPr="002F3A26" w14:paraId="12F86DAC" w14:textId="77777777" w:rsidTr="00D17B28">
        <w:trPr>
          <w:trHeight w:val="20"/>
        </w:trPr>
        <w:tc>
          <w:tcPr>
            <w:tcW w:w="5131" w:type="dxa"/>
          </w:tcPr>
          <w:p w14:paraId="757DFB9F" w14:textId="1F797FD2" w:rsidR="00A56952" w:rsidRPr="002F3A26" w:rsidRDefault="009F5FEC" w:rsidP="00CC41E7">
            <w:pPr>
              <w:pStyle w:val="TableParagraph"/>
              <w:snapToGrid w:val="0"/>
              <w:rPr>
                <w:rFonts w:cs="Arial"/>
              </w:rPr>
            </w:pPr>
            <w:r>
              <w:t>RR</w:t>
            </w:r>
          </w:p>
        </w:tc>
        <w:tc>
          <w:tcPr>
            <w:tcW w:w="1140" w:type="dxa"/>
          </w:tcPr>
          <w:p w14:paraId="7D2AF566" w14:textId="77777777" w:rsidR="00A56952" w:rsidRPr="002F3A26" w:rsidRDefault="00A56952" w:rsidP="00CC41E7">
            <w:pPr>
              <w:pStyle w:val="TableParagraph"/>
              <w:snapToGrid w:val="0"/>
              <w:ind w:left="170"/>
              <w:rPr>
                <w:rFonts w:cs="Arial"/>
              </w:rPr>
            </w:pPr>
          </w:p>
        </w:tc>
        <w:tc>
          <w:tcPr>
            <w:tcW w:w="1283" w:type="dxa"/>
          </w:tcPr>
          <w:p w14:paraId="741546CF" w14:textId="77777777" w:rsidR="00A56952" w:rsidRPr="002F3A26" w:rsidRDefault="00A56952" w:rsidP="00CC41E7">
            <w:pPr>
              <w:pStyle w:val="TableParagraph"/>
              <w:snapToGrid w:val="0"/>
              <w:ind w:left="170"/>
              <w:rPr>
                <w:rFonts w:cs="Arial"/>
              </w:rPr>
            </w:pPr>
            <w:r w:rsidRPr="002F3A26">
              <w:t>0.47</w:t>
            </w:r>
            <w:r w:rsidRPr="002F3A26">
              <w:rPr>
                <w:vertAlign w:val="superscript"/>
              </w:rPr>
              <w:t>***</w:t>
            </w:r>
          </w:p>
        </w:tc>
        <w:tc>
          <w:tcPr>
            <w:tcW w:w="1333" w:type="dxa"/>
          </w:tcPr>
          <w:p w14:paraId="6F4A5DAB" w14:textId="77777777" w:rsidR="00A56952" w:rsidRPr="002F3A26" w:rsidRDefault="00A56952" w:rsidP="00CC41E7">
            <w:pPr>
              <w:pStyle w:val="TableParagraph"/>
              <w:snapToGrid w:val="0"/>
              <w:ind w:left="170"/>
              <w:rPr>
                <w:rFonts w:cs="Arial"/>
              </w:rPr>
            </w:pPr>
            <w:r w:rsidRPr="002F3A26">
              <w:t>0.47</w:t>
            </w:r>
            <w:r w:rsidRPr="002F3A26">
              <w:rPr>
                <w:vertAlign w:val="superscript"/>
              </w:rPr>
              <w:t>***</w:t>
            </w:r>
          </w:p>
        </w:tc>
      </w:tr>
      <w:tr w:rsidR="00A56952" w:rsidRPr="002F3A26" w14:paraId="71E46AC9" w14:textId="77777777" w:rsidTr="00D17B28">
        <w:trPr>
          <w:trHeight w:val="20"/>
        </w:trPr>
        <w:tc>
          <w:tcPr>
            <w:tcW w:w="5131" w:type="dxa"/>
          </w:tcPr>
          <w:p w14:paraId="5F941F66" w14:textId="517DE264" w:rsidR="00A56952" w:rsidRPr="002F3A26" w:rsidRDefault="00A56952" w:rsidP="00CC41E7">
            <w:pPr>
              <w:pStyle w:val="TableParagraph"/>
              <w:snapToGrid w:val="0"/>
              <w:rPr>
                <w:rFonts w:cs="Arial"/>
              </w:rPr>
            </w:pPr>
            <w:r w:rsidRPr="002F3A26">
              <w:t>Indigenous</w:t>
            </w:r>
          </w:p>
        </w:tc>
        <w:tc>
          <w:tcPr>
            <w:tcW w:w="1140" w:type="dxa"/>
          </w:tcPr>
          <w:p w14:paraId="50856392" w14:textId="77777777" w:rsidR="00A56952" w:rsidRPr="002F3A26" w:rsidRDefault="00A56952" w:rsidP="00CC41E7">
            <w:pPr>
              <w:pStyle w:val="TableParagraph"/>
              <w:snapToGrid w:val="0"/>
              <w:ind w:left="170"/>
              <w:rPr>
                <w:rFonts w:cs="Arial"/>
              </w:rPr>
            </w:pPr>
          </w:p>
        </w:tc>
        <w:tc>
          <w:tcPr>
            <w:tcW w:w="1283" w:type="dxa"/>
          </w:tcPr>
          <w:p w14:paraId="2849B7E0" w14:textId="77777777" w:rsidR="00A56952" w:rsidRPr="002F3A26" w:rsidRDefault="00A56952" w:rsidP="00CC41E7">
            <w:pPr>
              <w:pStyle w:val="TableParagraph"/>
              <w:snapToGrid w:val="0"/>
              <w:ind w:left="170"/>
              <w:rPr>
                <w:rFonts w:cs="Arial"/>
              </w:rPr>
            </w:pPr>
            <w:r w:rsidRPr="002F3A26">
              <w:t>0.37</w:t>
            </w:r>
            <w:r w:rsidRPr="002F3A26">
              <w:rPr>
                <w:vertAlign w:val="superscript"/>
              </w:rPr>
              <w:t>***</w:t>
            </w:r>
          </w:p>
        </w:tc>
        <w:tc>
          <w:tcPr>
            <w:tcW w:w="1333" w:type="dxa"/>
          </w:tcPr>
          <w:p w14:paraId="2F1FCC11" w14:textId="77777777" w:rsidR="00A56952" w:rsidRPr="002F3A26" w:rsidRDefault="00A56952" w:rsidP="00CC41E7">
            <w:pPr>
              <w:pStyle w:val="TableParagraph"/>
              <w:snapToGrid w:val="0"/>
              <w:ind w:left="170"/>
              <w:rPr>
                <w:rFonts w:cs="Arial"/>
              </w:rPr>
            </w:pPr>
            <w:r w:rsidRPr="002F3A26">
              <w:t>0.37</w:t>
            </w:r>
            <w:r w:rsidRPr="002F3A26">
              <w:rPr>
                <w:vertAlign w:val="superscript"/>
              </w:rPr>
              <w:t>***</w:t>
            </w:r>
          </w:p>
        </w:tc>
      </w:tr>
      <w:tr w:rsidR="00A56952" w:rsidRPr="002F3A26" w14:paraId="544654B7" w14:textId="77777777" w:rsidTr="00D17B28">
        <w:trPr>
          <w:trHeight w:val="20"/>
        </w:trPr>
        <w:tc>
          <w:tcPr>
            <w:tcW w:w="5131" w:type="dxa"/>
          </w:tcPr>
          <w:p w14:paraId="62E18D37" w14:textId="1F6AF5E2" w:rsidR="00A56952" w:rsidRPr="002F3A26" w:rsidRDefault="00A56952" w:rsidP="00CC41E7">
            <w:pPr>
              <w:pStyle w:val="TableParagraph"/>
              <w:snapToGrid w:val="0"/>
              <w:rPr>
                <w:rFonts w:cs="Arial"/>
              </w:rPr>
            </w:pPr>
            <w:r w:rsidRPr="002F3A26">
              <w:t>NESB</w:t>
            </w:r>
          </w:p>
        </w:tc>
        <w:tc>
          <w:tcPr>
            <w:tcW w:w="1140" w:type="dxa"/>
          </w:tcPr>
          <w:p w14:paraId="01F35BEA" w14:textId="77777777" w:rsidR="00A56952" w:rsidRPr="002F3A26" w:rsidRDefault="00A56952" w:rsidP="00CC41E7">
            <w:pPr>
              <w:pStyle w:val="TableParagraph"/>
              <w:snapToGrid w:val="0"/>
              <w:ind w:left="170"/>
              <w:rPr>
                <w:rFonts w:cs="Arial"/>
              </w:rPr>
            </w:pPr>
          </w:p>
        </w:tc>
        <w:tc>
          <w:tcPr>
            <w:tcW w:w="1283" w:type="dxa"/>
          </w:tcPr>
          <w:p w14:paraId="7019C6D1" w14:textId="77777777" w:rsidR="00A56952" w:rsidRPr="002F3A26" w:rsidRDefault="00A56952" w:rsidP="00CC41E7">
            <w:pPr>
              <w:pStyle w:val="TableParagraph"/>
              <w:snapToGrid w:val="0"/>
              <w:ind w:left="170"/>
              <w:rPr>
                <w:rFonts w:cs="Arial"/>
              </w:rPr>
            </w:pPr>
            <w:r w:rsidRPr="002F3A26">
              <w:t>1.09</w:t>
            </w:r>
            <w:r w:rsidRPr="002F3A26">
              <w:rPr>
                <w:vertAlign w:val="superscript"/>
              </w:rPr>
              <w:t>***</w:t>
            </w:r>
          </w:p>
        </w:tc>
        <w:tc>
          <w:tcPr>
            <w:tcW w:w="1333" w:type="dxa"/>
          </w:tcPr>
          <w:p w14:paraId="27ED4394" w14:textId="77777777" w:rsidR="00A56952" w:rsidRPr="002F3A26" w:rsidRDefault="00A56952" w:rsidP="00CC41E7">
            <w:pPr>
              <w:pStyle w:val="TableParagraph"/>
              <w:snapToGrid w:val="0"/>
              <w:ind w:left="170"/>
              <w:rPr>
                <w:rFonts w:cs="Arial"/>
              </w:rPr>
            </w:pPr>
            <w:r w:rsidRPr="002F3A26">
              <w:t>1.13</w:t>
            </w:r>
            <w:r w:rsidRPr="002F3A26">
              <w:rPr>
                <w:vertAlign w:val="superscript"/>
              </w:rPr>
              <w:t>***</w:t>
            </w:r>
          </w:p>
        </w:tc>
      </w:tr>
      <w:tr w:rsidR="00A56952" w:rsidRPr="002F3A26" w14:paraId="639ADEEC" w14:textId="77777777" w:rsidTr="00D17B28">
        <w:trPr>
          <w:trHeight w:val="20"/>
        </w:trPr>
        <w:tc>
          <w:tcPr>
            <w:tcW w:w="5131" w:type="dxa"/>
          </w:tcPr>
          <w:p w14:paraId="292CC30E" w14:textId="52384062" w:rsidR="00A56952" w:rsidRPr="002F3A26" w:rsidRDefault="00A56952" w:rsidP="00CC41E7">
            <w:pPr>
              <w:pStyle w:val="TableParagraph"/>
              <w:snapToGrid w:val="0"/>
              <w:rPr>
                <w:rFonts w:cs="Arial"/>
              </w:rPr>
            </w:pPr>
            <w:r w:rsidRPr="002F3A26">
              <w:t>Women</w:t>
            </w:r>
          </w:p>
        </w:tc>
        <w:tc>
          <w:tcPr>
            <w:tcW w:w="1140" w:type="dxa"/>
          </w:tcPr>
          <w:p w14:paraId="3543AA02" w14:textId="77777777" w:rsidR="00A56952" w:rsidRPr="002F3A26" w:rsidRDefault="00A56952" w:rsidP="00CC41E7">
            <w:pPr>
              <w:pStyle w:val="TableParagraph"/>
              <w:snapToGrid w:val="0"/>
              <w:ind w:left="170"/>
              <w:rPr>
                <w:rFonts w:cs="Arial"/>
              </w:rPr>
            </w:pPr>
          </w:p>
        </w:tc>
        <w:tc>
          <w:tcPr>
            <w:tcW w:w="1283" w:type="dxa"/>
          </w:tcPr>
          <w:p w14:paraId="7FDDD1DC" w14:textId="77777777" w:rsidR="00A56952" w:rsidRPr="002F3A26" w:rsidRDefault="00A56952" w:rsidP="00CC41E7">
            <w:pPr>
              <w:pStyle w:val="TableParagraph"/>
              <w:snapToGrid w:val="0"/>
              <w:ind w:left="170"/>
              <w:rPr>
                <w:rFonts w:cs="Arial"/>
              </w:rPr>
            </w:pPr>
            <w:r w:rsidRPr="002F3A26">
              <w:t>1.95</w:t>
            </w:r>
            <w:r w:rsidRPr="002F3A26">
              <w:rPr>
                <w:vertAlign w:val="superscript"/>
              </w:rPr>
              <w:t>***</w:t>
            </w:r>
          </w:p>
        </w:tc>
        <w:tc>
          <w:tcPr>
            <w:tcW w:w="1333" w:type="dxa"/>
          </w:tcPr>
          <w:p w14:paraId="7BC8DB88" w14:textId="77777777" w:rsidR="00A56952" w:rsidRPr="002F3A26" w:rsidRDefault="00A56952" w:rsidP="00CC41E7">
            <w:pPr>
              <w:pStyle w:val="TableParagraph"/>
              <w:snapToGrid w:val="0"/>
              <w:ind w:left="170"/>
              <w:rPr>
                <w:rFonts w:cs="Arial"/>
              </w:rPr>
            </w:pPr>
            <w:r w:rsidRPr="002F3A26">
              <w:t>1.78</w:t>
            </w:r>
            <w:r w:rsidRPr="002F3A26">
              <w:rPr>
                <w:vertAlign w:val="superscript"/>
              </w:rPr>
              <w:t>***</w:t>
            </w:r>
          </w:p>
        </w:tc>
      </w:tr>
      <w:tr w:rsidR="00A56952" w:rsidRPr="002F3A26" w14:paraId="4AE26EE0" w14:textId="77777777" w:rsidTr="00D17B28">
        <w:trPr>
          <w:trHeight w:val="20"/>
        </w:trPr>
        <w:tc>
          <w:tcPr>
            <w:tcW w:w="5131" w:type="dxa"/>
          </w:tcPr>
          <w:p w14:paraId="476700F0" w14:textId="6290A6AF" w:rsidR="00A56952" w:rsidRPr="002F3A26" w:rsidRDefault="00A56952" w:rsidP="00CC41E7">
            <w:pPr>
              <w:pStyle w:val="TableParagraph"/>
              <w:snapToGrid w:val="0"/>
              <w:rPr>
                <w:rFonts w:cs="Arial"/>
              </w:rPr>
            </w:pPr>
            <w:r w:rsidRPr="002F3A26">
              <w:t>Disability</w:t>
            </w:r>
          </w:p>
        </w:tc>
        <w:tc>
          <w:tcPr>
            <w:tcW w:w="1140" w:type="dxa"/>
          </w:tcPr>
          <w:p w14:paraId="559BE508" w14:textId="77777777" w:rsidR="00A56952" w:rsidRPr="002F3A26" w:rsidRDefault="00A56952" w:rsidP="00CC41E7">
            <w:pPr>
              <w:pStyle w:val="TableParagraph"/>
              <w:snapToGrid w:val="0"/>
              <w:ind w:left="170"/>
              <w:rPr>
                <w:rFonts w:cs="Arial"/>
              </w:rPr>
            </w:pPr>
          </w:p>
        </w:tc>
        <w:tc>
          <w:tcPr>
            <w:tcW w:w="1283" w:type="dxa"/>
          </w:tcPr>
          <w:p w14:paraId="58AE48AF" w14:textId="77777777" w:rsidR="00A56952" w:rsidRPr="002F3A26" w:rsidRDefault="00A56952" w:rsidP="00CC41E7">
            <w:pPr>
              <w:pStyle w:val="TableParagraph"/>
              <w:snapToGrid w:val="0"/>
              <w:ind w:left="170"/>
              <w:rPr>
                <w:rFonts w:cs="Arial"/>
              </w:rPr>
            </w:pPr>
            <w:r w:rsidRPr="002F3A26">
              <w:t>0.15</w:t>
            </w:r>
            <w:r w:rsidRPr="002F3A26">
              <w:rPr>
                <w:vertAlign w:val="superscript"/>
              </w:rPr>
              <w:t>***</w:t>
            </w:r>
          </w:p>
        </w:tc>
        <w:tc>
          <w:tcPr>
            <w:tcW w:w="1333" w:type="dxa"/>
          </w:tcPr>
          <w:p w14:paraId="3127472E" w14:textId="77777777" w:rsidR="00A56952" w:rsidRPr="002F3A26" w:rsidRDefault="00A56952" w:rsidP="00CC41E7">
            <w:pPr>
              <w:pStyle w:val="TableParagraph"/>
              <w:snapToGrid w:val="0"/>
              <w:ind w:left="170"/>
              <w:rPr>
                <w:rFonts w:cs="Arial"/>
              </w:rPr>
            </w:pPr>
            <w:r w:rsidRPr="002F3A26">
              <w:t>0.13</w:t>
            </w:r>
            <w:r w:rsidRPr="002F3A26">
              <w:rPr>
                <w:vertAlign w:val="superscript"/>
              </w:rPr>
              <w:t>***</w:t>
            </w:r>
          </w:p>
        </w:tc>
      </w:tr>
      <w:tr w:rsidR="00A56952" w:rsidRPr="002F3A26" w14:paraId="190037BE" w14:textId="77777777" w:rsidTr="00D17B28">
        <w:trPr>
          <w:trHeight w:val="20"/>
        </w:trPr>
        <w:tc>
          <w:tcPr>
            <w:tcW w:w="5131" w:type="dxa"/>
          </w:tcPr>
          <w:p w14:paraId="6BC465EF" w14:textId="4E71A378" w:rsidR="00A56952" w:rsidRPr="002F3A26" w:rsidRDefault="00A56952" w:rsidP="00CC41E7">
            <w:pPr>
              <w:pStyle w:val="TableParagraph"/>
              <w:snapToGrid w:val="0"/>
              <w:rPr>
                <w:rFonts w:cs="Arial"/>
              </w:rPr>
            </w:pPr>
            <w:r w:rsidRPr="002F3A26">
              <w:t>FiF # Low SES</w:t>
            </w:r>
          </w:p>
        </w:tc>
        <w:tc>
          <w:tcPr>
            <w:tcW w:w="1140" w:type="dxa"/>
          </w:tcPr>
          <w:p w14:paraId="68876481" w14:textId="77777777" w:rsidR="00A56952" w:rsidRPr="002F3A26" w:rsidRDefault="00A56952" w:rsidP="00CC41E7">
            <w:pPr>
              <w:pStyle w:val="TableParagraph"/>
              <w:snapToGrid w:val="0"/>
              <w:ind w:left="170"/>
              <w:rPr>
                <w:rFonts w:cs="Arial"/>
              </w:rPr>
            </w:pPr>
          </w:p>
        </w:tc>
        <w:tc>
          <w:tcPr>
            <w:tcW w:w="1283" w:type="dxa"/>
          </w:tcPr>
          <w:p w14:paraId="2D278B3F" w14:textId="77777777" w:rsidR="00A56952" w:rsidRPr="002F3A26" w:rsidRDefault="00A56952" w:rsidP="00CC41E7">
            <w:pPr>
              <w:pStyle w:val="TableParagraph"/>
              <w:snapToGrid w:val="0"/>
              <w:ind w:left="170"/>
              <w:rPr>
                <w:rFonts w:cs="Arial"/>
              </w:rPr>
            </w:pPr>
          </w:p>
        </w:tc>
        <w:tc>
          <w:tcPr>
            <w:tcW w:w="1333" w:type="dxa"/>
          </w:tcPr>
          <w:p w14:paraId="6115B651" w14:textId="77777777" w:rsidR="00A56952" w:rsidRPr="002F3A26" w:rsidRDefault="00A56952" w:rsidP="00CC41E7">
            <w:pPr>
              <w:pStyle w:val="TableParagraph"/>
              <w:snapToGrid w:val="0"/>
              <w:ind w:left="170"/>
              <w:rPr>
                <w:rFonts w:cs="Arial"/>
              </w:rPr>
            </w:pPr>
            <w:r w:rsidRPr="002F3A26">
              <w:t>0.96</w:t>
            </w:r>
          </w:p>
        </w:tc>
      </w:tr>
      <w:tr w:rsidR="00A56952" w:rsidRPr="002F3A26" w14:paraId="5A7E737B" w14:textId="77777777" w:rsidTr="00D17B28">
        <w:trPr>
          <w:trHeight w:val="20"/>
        </w:trPr>
        <w:tc>
          <w:tcPr>
            <w:tcW w:w="5131" w:type="dxa"/>
          </w:tcPr>
          <w:p w14:paraId="3867203B" w14:textId="34A830E4" w:rsidR="00A56952" w:rsidRPr="002F3A26" w:rsidRDefault="00A56952" w:rsidP="00CC41E7">
            <w:pPr>
              <w:pStyle w:val="TableParagraph"/>
              <w:snapToGrid w:val="0"/>
              <w:rPr>
                <w:rFonts w:cs="Arial"/>
              </w:rPr>
            </w:pPr>
            <w:r w:rsidRPr="002F3A26">
              <w:t xml:space="preserve">FiF # </w:t>
            </w:r>
            <w:r w:rsidR="009F5FEC">
              <w:t>RR</w:t>
            </w:r>
          </w:p>
        </w:tc>
        <w:tc>
          <w:tcPr>
            <w:tcW w:w="1140" w:type="dxa"/>
          </w:tcPr>
          <w:p w14:paraId="674C57B7" w14:textId="77777777" w:rsidR="00A56952" w:rsidRPr="002F3A26" w:rsidRDefault="00A56952" w:rsidP="00CC41E7">
            <w:pPr>
              <w:pStyle w:val="TableParagraph"/>
              <w:snapToGrid w:val="0"/>
              <w:ind w:left="170"/>
              <w:rPr>
                <w:rFonts w:cs="Arial"/>
              </w:rPr>
            </w:pPr>
          </w:p>
        </w:tc>
        <w:tc>
          <w:tcPr>
            <w:tcW w:w="1283" w:type="dxa"/>
          </w:tcPr>
          <w:p w14:paraId="76CDF0FA" w14:textId="77777777" w:rsidR="00A56952" w:rsidRPr="002F3A26" w:rsidRDefault="00A56952" w:rsidP="00CC41E7">
            <w:pPr>
              <w:pStyle w:val="TableParagraph"/>
              <w:snapToGrid w:val="0"/>
              <w:ind w:left="170"/>
              <w:rPr>
                <w:rFonts w:cs="Arial"/>
              </w:rPr>
            </w:pPr>
          </w:p>
        </w:tc>
        <w:tc>
          <w:tcPr>
            <w:tcW w:w="1333" w:type="dxa"/>
          </w:tcPr>
          <w:p w14:paraId="55A29D6E" w14:textId="77777777" w:rsidR="00A56952" w:rsidRPr="002F3A26" w:rsidRDefault="00A56952" w:rsidP="00CC41E7">
            <w:pPr>
              <w:pStyle w:val="TableParagraph"/>
              <w:snapToGrid w:val="0"/>
              <w:ind w:left="170"/>
              <w:rPr>
                <w:rFonts w:cs="Arial"/>
              </w:rPr>
            </w:pPr>
            <w:r w:rsidRPr="002F3A26">
              <w:t>0.99</w:t>
            </w:r>
          </w:p>
        </w:tc>
      </w:tr>
      <w:tr w:rsidR="00A56952" w:rsidRPr="002F3A26" w14:paraId="7C8E66F7" w14:textId="77777777" w:rsidTr="00D17B28">
        <w:trPr>
          <w:trHeight w:val="20"/>
        </w:trPr>
        <w:tc>
          <w:tcPr>
            <w:tcW w:w="5131" w:type="dxa"/>
          </w:tcPr>
          <w:p w14:paraId="40210C73" w14:textId="2E2EB039" w:rsidR="00A56952" w:rsidRPr="002F3A26" w:rsidRDefault="00A56952" w:rsidP="00CC41E7">
            <w:pPr>
              <w:pStyle w:val="TableParagraph"/>
              <w:snapToGrid w:val="0"/>
              <w:rPr>
                <w:rFonts w:cs="Arial"/>
              </w:rPr>
            </w:pPr>
            <w:r w:rsidRPr="002F3A26">
              <w:t>FiF # Indigenous</w:t>
            </w:r>
          </w:p>
        </w:tc>
        <w:tc>
          <w:tcPr>
            <w:tcW w:w="1140" w:type="dxa"/>
          </w:tcPr>
          <w:p w14:paraId="4EE77EA7" w14:textId="77777777" w:rsidR="00A56952" w:rsidRPr="002F3A26" w:rsidRDefault="00A56952" w:rsidP="00CC41E7">
            <w:pPr>
              <w:pStyle w:val="TableParagraph"/>
              <w:snapToGrid w:val="0"/>
              <w:ind w:left="170"/>
              <w:rPr>
                <w:rFonts w:cs="Arial"/>
              </w:rPr>
            </w:pPr>
          </w:p>
        </w:tc>
        <w:tc>
          <w:tcPr>
            <w:tcW w:w="1283" w:type="dxa"/>
          </w:tcPr>
          <w:p w14:paraId="21F2B592" w14:textId="77777777" w:rsidR="00A56952" w:rsidRPr="002F3A26" w:rsidRDefault="00A56952" w:rsidP="00CC41E7">
            <w:pPr>
              <w:pStyle w:val="TableParagraph"/>
              <w:snapToGrid w:val="0"/>
              <w:ind w:left="170"/>
              <w:rPr>
                <w:rFonts w:cs="Arial"/>
              </w:rPr>
            </w:pPr>
          </w:p>
        </w:tc>
        <w:tc>
          <w:tcPr>
            <w:tcW w:w="1333" w:type="dxa"/>
          </w:tcPr>
          <w:p w14:paraId="772C60E7" w14:textId="77777777" w:rsidR="00A56952" w:rsidRPr="002F3A26" w:rsidRDefault="00A56952" w:rsidP="00CC41E7">
            <w:pPr>
              <w:pStyle w:val="TableParagraph"/>
              <w:snapToGrid w:val="0"/>
              <w:ind w:left="170"/>
              <w:rPr>
                <w:rFonts w:cs="Arial"/>
              </w:rPr>
            </w:pPr>
            <w:r w:rsidRPr="002F3A26">
              <w:t>0.99</w:t>
            </w:r>
          </w:p>
        </w:tc>
      </w:tr>
      <w:tr w:rsidR="00A56952" w:rsidRPr="002F3A26" w14:paraId="781E5393" w14:textId="77777777" w:rsidTr="00D17B28">
        <w:trPr>
          <w:trHeight w:val="20"/>
        </w:trPr>
        <w:tc>
          <w:tcPr>
            <w:tcW w:w="5131" w:type="dxa"/>
          </w:tcPr>
          <w:p w14:paraId="7E1104E4" w14:textId="25A87AF4" w:rsidR="00A56952" w:rsidRPr="002F3A26" w:rsidRDefault="00A56952" w:rsidP="00CC41E7">
            <w:pPr>
              <w:pStyle w:val="TableParagraph"/>
              <w:snapToGrid w:val="0"/>
              <w:rPr>
                <w:rFonts w:cs="Arial"/>
              </w:rPr>
            </w:pPr>
            <w:r w:rsidRPr="002F3A26">
              <w:t>FiF # NESB</w:t>
            </w:r>
          </w:p>
        </w:tc>
        <w:tc>
          <w:tcPr>
            <w:tcW w:w="1140" w:type="dxa"/>
          </w:tcPr>
          <w:p w14:paraId="6DF5A612" w14:textId="77777777" w:rsidR="00A56952" w:rsidRPr="002F3A26" w:rsidRDefault="00A56952" w:rsidP="00CC41E7">
            <w:pPr>
              <w:pStyle w:val="TableParagraph"/>
              <w:snapToGrid w:val="0"/>
              <w:ind w:left="170"/>
              <w:rPr>
                <w:rFonts w:cs="Arial"/>
              </w:rPr>
            </w:pPr>
          </w:p>
        </w:tc>
        <w:tc>
          <w:tcPr>
            <w:tcW w:w="1283" w:type="dxa"/>
          </w:tcPr>
          <w:p w14:paraId="03F0FB80" w14:textId="77777777" w:rsidR="00A56952" w:rsidRPr="002F3A26" w:rsidRDefault="00A56952" w:rsidP="00CC41E7">
            <w:pPr>
              <w:pStyle w:val="TableParagraph"/>
              <w:snapToGrid w:val="0"/>
              <w:ind w:left="170"/>
              <w:rPr>
                <w:rFonts w:cs="Arial"/>
              </w:rPr>
            </w:pPr>
          </w:p>
        </w:tc>
        <w:tc>
          <w:tcPr>
            <w:tcW w:w="1333" w:type="dxa"/>
          </w:tcPr>
          <w:p w14:paraId="4EED13D3" w14:textId="77777777" w:rsidR="00A56952" w:rsidRPr="002F3A26" w:rsidRDefault="00A56952" w:rsidP="00CC41E7">
            <w:pPr>
              <w:pStyle w:val="TableParagraph"/>
              <w:snapToGrid w:val="0"/>
              <w:ind w:left="170"/>
              <w:rPr>
                <w:rFonts w:cs="Arial"/>
              </w:rPr>
            </w:pPr>
            <w:r w:rsidRPr="002F3A26">
              <w:t>0.95</w:t>
            </w:r>
          </w:p>
        </w:tc>
      </w:tr>
      <w:tr w:rsidR="00A56952" w:rsidRPr="002F3A26" w14:paraId="5107A6CE" w14:textId="77777777" w:rsidTr="00D17B28">
        <w:trPr>
          <w:trHeight w:val="20"/>
        </w:trPr>
        <w:tc>
          <w:tcPr>
            <w:tcW w:w="5131" w:type="dxa"/>
          </w:tcPr>
          <w:p w14:paraId="3E792B02" w14:textId="46B07FD4" w:rsidR="00A56952" w:rsidRPr="002F3A26" w:rsidRDefault="00A56952" w:rsidP="00CC41E7">
            <w:pPr>
              <w:pStyle w:val="TableParagraph"/>
              <w:snapToGrid w:val="0"/>
              <w:rPr>
                <w:rFonts w:cs="Arial"/>
              </w:rPr>
            </w:pPr>
            <w:r w:rsidRPr="002F3A26">
              <w:t>FiF # Women</w:t>
            </w:r>
          </w:p>
        </w:tc>
        <w:tc>
          <w:tcPr>
            <w:tcW w:w="1140" w:type="dxa"/>
          </w:tcPr>
          <w:p w14:paraId="4973C843" w14:textId="77777777" w:rsidR="00A56952" w:rsidRPr="002F3A26" w:rsidRDefault="00A56952" w:rsidP="00CC41E7">
            <w:pPr>
              <w:pStyle w:val="TableParagraph"/>
              <w:snapToGrid w:val="0"/>
              <w:ind w:left="170"/>
              <w:rPr>
                <w:rFonts w:cs="Arial"/>
              </w:rPr>
            </w:pPr>
          </w:p>
        </w:tc>
        <w:tc>
          <w:tcPr>
            <w:tcW w:w="1283" w:type="dxa"/>
          </w:tcPr>
          <w:p w14:paraId="79D698B0" w14:textId="77777777" w:rsidR="00A56952" w:rsidRPr="002F3A26" w:rsidRDefault="00A56952" w:rsidP="00CC41E7">
            <w:pPr>
              <w:pStyle w:val="TableParagraph"/>
              <w:snapToGrid w:val="0"/>
              <w:ind w:left="170"/>
              <w:rPr>
                <w:rFonts w:cs="Arial"/>
              </w:rPr>
            </w:pPr>
          </w:p>
        </w:tc>
        <w:tc>
          <w:tcPr>
            <w:tcW w:w="1333" w:type="dxa"/>
          </w:tcPr>
          <w:p w14:paraId="38AC9CC9" w14:textId="77777777" w:rsidR="00A56952" w:rsidRPr="002F3A26" w:rsidRDefault="00A56952" w:rsidP="00CC41E7">
            <w:pPr>
              <w:pStyle w:val="TableParagraph"/>
              <w:snapToGrid w:val="0"/>
              <w:ind w:left="170"/>
              <w:rPr>
                <w:rFonts w:cs="Arial"/>
              </w:rPr>
            </w:pPr>
            <w:r w:rsidRPr="002F3A26">
              <w:t>1.15</w:t>
            </w:r>
            <w:r w:rsidRPr="002F3A26">
              <w:rPr>
                <w:vertAlign w:val="superscript"/>
              </w:rPr>
              <w:t>***</w:t>
            </w:r>
          </w:p>
        </w:tc>
      </w:tr>
      <w:tr w:rsidR="00A56952" w:rsidRPr="002F3A26" w14:paraId="426BF052" w14:textId="77777777" w:rsidTr="00D17B28">
        <w:trPr>
          <w:trHeight w:val="20"/>
        </w:trPr>
        <w:tc>
          <w:tcPr>
            <w:tcW w:w="5131" w:type="dxa"/>
          </w:tcPr>
          <w:p w14:paraId="2D971A3C" w14:textId="27B2514E" w:rsidR="00A56952" w:rsidRPr="002F3A26" w:rsidRDefault="00A56952" w:rsidP="00CC41E7">
            <w:pPr>
              <w:pStyle w:val="TableParagraph"/>
              <w:snapToGrid w:val="0"/>
              <w:rPr>
                <w:rFonts w:cs="Arial"/>
              </w:rPr>
            </w:pPr>
            <w:r w:rsidRPr="002F3A26">
              <w:t>FiF # Disability</w:t>
            </w:r>
          </w:p>
        </w:tc>
        <w:tc>
          <w:tcPr>
            <w:tcW w:w="1140" w:type="dxa"/>
          </w:tcPr>
          <w:p w14:paraId="18D62AC5" w14:textId="77777777" w:rsidR="00A56952" w:rsidRPr="002F3A26" w:rsidRDefault="00A56952" w:rsidP="00CC41E7">
            <w:pPr>
              <w:pStyle w:val="TableParagraph"/>
              <w:snapToGrid w:val="0"/>
              <w:ind w:left="170"/>
              <w:rPr>
                <w:rFonts w:cs="Arial"/>
              </w:rPr>
            </w:pPr>
          </w:p>
        </w:tc>
        <w:tc>
          <w:tcPr>
            <w:tcW w:w="1283" w:type="dxa"/>
          </w:tcPr>
          <w:p w14:paraId="6B33792B" w14:textId="77777777" w:rsidR="00A56952" w:rsidRPr="002F3A26" w:rsidRDefault="00A56952" w:rsidP="00CC41E7">
            <w:pPr>
              <w:pStyle w:val="TableParagraph"/>
              <w:snapToGrid w:val="0"/>
              <w:ind w:left="170"/>
              <w:rPr>
                <w:rFonts w:cs="Arial"/>
              </w:rPr>
            </w:pPr>
          </w:p>
        </w:tc>
        <w:tc>
          <w:tcPr>
            <w:tcW w:w="1333" w:type="dxa"/>
          </w:tcPr>
          <w:p w14:paraId="30BC49E7" w14:textId="77777777" w:rsidR="00A56952" w:rsidRPr="002F3A26" w:rsidRDefault="00A56952" w:rsidP="00CC41E7">
            <w:pPr>
              <w:pStyle w:val="TableParagraph"/>
              <w:snapToGrid w:val="0"/>
              <w:ind w:left="170"/>
              <w:rPr>
                <w:rFonts w:cs="Arial"/>
              </w:rPr>
            </w:pPr>
            <w:r w:rsidRPr="002F3A26">
              <w:t>1.39</w:t>
            </w:r>
            <w:r w:rsidRPr="002F3A26">
              <w:rPr>
                <w:vertAlign w:val="superscript"/>
              </w:rPr>
              <w:t>***</w:t>
            </w:r>
          </w:p>
        </w:tc>
      </w:tr>
      <w:tr w:rsidR="00A56952" w:rsidRPr="002F3A26" w14:paraId="44800A23" w14:textId="77777777" w:rsidTr="00D17B28">
        <w:trPr>
          <w:trHeight w:val="20"/>
        </w:trPr>
        <w:tc>
          <w:tcPr>
            <w:tcW w:w="5131" w:type="dxa"/>
          </w:tcPr>
          <w:p w14:paraId="41EF459E" w14:textId="527FC21D" w:rsidR="00A56952" w:rsidRPr="002F3A26" w:rsidRDefault="00A56952" w:rsidP="00CC41E7">
            <w:pPr>
              <w:pStyle w:val="TableParagraph"/>
              <w:snapToGrid w:val="0"/>
              <w:rPr>
                <w:rFonts w:cs="Arial"/>
              </w:rPr>
            </w:pPr>
            <w:r w:rsidRPr="002F3A26">
              <w:t>Observations</w:t>
            </w:r>
          </w:p>
        </w:tc>
        <w:tc>
          <w:tcPr>
            <w:tcW w:w="1140" w:type="dxa"/>
          </w:tcPr>
          <w:p w14:paraId="134E9159" w14:textId="77777777" w:rsidR="00A56952" w:rsidRPr="002F3A26" w:rsidRDefault="00A56952" w:rsidP="00CC41E7">
            <w:pPr>
              <w:pStyle w:val="TableParagraph"/>
              <w:snapToGrid w:val="0"/>
              <w:ind w:left="170"/>
              <w:rPr>
                <w:rFonts w:cs="Arial"/>
              </w:rPr>
            </w:pPr>
            <w:r w:rsidRPr="002F3A26">
              <w:t>443609</w:t>
            </w:r>
          </w:p>
        </w:tc>
        <w:tc>
          <w:tcPr>
            <w:tcW w:w="1283" w:type="dxa"/>
          </w:tcPr>
          <w:p w14:paraId="482AB9BB" w14:textId="77777777" w:rsidR="00A56952" w:rsidRPr="002F3A26" w:rsidRDefault="00A56952" w:rsidP="00CC41E7">
            <w:pPr>
              <w:pStyle w:val="TableParagraph"/>
              <w:snapToGrid w:val="0"/>
              <w:ind w:left="170"/>
              <w:rPr>
                <w:rFonts w:cs="Arial"/>
              </w:rPr>
            </w:pPr>
            <w:r w:rsidRPr="002F3A26">
              <w:t>443609</w:t>
            </w:r>
          </w:p>
        </w:tc>
        <w:tc>
          <w:tcPr>
            <w:tcW w:w="1333" w:type="dxa"/>
          </w:tcPr>
          <w:p w14:paraId="2A240FD4" w14:textId="77777777" w:rsidR="00A56952" w:rsidRPr="002F3A26" w:rsidRDefault="00A56952" w:rsidP="00CC41E7">
            <w:pPr>
              <w:pStyle w:val="TableParagraph"/>
              <w:snapToGrid w:val="0"/>
              <w:ind w:left="170"/>
              <w:rPr>
                <w:rFonts w:cs="Arial"/>
              </w:rPr>
            </w:pPr>
            <w:r w:rsidRPr="002F3A26">
              <w:t>443609</w:t>
            </w:r>
          </w:p>
        </w:tc>
      </w:tr>
      <w:tr w:rsidR="00A56952" w:rsidRPr="002F3A26" w14:paraId="71BE6562" w14:textId="77777777" w:rsidTr="00D17B28">
        <w:trPr>
          <w:trHeight w:val="20"/>
        </w:trPr>
        <w:tc>
          <w:tcPr>
            <w:tcW w:w="5131" w:type="dxa"/>
          </w:tcPr>
          <w:p w14:paraId="7F11BD8C" w14:textId="52DFC11A" w:rsidR="00A56952" w:rsidRPr="002F3A26" w:rsidRDefault="00A56952" w:rsidP="00CC41E7">
            <w:pPr>
              <w:pStyle w:val="TableParagraph"/>
              <w:snapToGrid w:val="0"/>
              <w:rPr>
                <w:rFonts w:cs="Arial"/>
              </w:rPr>
            </w:pPr>
            <w:r w:rsidRPr="002F3A26">
              <w:t xml:space="preserve">Pseudo </w:t>
            </w:r>
            <w:r w:rsidRPr="002F3A26">
              <w:rPr>
                <w:i/>
                <w:iCs/>
              </w:rPr>
              <w:t>R</w:t>
            </w:r>
            <w:r w:rsidRPr="002F3A26">
              <w:rPr>
                <w:vertAlign w:val="superscript"/>
              </w:rPr>
              <w:t>2</w:t>
            </w:r>
          </w:p>
        </w:tc>
        <w:tc>
          <w:tcPr>
            <w:tcW w:w="1140" w:type="dxa"/>
          </w:tcPr>
          <w:p w14:paraId="66A1A615" w14:textId="77777777" w:rsidR="00A56952" w:rsidRPr="002F3A26" w:rsidRDefault="00A56952" w:rsidP="00CC41E7">
            <w:pPr>
              <w:pStyle w:val="TableParagraph"/>
              <w:snapToGrid w:val="0"/>
              <w:ind w:left="170"/>
              <w:rPr>
                <w:rFonts w:cs="Arial"/>
              </w:rPr>
            </w:pPr>
            <w:r w:rsidRPr="002F3A26">
              <w:t>0.085</w:t>
            </w:r>
          </w:p>
        </w:tc>
        <w:tc>
          <w:tcPr>
            <w:tcW w:w="1283" w:type="dxa"/>
          </w:tcPr>
          <w:p w14:paraId="626D67FE" w14:textId="77777777" w:rsidR="00A56952" w:rsidRPr="002F3A26" w:rsidRDefault="00A56952" w:rsidP="00CC41E7">
            <w:pPr>
              <w:pStyle w:val="TableParagraph"/>
              <w:snapToGrid w:val="0"/>
              <w:ind w:left="170"/>
              <w:rPr>
                <w:rFonts w:cs="Arial"/>
              </w:rPr>
            </w:pPr>
            <w:r w:rsidRPr="002F3A26">
              <w:t>0.138</w:t>
            </w:r>
          </w:p>
        </w:tc>
        <w:tc>
          <w:tcPr>
            <w:tcW w:w="1333" w:type="dxa"/>
          </w:tcPr>
          <w:p w14:paraId="1A3B587D" w14:textId="77777777" w:rsidR="00A56952" w:rsidRPr="002F3A26" w:rsidRDefault="00A56952" w:rsidP="00CC41E7">
            <w:pPr>
              <w:pStyle w:val="TableParagraph"/>
              <w:snapToGrid w:val="0"/>
              <w:ind w:left="170"/>
              <w:rPr>
                <w:rFonts w:cs="Arial"/>
              </w:rPr>
            </w:pPr>
            <w:r w:rsidRPr="002F3A26">
              <w:t>0.138</w:t>
            </w:r>
          </w:p>
        </w:tc>
      </w:tr>
    </w:tbl>
    <w:p w14:paraId="7DEF9F6C" w14:textId="42B0DA0E" w:rsidR="00500DF0" w:rsidRPr="002F3A26" w:rsidRDefault="00500DF0" w:rsidP="00500DF0">
      <w:pPr>
        <w:pStyle w:val="Notes"/>
      </w:pPr>
      <w:r w:rsidRPr="002F3A26">
        <w:t xml:space="preserve">Notes: Data from PLIDA.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Statistical significance: * p &lt; 0.05, ** p &lt; 0.01, *** p &lt; 0.001.</w:t>
      </w:r>
    </w:p>
    <w:p w14:paraId="6B4CBAFE" w14:textId="77777777" w:rsidR="00A56952" w:rsidRPr="002F3A26" w:rsidRDefault="00A56952" w:rsidP="00A56952"/>
    <w:p w14:paraId="15FBF729" w14:textId="77777777" w:rsidR="00CA6B25" w:rsidRDefault="00CA6B25">
      <w:pPr>
        <w:spacing w:line="259" w:lineRule="auto"/>
        <w:rPr>
          <w:i/>
          <w:iCs/>
          <w:color w:val="351C26" w:themeColor="text2"/>
          <w:sz w:val="18"/>
          <w:szCs w:val="18"/>
        </w:rPr>
      </w:pPr>
      <w:bookmarkStart w:id="86" w:name="_Ref191462348"/>
      <w:r>
        <w:br w:type="page"/>
      </w:r>
    </w:p>
    <w:p w14:paraId="656AA423" w14:textId="4E6DC108" w:rsidR="00A56952" w:rsidRPr="002F3A26" w:rsidRDefault="00500DF0" w:rsidP="00D23949">
      <w:pPr>
        <w:pStyle w:val="Caption"/>
      </w:pPr>
      <w:r>
        <w:lastRenderedPageBreak/>
        <w:t xml:space="preserve">Table </w:t>
      </w:r>
      <w:fldSimple w:instr=" STYLEREF 7 \s ">
        <w:r w:rsidR="00627572">
          <w:rPr>
            <w:noProof/>
          </w:rPr>
          <w:t>B</w:t>
        </w:r>
      </w:fldSimple>
      <w:r>
        <w:noBreakHyphen/>
      </w:r>
      <w:fldSimple w:instr=" SEQ Table_ap \* ARABIC \s 7 ">
        <w:r w:rsidR="00627572">
          <w:rPr>
            <w:noProof/>
          </w:rPr>
          <w:t>3</w:t>
        </w:r>
      </w:fldSimple>
      <w:bookmarkEnd w:id="86"/>
      <w:r w:rsidR="006D4F66">
        <w:rPr>
          <w:noProof/>
        </w:rPr>
        <w:t>:</w:t>
      </w:r>
      <w:r w:rsidR="00926015">
        <w:t xml:space="preserve"> M</w:t>
      </w:r>
      <w:r w:rsidR="00926015" w:rsidRPr="002F3A26">
        <w:t>odel coefficients (odds ratios) from logistic regression models of enrolment in a selective institution</w:t>
      </w:r>
    </w:p>
    <w:tbl>
      <w:tblPr>
        <w:tblStyle w:val="ACSEStable"/>
        <w:tblW w:w="0" w:type="auto"/>
        <w:tblCellMar>
          <w:top w:w="28" w:type="dxa"/>
          <w:left w:w="68" w:type="dxa"/>
          <w:bottom w:w="28" w:type="dxa"/>
          <w:right w:w="68" w:type="dxa"/>
        </w:tblCellMar>
        <w:tblLook w:val="04A0" w:firstRow="1" w:lastRow="0" w:firstColumn="1" w:lastColumn="0" w:noHBand="0" w:noVBand="1"/>
      </w:tblPr>
      <w:tblGrid>
        <w:gridCol w:w="5124"/>
        <w:gridCol w:w="1139"/>
        <w:gridCol w:w="1282"/>
        <w:gridCol w:w="1332"/>
      </w:tblGrid>
      <w:tr w:rsidR="00A56952" w:rsidRPr="002F3A26" w14:paraId="47939DE6" w14:textId="77777777" w:rsidTr="00D17B28">
        <w:trPr>
          <w:cnfStyle w:val="100000000000" w:firstRow="1" w:lastRow="0" w:firstColumn="0" w:lastColumn="0" w:oddVBand="0" w:evenVBand="0" w:oddHBand="0" w:evenHBand="0" w:firstRowFirstColumn="0" w:firstRowLastColumn="0" w:lastRowFirstColumn="0" w:lastRowLastColumn="0"/>
          <w:trHeight w:val="230"/>
        </w:trPr>
        <w:tc>
          <w:tcPr>
            <w:tcW w:w="5124" w:type="dxa"/>
          </w:tcPr>
          <w:p w14:paraId="4727ADD4" w14:textId="77777777" w:rsidR="00A56952" w:rsidRPr="002F3A26" w:rsidRDefault="00A56952" w:rsidP="00A408CA">
            <w:pPr>
              <w:pStyle w:val="TOCHeading"/>
              <w:rPr>
                <w:rFonts w:cs="Arial"/>
                <w:b/>
                <w:bCs/>
              </w:rPr>
            </w:pPr>
            <w:r w:rsidRPr="002F3A26">
              <w:rPr>
                <w:rFonts w:cs="Arial"/>
                <w:b/>
                <w:bCs/>
              </w:rPr>
              <w:t>Model number</w:t>
            </w:r>
          </w:p>
        </w:tc>
        <w:tc>
          <w:tcPr>
            <w:tcW w:w="1139" w:type="dxa"/>
          </w:tcPr>
          <w:p w14:paraId="5844730F" w14:textId="77777777" w:rsidR="00A56952" w:rsidRPr="002F3A26" w:rsidRDefault="00A56952" w:rsidP="00A408CA">
            <w:pPr>
              <w:pStyle w:val="TOCHeading"/>
              <w:jc w:val="center"/>
              <w:rPr>
                <w:rFonts w:cs="Arial"/>
                <w:b/>
                <w:bCs/>
              </w:rPr>
            </w:pPr>
            <w:r w:rsidRPr="002F3A26">
              <w:rPr>
                <w:rFonts w:cs="Arial"/>
                <w:b/>
                <w:bCs/>
              </w:rPr>
              <w:t>I</w:t>
            </w:r>
          </w:p>
        </w:tc>
        <w:tc>
          <w:tcPr>
            <w:tcW w:w="1282" w:type="dxa"/>
          </w:tcPr>
          <w:p w14:paraId="54FEE682" w14:textId="77777777" w:rsidR="00A56952" w:rsidRPr="002F3A26" w:rsidRDefault="00A56952" w:rsidP="00A408CA">
            <w:pPr>
              <w:pStyle w:val="TOCHeading"/>
              <w:jc w:val="center"/>
              <w:rPr>
                <w:rFonts w:cs="Arial"/>
                <w:b/>
                <w:bCs/>
              </w:rPr>
            </w:pPr>
            <w:r w:rsidRPr="002F3A26">
              <w:rPr>
                <w:rFonts w:cs="Arial"/>
                <w:b/>
                <w:bCs/>
              </w:rPr>
              <w:t>II</w:t>
            </w:r>
          </w:p>
        </w:tc>
        <w:tc>
          <w:tcPr>
            <w:tcW w:w="1332" w:type="dxa"/>
          </w:tcPr>
          <w:p w14:paraId="51DDDDD2" w14:textId="77777777" w:rsidR="00A56952" w:rsidRPr="002F3A26" w:rsidRDefault="00A56952" w:rsidP="00A408CA">
            <w:pPr>
              <w:pStyle w:val="TOCHeading"/>
              <w:jc w:val="center"/>
              <w:rPr>
                <w:rFonts w:cs="Arial"/>
                <w:b/>
                <w:bCs/>
              </w:rPr>
            </w:pPr>
            <w:r w:rsidRPr="002F3A26">
              <w:rPr>
                <w:rFonts w:cs="Arial"/>
                <w:b/>
                <w:bCs/>
              </w:rPr>
              <w:t>III</w:t>
            </w:r>
          </w:p>
        </w:tc>
      </w:tr>
      <w:tr w:rsidR="00A56952" w:rsidRPr="002F3A26" w14:paraId="4F247A18" w14:textId="77777777" w:rsidTr="00D17B28">
        <w:trPr>
          <w:trHeight w:val="237"/>
        </w:trPr>
        <w:tc>
          <w:tcPr>
            <w:tcW w:w="5124" w:type="dxa"/>
            <w:shd w:val="clear" w:color="auto" w:fill="78DED9" w:themeFill="accent1"/>
          </w:tcPr>
          <w:p w14:paraId="051D6DE1" w14:textId="77777777" w:rsidR="00A56952" w:rsidRPr="002F3A26" w:rsidRDefault="00A56952" w:rsidP="00A408CA">
            <w:pPr>
              <w:pStyle w:val="TOCHeading"/>
            </w:pPr>
            <w:r w:rsidRPr="002F3A26">
              <w:t>Model title</w:t>
            </w:r>
          </w:p>
        </w:tc>
        <w:tc>
          <w:tcPr>
            <w:tcW w:w="1139" w:type="dxa"/>
            <w:shd w:val="clear" w:color="auto" w:fill="78DED9" w:themeFill="accent1"/>
          </w:tcPr>
          <w:p w14:paraId="550D04BD" w14:textId="77777777" w:rsidR="00A56952" w:rsidRPr="002F3A26" w:rsidRDefault="00A56952" w:rsidP="00A408CA">
            <w:pPr>
              <w:pStyle w:val="TOCHeading"/>
              <w:jc w:val="center"/>
            </w:pPr>
            <w:r w:rsidRPr="002F3A26">
              <w:t>FiF</w:t>
            </w:r>
          </w:p>
        </w:tc>
        <w:tc>
          <w:tcPr>
            <w:tcW w:w="1282" w:type="dxa"/>
            <w:shd w:val="clear" w:color="auto" w:fill="78DED9" w:themeFill="accent1"/>
          </w:tcPr>
          <w:p w14:paraId="6F7BA2BF" w14:textId="77777777" w:rsidR="00A56952" w:rsidRPr="002F3A26" w:rsidRDefault="00A56952" w:rsidP="00A408CA">
            <w:pPr>
              <w:pStyle w:val="TOCHeading"/>
              <w:jc w:val="center"/>
            </w:pPr>
            <w:r w:rsidRPr="002F3A26">
              <w:t>FiF+EG</w:t>
            </w:r>
          </w:p>
        </w:tc>
        <w:tc>
          <w:tcPr>
            <w:tcW w:w="1332" w:type="dxa"/>
            <w:shd w:val="clear" w:color="auto" w:fill="78DED9" w:themeFill="accent1"/>
          </w:tcPr>
          <w:p w14:paraId="751F5C4A" w14:textId="77777777" w:rsidR="00A56952" w:rsidRPr="002F3A26" w:rsidRDefault="00A56952" w:rsidP="00A408CA">
            <w:pPr>
              <w:pStyle w:val="TOCHeading"/>
              <w:jc w:val="center"/>
            </w:pPr>
            <w:r w:rsidRPr="002F3A26">
              <w:t>FiFxEG</w:t>
            </w:r>
          </w:p>
        </w:tc>
      </w:tr>
      <w:tr w:rsidR="00A56952" w:rsidRPr="002F3A26" w14:paraId="3815D2D7" w14:textId="77777777" w:rsidTr="00D17B28">
        <w:trPr>
          <w:trHeight w:val="96"/>
        </w:trPr>
        <w:tc>
          <w:tcPr>
            <w:tcW w:w="5124" w:type="dxa"/>
          </w:tcPr>
          <w:p w14:paraId="456CC442" w14:textId="77777777" w:rsidR="00A56952" w:rsidRPr="002F3A26" w:rsidRDefault="00A56952" w:rsidP="00A408CA">
            <w:pPr>
              <w:pStyle w:val="TableParagraph"/>
            </w:pPr>
            <w:r w:rsidRPr="002F3A26">
              <w:t>FiF</w:t>
            </w:r>
          </w:p>
        </w:tc>
        <w:tc>
          <w:tcPr>
            <w:tcW w:w="1139" w:type="dxa"/>
          </w:tcPr>
          <w:p w14:paraId="78B1F423" w14:textId="77777777" w:rsidR="00A56952" w:rsidRPr="002F3A26" w:rsidRDefault="00A56952" w:rsidP="00A408CA">
            <w:pPr>
              <w:pStyle w:val="TableParagraph"/>
              <w:ind w:left="170"/>
            </w:pPr>
            <w:r w:rsidRPr="002F3A26">
              <w:t>0.51</w:t>
            </w:r>
            <w:r w:rsidRPr="002F3A26">
              <w:rPr>
                <w:vertAlign w:val="superscript"/>
              </w:rPr>
              <w:t>***</w:t>
            </w:r>
          </w:p>
        </w:tc>
        <w:tc>
          <w:tcPr>
            <w:tcW w:w="1282" w:type="dxa"/>
          </w:tcPr>
          <w:p w14:paraId="5DEFCC96" w14:textId="77777777" w:rsidR="00A56952" w:rsidRPr="002F3A26" w:rsidRDefault="00A56952" w:rsidP="00A408CA">
            <w:pPr>
              <w:pStyle w:val="TableParagraph"/>
              <w:ind w:left="170"/>
            </w:pPr>
            <w:r w:rsidRPr="002F3A26">
              <w:t>0.56</w:t>
            </w:r>
            <w:r w:rsidRPr="002F3A26">
              <w:rPr>
                <w:vertAlign w:val="superscript"/>
              </w:rPr>
              <w:t>***</w:t>
            </w:r>
          </w:p>
        </w:tc>
        <w:tc>
          <w:tcPr>
            <w:tcW w:w="1332" w:type="dxa"/>
          </w:tcPr>
          <w:p w14:paraId="538889A8" w14:textId="77777777" w:rsidR="00A56952" w:rsidRPr="002F3A26" w:rsidRDefault="00A56952" w:rsidP="00A408CA">
            <w:pPr>
              <w:pStyle w:val="TableParagraph"/>
              <w:ind w:left="170"/>
            </w:pPr>
            <w:r w:rsidRPr="002F3A26">
              <w:t>0.56</w:t>
            </w:r>
            <w:r w:rsidRPr="002F3A26">
              <w:rPr>
                <w:vertAlign w:val="superscript"/>
              </w:rPr>
              <w:t>***</w:t>
            </w:r>
          </w:p>
        </w:tc>
      </w:tr>
      <w:tr w:rsidR="00A56952" w:rsidRPr="002F3A26" w14:paraId="48FCA4A0" w14:textId="77777777" w:rsidTr="00D17B28">
        <w:trPr>
          <w:trHeight w:val="218"/>
        </w:trPr>
        <w:tc>
          <w:tcPr>
            <w:tcW w:w="5124" w:type="dxa"/>
          </w:tcPr>
          <w:p w14:paraId="38464FA8" w14:textId="77777777" w:rsidR="00A56952" w:rsidRPr="002F3A26" w:rsidRDefault="00A56952" w:rsidP="00A408CA">
            <w:pPr>
              <w:pStyle w:val="TableParagraph"/>
              <w:rPr>
                <w:rFonts w:cs="Arial"/>
              </w:rPr>
            </w:pPr>
            <w:r w:rsidRPr="002F3A26">
              <w:t>Father: not manager/professional</w:t>
            </w:r>
          </w:p>
        </w:tc>
        <w:tc>
          <w:tcPr>
            <w:tcW w:w="1139" w:type="dxa"/>
          </w:tcPr>
          <w:p w14:paraId="7C6AB9CB" w14:textId="77777777" w:rsidR="00A56952" w:rsidRPr="002F3A26" w:rsidRDefault="00A56952" w:rsidP="00A408CA">
            <w:pPr>
              <w:pStyle w:val="TableParagraph"/>
              <w:ind w:left="170"/>
              <w:rPr>
                <w:rFonts w:cs="Arial"/>
              </w:rPr>
            </w:pPr>
            <w:r w:rsidRPr="002F3A26">
              <w:t>0.84</w:t>
            </w:r>
            <w:r w:rsidRPr="002F3A26">
              <w:rPr>
                <w:vertAlign w:val="superscript"/>
              </w:rPr>
              <w:t>***</w:t>
            </w:r>
          </w:p>
        </w:tc>
        <w:tc>
          <w:tcPr>
            <w:tcW w:w="1282" w:type="dxa"/>
          </w:tcPr>
          <w:p w14:paraId="256691D1" w14:textId="77777777" w:rsidR="00A56952" w:rsidRPr="002F3A26" w:rsidRDefault="00A56952" w:rsidP="00A408CA">
            <w:pPr>
              <w:pStyle w:val="TableParagraph"/>
              <w:ind w:left="170"/>
              <w:rPr>
                <w:rFonts w:cs="Arial"/>
              </w:rPr>
            </w:pPr>
            <w:r w:rsidRPr="002F3A26">
              <w:t>0.83</w:t>
            </w:r>
            <w:r w:rsidRPr="002F3A26">
              <w:rPr>
                <w:vertAlign w:val="superscript"/>
              </w:rPr>
              <w:t>***</w:t>
            </w:r>
          </w:p>
        </w:tc>
        <w:tc>
          <w:tcPr>
            <w:tcW w:w="1332" w:type="dxa"/>
          </w:tcPr>
          <w:p w14:paraId="6AF4B625" w14:textId="77777777" w:rsidR="00A56952" w:rsidRPr="002F3A26" w:rsidRDefault="00A56952" w:rsidP="00A408CA">
            <w:pPr>
              <w:pStyle w:val="TableParagraph"/>
              <w:ind w:left="170"/>
              <w:rPr>
                <w:rFonts w:cs="Arial"/>
              </w:rPr>
            </w:pPr>
            <w:r w:rsidRPr="002F3A26">
              <w:t>0.84</w:t>
            </w:r>
            <w:r w:rsidRPr="002F3A26">
              <w:rPr>
                <w:vertAlign w:val="superscript"/>
              </w:rPr>
              <w:t>***</w:t>
            </w:r>
          </w:p>
        </w:tc>
      </w:tr>
      <w:tr w:rsidR="00A56952" w:rsidRPr="002F3A26" w14:paraId="3C3CAC07" w14:textId="77777777" w:rsidTr="00D17B28">
        <w:trPr>
          <w:trHeight w:val="218"/>
        </w:trPr>
        <w:tc>
          <w:tcPr>
            <w:tcW w:w="5124" w:type="dxa"/>
          </w:tcPr>
          <w:p w14:paraId="1F445948" w14:textId="77777777" w:rsidR="00A56952" w:rsidRPr="002F3A26" w:rsidRDefault="00A56952" w:rsidP="00A408CA">
            <w:pPr>
              <w:pStyle w:val="TableParagraph"/>
              <w:rPr>
                <w:rFonts w:cs="Arial"/>
              </w:rPr>
            </w:pPr>
            <w:r w:rsidRPr="002F3A26">
              <w:t>Mother: not manager/professional</w:t>
            </w:r>
          </w:p>
        </w:tc>
        <w:tc>
          <w:tcPr>
            <w:tcW w:w="1139" w:type="dxa"/>
          </w:tcPr>
          <w:p w14:paraId="1C21D9C1" w14:textId="77777777" w:rsidR="00A56952" w:rsidRPr="002F3A26" w:rsidRDefault="00A56952" w:rsidP="00A408CA">
            <w:pPr>
              <w:pStyle w:val="TableParagraph"/>
              <w:ind w:left="170"/>
              <w:rPr>
                <w:rFonts w:cs="Arial"/>
              </w:rPr>
            </w:pPr>
            <w:r w:rsidRPr="002F3A26">
              <w:t>1.06</w:t>
            </w:r>
            <w:r w:rsidRPr="002F3A26">
              <w:rPr>
                <w:vertAlign w:val="superscript"/>
              </w:rPr>
              <w:t>***</w:t>
            </w:r>
          </w:p>
        </w:tc>
        <w:tc>
          <w:tcPr>
            <w:tcW w:w="1282" w:type="dxa"/>
          </w:tcPr>
          <w:p w14:paraId="59AB763C" w14:textId="77777777" w:rsidR="00A56952" w:rsidRPr="002F3A26" w:rsidRDefault="00A56952" w:rsidP="00A408CA">
            <w:pPr>
              <w:pStyle w:val="TableParagraph"/>
              <w:ind w:left="170"/>
              <w:rPr>
                <w:rFonts w:cs="Arial"/>
              </w:rPr>
            </w:pPr>
            <w:r w:rsidRPr="002F3A26">
              <w:t>0.99</w:t>
            </w:r>
          </w:p>
        </w:tc>
        <w:tc>
          <w:tcPr>
            <w:tcW w:w="1332" w:type="dxa"/>
          </w:tcPr>
          <w:p w14:paraId="21E3D3AF" w14:textId="77777777" w:rsidR="00A56952" w:rsidRPr="002F3A26" w:rsidRDefault="00A56952" w:rsidP="00A408CA">
            <w:pPr>
              <w:pStyle w:val="TableParagraph"/>
              <w:ind w:left="170"/>
              <w:rPr>
                <w:rFonts w:cs="Arial"/>
              </w:rPr>
            </w:pPr>
            <w:r w:rsidRPr="002F3A26">
              <w:t>0.99</w:t>
            </w:r>
          </w:p>
        </w:tc>
      </w:tr>
      <w:tr w:rsidR="00A56952" w:rsidRPr="002F3A26" w14:paraId="7A1A9CFD" w14:textId="77777777" w:rsidTr="00D17B28">
        <w:trPr>
          <w:trHeight w:val="218"/>
        </w:trPr>
        <w:tc>
          <w:tcPr>
            <w:tcW w:w="5124" w:type="dxa"/>
          </w:tcPr>
          <w:p w14:paraId="7EA05F02" w14:textId="77777777" w:rsidR="00A56952" w:rsidRPr="002F3A26" w:rsidRDefault="00A56952" w:rsidP="00A408CA">
            <w:pPr>
              <w:pStyle w:val="TableParagraph"/>
              <w:rPr>
                <w:rFonts w:cs="Arial"/>
              </w:rPr>
            </w:pPr>
            <w:r w:rsidRPr="002F3A26">
              <w:t>Single parent</w:t>
            </w:r>
          </w:p>
        </w:tc>
        <w:tc>
          <w:tcPr>
            <w:tcW w:w="1139" w:type="dxa"/>
          </w:tcPr>
          <w:p w14:paraId="6969C117" w14:textId="77777777" w:rsidR="00A56952" w:rsidRPr="002F3A26" w:rsidRDefault="00A56952" w:rsidP="00A408CA">
            <w:pPr>
              <w:pStyle w:val="TableParagraph"/>
              <w:ind w:left="170"/>
              <w:rPr>
                <w:rFonts w:cs="Arial"/>
              </w:rPr>
            </w:pPr>
            <w:r w:rsidRPr="002F3A26">
              <w:t>0.99</w:t>
            </w:r>
          </w:p>
        </w:tc>
        <w:tc>
          <w:tcPr>
            <w:tcW w:w="1282" w:type="dxa"/>
          </w:tcPr>
          <w:p w14:paraId="192188D1" w14:textId="77777777" w:rsidR="00A56952" w:rsidRPr="002F3A26" w:rsidRDefault="00A56952" w:rsidP="00A408CA">
            <w:pPr>
              <w:pStyle w:val="TableParagraph"/>
              <w:ind w:left="170"/>
              <w:rPr>
                <w:rFonts w:cs="Arial"/>
              </w:rPr>
            </w:pPr>
            <w:r w:rsidRPr="002F3A26">
              <w:t>0.99</w:t>
            </w:r>
          </w:p>
        </w:tc>
        <w:tc>
          <w:tcPr>
            <w:tcW w:w="1332" w:type="dxa"/>
          </w:tcPr>
          <w:p w14:paraId="368A7E43" w14:textId="77777777" w:rsidR="00A56952" w:rsidRPr="002F3A26" w:rsidRDefault="00A56952" w:rsidP="00A408CA">
            <w:pPr>
              <w:pStyle w:val="TableParagraph"/>
              <w:ind w:left="170"/>
              <w:rPr>
                <w:rFonts w:cs="Arial"/>
              </w:rPr>
            </w:pPr>
            <w:r w:rsidRPr="002F3A26">
              <w:t>0.99</w:t>
            </w:r>
          </w:p>
        </w:tc>
      </w:tr>
      <w:tr w:rsidR="00A56952" w:rsidRPr="002F3A26" w14:paraId="0FFB4A0F" w14:textId="77777777" w:rsidTr="00D17B28">
        <w:trPr>
          <w:trHeight w:val="218"/>
        </w:trPr>
        <w:tc>
          <w:tcPr>
            <w:tcW w:w="5124" w:type="dxa"/>
          </w:tcPr>
          <w:p w14:paraId="6A058F24" w14:textId="77777777" w:rsidR="00A56952" w:rsidRPr="002F3A26" w:rsidRDefault="00A56952" w:rsidP="00A408CA">
            <w:pPr>
              <w:pStyle w:val="TableParagraph"/>
            </w:pPr>
            <w:r w:rsidRPr="002F3A26">
              <w:t>Family income (ref. $3,000 or more)</w:t>
            </w:r>
          </w:p>
        </w:tc>
        <w:tc>
          <w:tcPr>
            <w:tcW w:w="1139" w:type="dxa"/>
          </w:tcPr>
          <w:p w14:paraId="7251543B" w14:textId="77777777" w:rsidR="00A56952" w:rsidRPr="002F3A26" w:rsidRDefault="00A56952" w:rsidP="00A408CA">
            <w:pPr>
              <w:pStyle w:val="TableParagraph"/>
              <w:ind w:left="170"/>
            </w:pPr>
          </w:p>
        </w:tc>
        <w:tc>
          <w:tcPr>
            <w:tcW w:w="1282" w:type="dxa"/>
          </w:tcPr>
          <w:p w14:paraId="35195AD0" w14:textId="77777777" w:rsidR="00A56952" w:rsidRPr="002F3A26" w:rsidRDefault="00A56952" w:rsidP="00A408CA">
            <w:pPr>
              <w:pStyle w:val="TableParagraph"/>
              <w:ind w:left="170"/>
            </w:pPr>
          </w:p>
        </w:tc>
        <w:tc>
          <w:tcPr>
            <w:tcW w:w="1332" w:type="dxa"/>
          </w:tcPr>
          <w:p w14:paraId="28BDAF50" w14:textId="77777777" w:rsidR="00A56952" w:rsidRPr="002F3A26" w:rsidRDefault="00A56952" w:rsidP="00A408CA">
            <w:pPr>
              <w:pStyle w:val="TableParagraph"/>
              <w:ind w:left="170"/>
            </w:pPr>
          </w:p>
        </w:tc>
      </w:tr>
      <w:tr w:rsidR="00A56952" w:rsidRPr="002F3A26" w14:paraId="3B22707E" w14:textId="77777777" w:rsidTr="00D17B28">
        <w:trPr>
          <w:trHeight w:val="218"/>
        </w:trPr>
        <w:tc>
          <w:tcPr>
            <w:tcW w:w="5124" w:type="dxa"/>
          </w:tcPr>
          <w:p w14:paraId="3654EB8E" w14:textId="77777777" w:rsidR="00A56952" w:rsidRPr="002F3A26" w:rsidRDefault="00A56952" w:rsidP="00A408CA">
            <w:pPr>
              <w:pStyle w:val="TableParagraph"/>
              <w:rPr>
                <w:rFonts w:cs="Arial"/>
              </w:rPr>
            </w:pPr>
            <w:r w:rsidRPr="002F3A26">
              <w:t>$1,249 or less</w:t>
            </w:r>
          </w:p>
        </w:tc>
        <w:tc>
          <w:tcPr>
            <w:tcW w:w="1139" w:type="dxa"/>
          </w:tcPr>
          <w:p w14:paraId="72DD72B6" w14:textId="77777777" w:rsidR="00A56952" w:rsidRPr="002F3A26" w:rsidRDefault="00A56952" w:rsidP="00A408CA">
            <w:pPr>
              <w:pStyle w:val="TableParagraph"/>
              <w:ind w:left="170"/>
              <w:rPr>
                <w:rFonts w:cs="Arial"/>
              </w:rPr>
            </w:pPr>
            <w:r w:rsidRPr="002F3A26">
              <w:t>1.05</w:t>
            </w:r>
            <w:r w:rsidRPr="002F3A26">
              <w:rPr>
                <w:vertAlign w:val="superscript"/>
              </w:rPr>
              <w:t>**</w:t>
            </w:r>
          </w:p>
        </w:tc>
        <w:tc>
          <w:tcPr>
            <w:tcW w:w="1282" w:type="dxa"/>
          </w:tcPr>
          <w:p w14:paraId="34869EF0" w14:textId="77777777" w:rsidR="00A56952" w:rsidRPr="002F3A26" w:rsidRDefault="00A56952" w:rsidP="00A408CA">
            <w:pPr>
              <w:pStyle w:val="TableParagraph"/>
              <w:ind w:left="170"/>
              <w:rPr>
                <w:rFonts w:cs="Arial"/>
              </w:rPr>
            </w:pPr>
            <w:r w:rsidRPr="002F3A26">
              <w:t>1.08</w:t>
            </w:r>
            <w:r w:rsidRPr="002F3A26">
              <w:rPr>
                <w:vertAlign w:val="superscript"/>
              </w:rPr>
              <w:t>***</w:t>
            </w:r>
          </w:p>
        </w:tc>
        <w:tc>
          <w:tcPr>
            <w:tcW w:w="1332" w:type="dxa"/>
          </w:tcPr>
          <w:p w14:paraId="2B8C298A" w14:textId="77777777" w:rsidR="00A56952" w:rsidRPr="002F3A26" w:rsidRDefault="00A56952" w:rsidP="00A408CA">
            <w:pPr>
              <w:pStyle w:val="TableParagraph"/>
              <w:ind w:left="170"/>
              <w:rPr>
                <w:rFonts w:cs="Arial"/>
              </w:rPr>
            </w:pPr>
            <w:r w:rsidRPr="002F3A26">
              <w:t>1.09</w:t>
            </w:r>
            <w:r w:rsidRPr="002F3A26">
              <w:rPr>
                <w:vertAlign w:val="superscript"/>
              </w:rPr>
              <w:t>***</w:t>
            </w:r>
          </w:p>
        </w:tc>
      </w:tr>
      <w:tr w:rsidR="00A56952" w:rsidRPr="002F3A26" w14:paraId="7945FC20" w14:textId="77777777" w:rsidTr="00D17B28">
        <w:trPr>
          <w:trHeight w:val="218"/>
        </w:trPr>
        <w:tc>
          <w:tcPr>
            <w:tcW w:w="5124" w:type="dxa"/>
          </w:tcPr>
          <w:p w14:paraId="3342780D" w14:textId="77777777" w:rsidR="00A56952" w:rsidRPr="002F3A26" w:rsidRDefault="00A56952" w:rsidP="00A408CA">
            <w:pPr>
              <w:pStyle w:val="TableParagraph"/>
              <w:rPr>
                <w:rFonts w:cs="Arial"/>
              </w:rPr>
            </w:pPr>
            <w:r w:rsidRPr="002F3A26">
              <w:t>$1,250-$1,999</w:t>
            </w:r>
          </w:p>
        </w:tc>
        <w:tc>
          <w:tcPr>
            <w:tcW w:w="1139" w:type="dxa"/>
          </w:tcPr>
          <w:p w14:paraId="1804623E" w14:textId="77777777" w:rsidR="00A56952" w:rsidRPr="002F3A26" w:rsidRDefault="00A56952" w:rsidP="00A408CA">
            <w:pPr>
              <w:pStyle w:val="TableParagraph"/>
              <w:ind w:left="170"/>
              <w:rPr>
                <w:rFonts w:cs="Arial"/>
              </w:rPr>
            </w:pPr>
            <w:r w:rsidRPr="002F3A26">
              <w:t>0.86</w:t>
            </w:r>
            <w:r w:rsidRPr="002F3A26">
              <w:rPr>
                <w:vertAlign w:val="superscript"/>
              </w:rPr>
              <w:t>***</w:t>
            </w:r>
          </w:p>
        </w:tc>
        <w:tc>
          <w:tcPr>
            <w:tcW w:w="1282" w:type="dxa"/>
          </w:tcPr>
          <w:p w14:paraId="7B399DFD" w14:textId="77777777" w:rsidR="00A56952" w:rsidRPr="002F3A26" w:rsidRDefault="00A56952" w:rsidP="00A408CA">
            <w:pPr>
              <w:pStyle w:val="TableParagraph"/>
              <w:ind w:left="170"/>
              <w:rPr>
                <w:rFonts w:cs="Arial"/>
              </w:rPr>
            </w:pPr>
            <w:r w:rsidRPr="002F3A26">
              <w:t>0.90</w:t>
            </w:r>
            <w:r w:rsidRPr="002F3A26">
              <w:rPr>
                <w:vertAlign w:val="superscript"/>
              </w:rPr>
              <w:t>***</w:t>
            </w:r>
          </w:p>
        </w:tc>
        <w:tc>
          <w:tcPr>
            <w:tcW w:w="1332" w:type="dxa"/>
          </w:tcPr>
          <w:p w14:paraId="6C6EFF53" w14:textId="77777777" w:rsidR="00A56952" w:rsidRPr="002F3A26" w:rsidRDefault="00A56952" w:rsidP="00A408CA">
            <w:pPr>
              <w:pStyle w:val="TableParagraph"/>
              <w:ind w:left="170"/>
              <w:rPr>
                <w:rFonts w:cs="Arial"/>
              </w:rPr>
            </w:pPr>
            <w:r w:rsidRPr="002F3A26">
              <w:t>0.91</w:t>
            </w:r>
            <w:r w:rsidRPr="002F3A26">
              <w:rPr>
                <w:vertAlign w:val="superscript"/>
              </w:rPr>
              <w:t>***</w:t>
            </w:r>
          </w:p>
        </w:tc>
      </w:tr>
      <w:tr w:rsidR="00A56952" w:rsidRPr="002F3A26" w14:paraId="3A64D6D4" w14:textId="77777777" w:rsidTr="00D17B28">
        <w:trPr>
          <w:trHeight w:val="218"/>
        </w:trPr>
        <w:tc>
          <w:tcPr>
            <w:tcW w:w="5124" w:type="dxa"/>
          </w:tcPr>
          <w:p w14:paraId="0CE643E6" w14:textId="77777777" w:rsidR="00A56952" w:rsidRPr="002F3A26" w:rsidRDefault="00A56952" w:rsidP="00A408CA">
            <w:pPr>
              <w:pStyle w:val="TableParagraph"/>
              <w:rPr>
                <w:rFonts w:cs="Arial"/>
              </w:rPr>
            </w:pPr>
            <w:r w:rsidRPr="002F3A26">
              <w:t>$2,000-$2,999</w:t>
            </w:r>
          </w:p>
        </w:tc>
        <w:tc>
          <w:tcPr>
            <w:tcW w:w="1139" w:type="dxa"/>
          </w:tcPr>
          <w:p w14:paraId="78C79429" w14:textId="77777777" w:rsidR="00A56952" w:rsidRPr="002F3A26" w:rsidRDefault="00A56952" w:rsidP="00A408CA">
            <w:pPr>
              <w:pStyle w:val="TableParagraph"/>
              <w:ind w:left="170"/>
              <w:rPr>
                <w:rFonts w:cs="Arial"/>
              </w:rPr>
            </w:pPr>
            <w:r w:rsidRPr="002F3A26">
              <w:t>0.79</w:t>
            </w:r>
            <w:r w:rsidRPr="002F3A26">
              <w:rPr>
                <w:vertAlign w:val="superscript"/>
              </w:rPr>
              <w:t>***</w:t>
            </w:r>
          </w:p>
        </w:tc>
        <w:tc>
          <w:tcPr>
            <w:tcW w:w="1282" w:type="dxa"/>
          </w:tcPr>
          <w:p w14:paraId="1B8BDF49" w14:textId="77777777" w:rsidR="00A56952" w:rsidRPr="002F3A26" w:rsidRDefault="00A56952" w:rsidP="00A408CA">
            <w:pPr>
              <w:pStyle w:val="TableParagraph"/>
              <w:ind w:left="170"/>
              <w:rPr>
                <w:rFonts w:cs="Arial"/>
              </w:rPr>
            </w:pPr>
            <w:r w:rsidRPr="002F3A26">
              <w:t>0.82</w:t>
            </w:r>
            <w:r w:rsidRPr="002F3A26">
              <w:rPr>
                <w:vertAlign w:val="superscript"/>
              </w:rPr>
              <w:t>***</w:t>
            </w:r>
          </w:p>
        </w:tc>
        <w:tc>
          <w:tcPr>
            <w:tcW w:w="1332" w:type="dxa"/>
          </w:tcPr>
          <w:p w14:paraId="6001A6B2" w14:textId="77777777" w:rsidR="00A56952" w:rsidRPr="002F3A26" w:rsidRDefault="00A56952" w:rsidP="00A408CA">
            <w:pPr>
              <w:pStyle w:val="TableParagraph"/>
              <w:ind w:left="170"/>
              <w:rPr>
                <w:rFonts w:cs="Arial"/>
              </w:rPr>
            </w:pPr>
            <w:r w:rsidRPr="002F3A26">
              <w:t>0.83</w:t>
            </w:r>
            <w:r w:rsidRPr="002F3A26">
              <w:rPr>
                <w:vertAlign w:val="superscript"/>
              </w:rPr>
              <w:t>***</w:t>
            </w:r>
          </w:p>
        </w:tc>
      </w:tr>
      <w:tr w:rsidR="00A56952" w:rsidRPr="002F3A26" w14:paraId="6DD38687" w14:textId="77777777" w:rsidTr="00D17B28">
        <w:trPr>
          <w:trHeight w:val="218"/>
        </w:trPr>
        <w:tc>
          <w:tcPr>
            <w:tcW w:w="5124" w:type="dxa"/>
          </w:tcPr>
          <w:p w14:paraId="49924687" w14:textId="77777777" w:rsidR="00A56952" w:rsidRPr="002F3A26" w:rsidRDefault="00A56952" w:rsidP="00A408CA">
            <w:pPr>
              <w:pStyle w:val="TableParagraph"/>
              <w:rPr>
                <w:rFonts w:cs="Arial"/>
              </w:rPr>
            </w:pPr>
            <w:r w:rsidRPr="002F3A26">
              <w:t>Partial/no information</w:t>
            </w:r>
          </w:p>
        </w:tc>
        <w:tc>
          <w:tcPr>
            <w:tcW w:w="1139" w:type="dxa"/>
          </w:tcPr>
          <w:p w14:paraId="0BA875C6" w14:textId="77777777" w:rsidR="00A56952" w:rsidRPr="002F3A26" w:rsidRDefault="00A56952" w:rsidP="00A408CA">
            <w:pPr>
              <w:pStyle w:val="TableParagraph"/>
              <w:ind w:left="170"/>
              <w:rPr>
                <w:rFonts w:cs="Arial"/>
              </w:rPr>
            </w:pPr>
            <w:r w:rsidRPr="002F3A26">
              <w:t>0.92</w:t>
            </w:r>
            <w:r w:rsidRPr="002F3A26">
              <w:rPr>
                <w:vertAlign w:val="superscript"/>
              </w:rPr>
              <w:t>***</w:t>
            </w:r>
          </w:p>
        </w:tc>
        <w:tc>
          <w:tcPr>
            <w:tcW w:w="1282" w:type="dxa"/>
          </w:tcPr>
          <w:p w14:paraId="58BAE067" w14:textId="77777777" w:rsidR="00A56952" w:rsidRPr="002F3A26" w:rsidRDefault="00A56952" w:rsidP="00A408CA">
            <w:pPr>
              <w:pStyle w:val="TableParagraph"/>
              <w:ind w:left="170"/>
              <w:rPr>
                <w:rFonts w:cs="Arial"/>
              </w:rPr>
            </w:pPr>
            <w:r w:rsidRPr="002F3A26">
              <w:t>1.01</w:t>
            </w:r>
          </w:p>
        </w:tc>
        <w:tc>
          <w:tcPr>
            <w:tcW w:w="1332" w:type="dxa"/>
          </w:tcPr>
          <w:p w14:paraId="143FC775" w14:textId="77777777" w:rsidR="00A56952" w:rsidRPr="002F3A26" w:rsidRDefault="00A56952" w:rsidP="00A408CA">
            <w:pPr>
              <w:pStyle w:val="TableParagraph"/>
              <w:ind w:left="170"/>
              <w:rPr>
                <w:rFonts w:cs="Arial"/>
              </w:rPr>
            </w:pPr>
            <w:r w:rsidRPr="002F3A26">
              <w:t>1.01</w:t>
            </w:r>
          </w:p>
        </w:tc>
      </w:tr>
      <w:tr w:rsidR="00A56952" w:rsidRPr="002F3A26" w14:paraId="2884ADF0" w14:textId="77777777" w:rsidTr="00D17B28">
        <w:trPr>
          <w:trHeight w:val="218"/>
        </w:trPr>
        <w:tc>
          <w:tcPr>
            <w:tcW w:w="5124" w:type="dxa"/>
          </w:tcPr>
          <w:p w14:paraId="66DCDDA1" w14:textId="77777777" w:rsidR="00A56952" w:rsidRPr="002F3A26" w:rsidRDefault="00A56952" w:rsidP="00A408CA">
            <w:pPr>
              <w:pStyle w:val="TableParagraph"/>
              <w:rPr>
                <w:rFonts w:cs="Arial"/>
              </w:rPr>
            </w:pPr>
            <w:r w:rsidRPr="002F3A26">
              <w:t>Low SES</w:t>
            </w:r>
          </w:p>
        </w:tc>
        <w:tc>
          <w:tcPr>
            <w:tcW w:w="1139" w:type="dxa"/>
          </w:tcPr>
          <w:p w14:paraId="422F5B9B" w14:textId="77777777" w:rsidR="00A56952" w:rsidRPr="002F3A26" w:rsidRDefault="00A56952" w:rsidP="00A408CA">
            <w:pPr>
              <w:pStyle w:val="TableParagraph"/>
              <w:ind w:left="170"/>
              <w:rPr>
                <w:rFonts w:cs="Arial"/>
              </w:rPr>
            </w:pPr>
          </w:p>
        </w:tc>
        <w:tc>
          <w:tcPr>
            <w:tcW w:w="1282" w:type="dxa"/>
          </w:tcPr>
          <w:p w14:paraId="2DDA154A" w14:textId="77777777" w:rsidR="00A56952" w:rsidRPr="002F3A26" w:rsidRDefault="00A56952" w:rsidP="00A408CA">
            <w:pPr>
              <w:pStyle w:val="TableParagraph"/>
              <w:ind w:left="170"/>
              <w:rPr>
                <w:rFonts w:cs="Arial"/>
              </w:rPr>
            </w:pPr>
            <w:r w:rsidRPr="002F3A26">
              <w:t>0.77</w:t>
            </w:r>
            <w:r w:rsidRPr="002F3A26">
              <w:rPr>
                <w:vertAlign w:val="superscript"/>
              </w:rPr>
              <w:t>***</w:t>
            </w:r>
          </w:p>
        </w:tc>
        <w:tc>
          <w:tcPr>
            <w:tcW w:w="1332" w:type="dxa"/>
          </w:tcPr>
          <w:p w14:paraId="226F7267" w14:textId="77777777" w:rsidR="00A56952" w:rsidRPr="002F3A26" w:rsidRDefault="00A56952" w:rsidP="00A408CA">
            <w:pPr>
              <w:pStyle w:val="TableParagraph"/>
              <w:ind w:left="170"/>
              <w:rPr>
                <w:rFonts w:cs="Arial"/>
              </w:rPr>
            </w:pPr>
            <w:r w:rsidRPr="002F3A26">
              <w:t>0.66</w:t>
            </w:r>
            <w:r w:rsidRPr="002F3A26">
              <w:rPr>
                <w:vertAlign w:val="superscript"/>
              </w:rPr>
              <w:t>***</w:t>
            </w:r>
          </w:p>
        </w:tc>
      </w:tr>
      <w:tr w:rsidR="00A56952" w:rsidRPr="002F3A26" w14:paraId="5859D2BF" w14:textId="77777777" w:rsidTr="00D17B28">
        <w:trPr>
          <w:trHeight w:val="218"/>
        </w:trPr>
        <w:tc>
          <w:tcPr>
            <w:tcW w:w="5124" w:type="dxa"/>
          </w:tcPr>
          <w:p w14:paraId="0511A5D6" w14:textId="47BE27E6" w:rsidR="00A56952" w:rsidRPr="002F3A26" w:rsidRDefault="009F5FEC" w:rsidP="00A408CA">
            <w:pPr>
              <w:pStyle w:val="TableParagraph"/>
              <w:rPr>
                <w:rFonts w:cs="Arial"/>
              </w:rPr>
            </w:pPr>
            <w:r>
              <w:t>RR</w:t>
            </w:r>
          </w:p>
        </w:tc>
        <w:tc>
          <w:tcPr>
            <w:tcW w:w="1139" w:type="dxa"/>
          </w:tcPr>
          <w:p w14:paraId="1113A776" w14:textId="77777777" w:rsidR="00A56952" w:rsidRPr="002F3A26" w:rsidRDefault="00A56952" w:rsidP="00A408CA">
            <w:pPr>
              <w:pStyle w:val="TableParagraph"/>
              <w:ind w:left="170"/>
              <w:rPr>
                <w:rFonts w:cs="Arial"/>
              </w:rPr>
            </w:pPr>
          </w:p>
        </w:tc>
        <w:tc>
          <w:tcPr>
            <w:tcW w:w="1282" w:type="dxa"/>
          </w:tcPr>
          <w:p w14:paraId="3A0C0D7E" w14:textId="77777777" w:rsidR="00A56952" w:rsidRPr="002F3A26" w:rsidRDefault="00A56952" w:rsidP="00A408CA">
            <w:pPr>
              <w:pStyle w:val="TableParagraph"/>
              <w:ind w:left="170"/>
              <w:rPr>
                <w:rFonts w:cs="Arial"/>
              </w:rPr>
            </w:pPr>
            <w:r w:rsidRPr="002F3A26">
              <w:t>0.36</w:t>
            </w:r>
            <w:r w:rsidRPr="002F3A26">
              <w:rPr>
                <w:vertAlign w:val="superscript"/>
              </w:rPr>
              <w:t>***</w:t>
            </w:r>
          </w:p>
        </w:tc>
        <w:tc>
          <w:tcPr>
            <w:tcW w:w="1332" w:type="dxa"/>
          </w:tcPr>
          <w:p w14:paraId="7B6E7A61" w14:textId="77777777" w:rsidR="00A56952" w:rsidRPr="002F3A26" w:rsidRDefault="00A56952" w:rsidP="00A408CA">
            <w:pPr>
              <w:pStyle w:val="TableParagraph"/>
              <w:ind w:left="170"/>
              <w:rPr>
                <w:rFonts w:cs="Arial"/>
              </w:rPr>
            </w:pPr>
            <w:r w:rsidRPr="002F3A26">
              <w:t>0.33</w:t>
            </w:r>
            <w:r w:rsidRPr="002F3A26">
              <w:rPr>
                <w:vertAlign w:val="superscript"/>
              </w:rPr>
              <w:t>***</w:t>
            </w:r>
          </w:p>
        </w:tc>
      </w:tr>
      <w:tr w:rsidR="00A56952" w:rsidRPr="002F3A26" w14:paraId="35CBB5D8" w14:textId="77777777" w:rsidTr="00D17B28">
        <w:trPr>
          <w:trHeight w:val="218"/>
        </w:trPr>
        <w:tc>
          <w:tcPr>
            <w:tcW w:w="5124" w:type="dxa"/>
          </w:tcPr>
          <w:p w14:paraId="08F6DECE" w14:textId="77777777" w:rsidR="00A56952" w:rsidRPr="002F3A26" w:rsidRDefault="00A56952" w:rsidP="00A408CA">
            <w:pPr>
              <w:pStyle w:val="TableParagraph"/>
              <w:rPr>
                <w:rFonts w:cs="Arial"/>
              </w:rPr>
            </w:pPr>
            <w:r w:rsidRPr="002F3A26">
              <w:t>Indigenous</w:t>
            </w:r>
          </w:p>
        </w:tc>
        <w:tc>
          <w:tcPr>
            <w:tcW w:w="1139" w:type="dxa"/>
          </w:tcPr>
          <w:p w14:paraId="01CE2A28" w14:textId="77777777" w:rsidR="00A56952" w:rsidRPr="002F3A26" w:rsidRDefault="00A56952" w:rsidP="00A408CA">
            <w:pPr>
              <w:pStyle w:val="TableParagraph"/>
              <w:ind w:left="170"/>
              <w:rPr>
                <w:rFonts w:cs="Arial"/>
              </w:rPr>
            </w:pPr>
          </w:p>
        </w:tc>
        <w:tc>
          <w:tcPr>
            <w:tcW w:w="1282" w:type="dxa"/>
          </w:tcPr>
          <w:p w14:paraId="5D33DF2D" w14:textId="77777777" w:rsidR="00A56952" w:rsidRPr="002F3A26" w:rsidRDefault="00A56952" w:rsidP="00A408CA">
            <w:pPr>
              <w:pStyle w:val="TableParagraph"/>
              <w:ind w:left="170"/>
              <w:rPr>
                <w:rFonts w:cs="Arial"/>
              </w:rPr>
            </w:pPr>
            <w:r w:rsidRPr="002F3A26">
              <w:t>0.75</w:t>
            </w:r>
            <w:r w:rsidRPr="002F3A26">
              <w:rPr>
                <w:vertAlign w:val="superscript"/>
              </w:rPr>
              <w:t>***</w:t>
            </w:r>
          </w:p>
        </w:tc>
        <w:tc>
          <w:tcPr>
            <w:tcW w:w="1332" w:type="dxa"/>
          </w:tcPr>
          <w:p w14:paraId="2A05A65B" w14:textId="77777777" w:rsidR="00A56952" w:rsidRPr="002F3A26" w:rsidRDefault="00A56952" w:rsidP="00A408CA">
            <w:pPr>
              <w:pStyle w:val="TableParagraph"/>
              <w:ind w:left="170"/>
              <w:rPr>
                <w:rFonts w:cs="Arial"/>
              </w:rPr>
            </w:pPr>
            <w:r w:rsidRPr="002F3A26">
              <w:t>0.66</w:t>
            </w:r>
            <w:r w:rsidRPr="002F3A26">
              <w:rPr>
                <w:vertAlign w:val="superscript"/>
              </w:rPr>
              <w:t>***</w:t>
            </w:r>
          </w:p>
        </w:tc>
      </w:tr>
      <w:tr w:rsidR="00A56952" w:rsidRPr="002F3A26" w14:paraId="2A1C433A" w14:textId="77777777" w:rsidTr="00D17B28">
        <w:trPr>
          <w:trHeight w:val="218"/>
        </w:trPr>
        <w:tc>
          <w:tcPr>
            <w:tcW w:w="5124" w:type="dxa"/>
          </w:tcPr>
          <w:p w14:paraId="630BEF91" w14:textId="77777777" w:rsidR="00A56952" w:rsidRPr="002F3A26" w:rsidRDefault="00A56952" w:rsidP="00A408CA">
            <w:pPr>
              <w:pStyle w:val="TableParagraph"/>
              <w:rPr>
                <w:rFonts w:cs="Arial"/>
              </w:rPr>
            </w:pPr>
            <w:r w:rsidRPr="002F3A26">
              <w:t>NESB</w:t>
            </w:r>
          </w:p>
        </w:tc>
        <w:tc>
          <w:tcPr>
            <w:tcW w:w="1139" w:type="dxa"/>
          </w:tcPr>
          <w:p w14:paraId="5BF26E2F" w14:textId="77777777" w:rsidR="00A56952" w:rsidRPr="002F3A26" w:rsidRDefault="00A56952" w:rsidP="00A408CA">
            <w:pPr>
              <w:pStyle w:val="TableParagraph"/>
              <w:ind w:left="170"/>
              <w:rPr>
                <w:rFonts w:cs="Arial"/>
              </w:rPr>
            </w:pPr>
          </w:p>
        </w:tc>
        <w:tc>
          <w:tcPr>
            <w:tcW w:w="1282" w:type="dxa"/>
          </w:tcPr>
          <w:p w14:paraId="7E79D91D" w14:textId="77777777" w:rsidR="00A56952" w:rsidRPr="002F3A26" w:rsidRDefault="00A56952" w:rsidP="00A408CA">
            <w:pPr>
              <w:pStyle w:val="TableParagraph"/>
              <w:ind w:left="170"/>
              <w:rPr>
                <w:rFonts w:cs="Arial"/>
              </w:rPr>
            </w:pPr>
            <w:r w:rsidRPr="002F3A26">
              <w:t>1.43</w:t>
            </w:r>
            <w:r w:rsidRPr="002F3A26">
              <w:rPr>
                <w:vertAlign w:val="superscript"/>
              </w:rPr>
              <w:t>***</w:t>
            </w:r>
          </w:p>
        </w:tc>
        <w:tc>
          <w:tcPr>
            <w:tcW w:w="1332" w:type="dxa"/>
          </w:tcPr>
          <w:p w14:paraId="238B17C9" w14:textId="77777777" w:rsidR="00A56952" w:rsidRPr="002F3A26" w:rsidRDefault="00A56952" w:rsidP="00A408CA">
            <w:pPr>
              <w:pStyle w:val="TableParagraph"/>
              <w:ind w:left="170"/>
              <w:rPr>
                <w:rFonts w:cs="Arial"/>
              </w:rPr>
            </w:pPr>
            <w:r w:rsidRPr="002F3A26">
              <w:t>1.32</w:t>
            </w:r>
            <w:r w:rsidRPr="002F3A26">
              <w:rPr>
                <w:vertAlign w:val="superscript"/>
              </w:rPr>
              <w:t>***</w:t>
            </w:r>
          </w:p>
        </w:tc>
      </w:tr>
      <w:tr w:rsidR="00A56952" w:rsidRPr="002F3A26" w14:paraId="3A052273" w14:textId="77777777" w:rsidTr="00D17B28">
        <w:trPr>
          <w:trHeight w:val="218"/>
        </w:trPr>
        <w:tc>
          <w:tcPr>
            <w:tcW w:w="5124" w:type="dxa"/>
          </w:tcPr>
          <w:p w14:paraId="194BCD4F" w14:textId="77777777" w:rsidR="00A56952" w:rsidRPr="002F3A26" w:rsidRDefault="00A56952" w:rsidP="00A408CA">
            <w:pPr>
              <w:pStyle w:val="TableParagraph"/>
              <w:rPr>
                <w:rFonts w:cs="Arial"/>
              </w:rPr>
            </w:pPr>
            <w:r w:rsidRPr="002F3A26">
              <w:t>Women</w:t>
            </w:r>
          </w:p>
        </w:tc>
        <w:tc>
          <w:tcPr>
            <w:tcW w:w="1139" w:type="dxa"/>
          </w:tcPr>
          <w:p w14:paraId="0C0FFCE2" w14:textId="77777777" w:rsidR="00A56952" w:rsidRPr="002F3A26" w:rsidRDefault="00A56952" w:rsidP="00A408CA">
            <w:pPr>
              <w:pStyle w:val="TableParagraph"/>
              <w:ind w:left="170"/>
              <w:rPr>
                <w:rFonts w:cs="Arial"/>
              </w:rPr>
            </w:pPr>
          </w:p>
        </w:tc>
        <w:tc>
          <w:tcPr>
            <w:tcW w:w="1282" w:type="dxa"/>
          </w:tcPr>
          <w:p w14:paraId="5C6531E2" w14:textId="77777777" w:rsidR="00A56952" w:rsidRPr="002F3A26" w:rsidRDefault="00A56952" w:rsidP="00A408CA">
            <w:pPr>
              <w:pStyle w:val="TableParagraph"/>
              <w:ind w:left="170"/>
              <w:rPr>
                <w:rFonts w:cs="Arial"/>
              </w:rPr>
            </w:pPr>
            <w:r w:rsidRPr="002F3A26">
              <w:t>0.88</w:t>
            </w:r>
            <w:r w:rsidRPr="002F3A26">
              <w:rPr>
                <w:vertAlign w:val="superscript"/>
              </w:rPr>
              <w:t>***</w:t>
            </w:r>
          </w:p>
        </w:tc>
        <w:tc>
          <w:tcPr>
            <w:tcW w:w="1332" w:type="dxa"/>
          </w:tcPr>
          <w:p w14:paraId="31378564" w14:textId="77777777" w:rsidR="00A56952" w:rsidRPr="002F3A26" w:rsidRDefault="00A56952" w:rsidP="00A408CA">
            <w:pPr>
              <w:pStyle w:val="TableParagraph"/>
              <w:ind w:left="170"/>
              <w:rPr>
                <w:rFonts w:cs="Arial"/>
              </w:rPr>
            </w:pPr>
            <w:r w:rsidRPr="002F3A26">
              <w:t>0.92</w:t>
            </w:r>
            <w:r w:rsidRPr="002F3A26">
              <w:rPr>
                <w:vertAlign w:val="superscript"/>
              </w:rPr>
              <w:t>***</w:t>
            </w:r>
          </w:p>
        </w:tc>
      </w:tr>
      <w:tr w:rsidR="00A56952" w:rsidRPr="002F3A26" w14:paraId="15F454B6" w14:textId="77777777" w:rsidTr="00D17B28">
        <w:trPr>
          <w:trHeight w:val="218"/>
        </w:trPr>
        <w:tc>
          <w:tcPr>
            <w:tcW w:w="5124" w:type="dxa"/>
          </w:tcPr>
          <w:p w14:paraId="72075670" w14:textId="77777777" w:rsidR="00A56952" w:rsidRPr="002F3A26" w:rsidRDefault="00A56952" w:rsidP="00A408CA">
            <w:pPr>
              <w:pStyle w:val="TableParagraph"/>
              <w:rPr>
                <w:rFonts w:cs="Arial"/>
              </w:rPr>
            </w:pPr>
            <w:r w:rsidRPr="002F3A26">
              <w:t>Disability</w:t>
            </w:r>
          </w:p>
        </w:tc>
        <w:tc>
          <w:tcPr>
            <w:tcW w:w="1139" w:type="dxa"/>
          </w:tcPr>
          <w:p w14:paraId="1E8BFD87" w14:textId="77777777" w:rsidR="00A56952" w:rsidRPr="002F3A26" w:rsidRDefault="00A56952" w:rsidP="00A408CA">
            <w:pPr>
              <w:pStyle w:val="TableParagraph"/>
              <w:ind w:left="170"/>
              <w:rPr>
                <w:rFonts w:cs="Arial"/>
              </w:rPr>
            </w:pPr>
          </w:p>
        </w:tc>
        <w:tc>
          <w:tcPr>
            <w:tcW w:w="1282" w:type="dxa"/>
          </w:tcPr>
          <w:p w14:paraId="7B89DAAA" w14:textId="77777777" w:rsidR="00A56952" w:rsidRPr="002F3A26" w:rsidRDefault="00A56952" w:rsidP="00A408CA">
            <w:pPr>
              <w:pStyle w:val="TableParagraph"/>
              <w:ind w:left="170"/>
              <w:rPr>
                <w:rFonts w:cs="Arial"/>
              </w:rPr>
            </w:pPr>
            <w:r w:rsidRPr="002F3A26">
              <w:t>0.54</w:t>
            </w:r>
            <w:r w:rsidRPr="002F3A26">
              <w:rPr>
                <w:vertAlign w:val="superscript"/>
              </w:rPr>
              <w:t>***</w:t>
            </w:r>
          </w:p>
        </w:tc>
        <w:tc>
          <w:tcPr>
            <w:tcW w:w="1332" w:type="dxa"/>
          </w:tcPr>
          <w:p w14:paraId="7296958E" w14:textId="77777777" w:rsidR="00A56952" w:rsidRPr="002F3A26" w:rsidRDefault="00A56952" w:rsidP="00A408CA">
            <w:pPr>
              <w:pStyle w:val="TableParagraph"/>
              <w:ind w:left="170"/>
              <w:rPr>
                <w:rFonts w:cs="Arial"/>
              </w:rPr>
            </w:pPr>
            <w:r w:rsidRPr="002F3A26">
              <w:t>0.50</w:t>
            </w:r>
            <w:r w:rsidRPr="002F3A26">
              <w:rPr>
                <w:vertAlign w:val="superscript"/>
              </w:rPr>
              <w:t>***</w:t>
            </w:r>
          </w:p>
        </w:tc>
      </w:tr>
      <w:tr w:rsidR="00A56952" w:rsidRPr="002F3A26" w14:paraId="6C741C74" w14:textId="77777777" w:rsidTr="00D17B28">
        <w:trPr>
          <w:trHeight w:val="218"/>
        </w:trPr>
        <w:tc>
          <w:tcPr>
            <w:tcW w:w="5124" w:type="dxa"/>
          </w:tcPr>
          <w:p w14:paraId="596281CA" w14:textId="77777777" w:rsidR="00A56952" w:rsidRPr="002F3A26" w:rsidRDefault="00A56952" w:rsidP="00A408CA">
            <w:pPr>
              <w:pStyle w:val="TableParagraph"/>
              <w:rPr>
                <w:rFonts w:cs="Arial"/>
              </w:rPr>
            </w:pPr>
            <w:r w:rsidRPr="002F3A26">
              <w:t>FiF # Low SES</w:t>
            </w:r>
          </w:p>
        </w:tc>
        <w:tc>
          <w:tcPr>
            <w:tcW w:w="1139" w:type="dxa"/>
          </w:tcPr>
          <w:p w14:paraId="3319FAA6" w14:textId="77777777" w:rsidR="00A56952" w:rsidRPr="002F3A26" w:rsidRDefault="00A56952" w:rsidP="00A408CA">
            <w:pPr>
              <w:pStyle w:val="TableParagraph"/>
              <w:ind w:left="170"/>
              <w:rPr>
                <w:rFonts w:cs="Arial"/>
              </w:rPr>
            </w:pPr>
          </w:p>
        </w:tc>
        <w:tc>
          <w:tcPr>
            <w:tcW w:w="1282" w:type="dxa"/>
          </w:tcPr>
          <w:p w14:paraId="06B18B19" w14:textId="77777777" w:rsidR="00A56952" w:rsidRPr="002F3A26" w:rsidRDefault="00A56952" w:rsidP="00A408CA">
            <w:pPr>
              <w:pStyle w:val="TableParagraph"/>
              <w:ind w:left="170"/>
              <w:rPr>
                <w:rFonts w:cs="Arial"/>
              </w:rPr>
            </w:pPr>
          </w:p>
        </w:tc>
        <w:tc>
          <w:tcPr>
            <w:tcW w:w="1332" w:type="dxa"/>
          </w:tcPr>
          <w:p w14:paraId="6431FAEC" w14:textId="77777777" w:rsidR="00A56952" w:rsidRPr="002F3A26" w:rsidRDefault="00A56952" w:rsidP="00A408CA">
            <w:pPr>
              <w:pStyle w:val="TableParagraph"/>
              <w:ind w:left="170"/>
              <w:rPr>
                <w:rFonts w:cs="Arial"/>
              </w:rPr>
            </w:pPr>
            <w:r w:rsidRPr="002F3A26">
              <w:t>1.24</w:t>
            </w:r>
            <w:r w:rsidRPr="002F3A26">
              <w:rPr>
                <w:vertAlign w:val="superscript"/>
              </w:rPr>
              <w:t>***</w:t>
            </w:r>
          </w:p>
        </w:tc>
      </w:tr>
      <w:tr w:rsidR="00A56952" w:rsidRPr="002F3A26" w14:paraId="1564A285" w14:textId="77777777" w:rsidTr="00D17B28">
        <w:trPr>
          <w:trHeight w:val="218"/>
        </w:trPr>
        <w:tc>
          <w:tcPr>
            <w:tcW w:w="5124" w:type="dxa"/>
          </w:tcPr>
          <w:p w14:paraId="3D747D7C" w14:textId="51923E8D" w:rsidR="00A56952" w:rsidRPr="002F3A26" w:rsidRDefault="00A56952" w:rsidP="00A408CA">
            <w:pPr>
              <w:pStyle w:val="TableParagraph"/>
              <w:rPr>
                <w:rFonts w:cs="Arial"/>
              </w:rPr>
            </w:pPr>
            <w:r w:rsidRPr="002F3A26">
              <w:t xml:space="preserve">FiF # </w:t>
            </w:r>
            <w:r w:rsidR="009F5FEC">
              <w:t>RR</w:t>
            </w:r>
          </w:p>
        </w:tc>
        <w:tc>
          <w:tcPr>
            <w:tcW w:w="1139" w:type="dxa"/>
          </w:tcPr>
          <w:p w14:paraId="38FED4BD" w14:textId="77777777" w:rsidR="00A56952" w:rsidRPr="002F3A26" w:rsidRDefault="00A56952" w:rsidP="00A408CA">
            <w:pPr>
              <w:pStyle w:val="TableParagraph"/>
              <w:ind w:left="170"/>
              <w:rPr>
                <w:rFonts w:cs="Arial"/>
              </w:rPr>
            </w:pPr>
          </w:p>
        </w:tc>
        <w:tc>
          <w:tcPr>
            <w:tcW w:w="1282" w:type="dxa"/>
          </w:tcPr>
          <w:p w14:paraId="23343692" w14:textId="77777777" w:rsidR="00A56952" w:rsidRPr="002F3A26" w:rsidRDefault="00A56952" w:rsidP="00A408CA">
            <w:pPr>
              <w:pStyle w:val="TableParagraph"/>
              <w:ind w:left="170"/>
              <w:rPr>
                <w:rFonts w:cs="Arial"/>
              </w:rPr>
            </w:pPr>
          </w:p>
        </w:tc>
        <w:tc>
          <w:tcPr>
            <w:tcW w:w="1332" w:type="dxa"/>
          </w:tcPr>
          <w:p w14:paraId="251E45B3" w14:textId="77777777" w:rsidR="00A56952" w:rsidRPr="002F3A26" w:rsidRDefault="00A56952" w:rsidP="00A408CA">
            <w:pPr>
              <w:pStyle w:val="TableParagraph"/>
              <w:ind w:left="170"/>
              <w:rPr>
                <w:rFonts w:cs="Arial"/>
              </w:rPr>
            </w:pPr>
            <w:r w:rsidRPr="002F3A26">
              <w:t>1.18</w:t>
            </w:r>
            <w:r w:rsidRPr="002F3A26">
              <w:rPr>
                <w:vertAlign w:val="superscript"/>
              </w:rPr>
              <w:t>***</w:t>
            </w:r>
          </w:p>
        </w:tc>
      </w:tr>
      <w:tr w:rsidR="00A56952" w:rsidRPr="002F3A26" w14:paraId="58255EAD" w14:textId="77777777" w:rsidTr="00D17B28">
        <w:trPr>
          <w:trHeight w:val="218"/>
        </w:trPr>
        <w:tc>
          <w:tcPr>
            <w:tcW w:w="5124" w:type="dxa"/>
          </w:tcPr>
          <w:p w14:paraId="50BB8E86" w14:textId="77777777" w:rsidR="00A56952" w:rsidRPr="002F3A26" w:rsidRDefault="00A56952" w:rsidP="00A408CA">
            <w:pPr>
              <w:pStyle w:val="TableParagraph"/>
              <w:rPr>
                <w:rFonts w:cs="Arial"/>
              </w:rPr>
            </w:pPr>
            <w:r w:rsidRPr="002F3A26">
              <w:t>FiF # Indigenous</w:t>
            </w:r>
          </w:p>
        </w:tc>
        <w:tc>
          <w:tcPr>
            <w:tcW w:w="1139" w:type="dxa"/>
          </w:tcPr>
          <w:p w14:paraId="46578C16" w14:textId="77777777" w:rsidR="00A56952" w:rsidRPr="002F3A26" w:rsidRDefault="00A56952" w:rsidP="00A408CA">
            <w:pPr>
              <w:pStyle w:val="TableParagraph"/>
              <w:ind w:left="170"/>
              <w:rPr>
                <w:rFonts w:cs="Arial"/>
              </w:rPr>
            </w:pPr>
          </w:p>
        </w:tc>
        <w:tc>
          <w:tcPr>
            <w:tcW w:w="1282" w:type="dxa"/>
          </w:tcPr>
          <w:p w14:paraId="27A606EE" w14:textId="77777777" w:rsidR="00A56952" w:rsidRPr="002F3A26" w:rsidRDefault="00A56952" w:rsidP="00A408CA">
            <w:pPr>
              <w:pStyle w:val="TableParagraph"/>
              <w:ind w:left="170"/>
              <w:rPr>
                <w:rFonts w:cs="Arial"/>
              </w:rPr>
            </w:pPr>
          </w:p>
        </w:tc>
        <w:tc>
          <w:tcPr>
            <w:tcW w:w="1332" w:type="dxa"/>
          </w:tcPr>
          <w:p w14:paraId="27649142" w14:textId="77777777" w:rsidR="00A56952" w:rsidRPr="002F3A26" w:rsidRDefault="00A56952" w:rsidP="00A408CA">
            <w:pPr>
              <w:pStyle w:val="TableParagraph"/>
              <w:ind w:left="170"/>
              <w:rPr>
                <w:rFonts w:cs="Arial"/>
              </w:rPr>
            </w:pPr>
            <w:r w:rsidRPr="002F3A26">
              <w:t>1.21</w:t>
            </w:r>
            <w:r w:rsidRPr="002F3A26">
              <w:rPr>
                <w:vertAlign w:val="superscript"/>
              </w:rPr>
              <w:t>*</w:t>
            </w:r>
          </w:p>
        </w:tc>
      </w:tr>
      <w:tr w:rsidR="00A56952" w:rsidRPr="002F3A26" w14:paraId="4CC8FDA6" w14:textId="77777777" w:rsidTr="00D17B28">
        <w:trPr>
          <w:trHeight w:val="218"/>
        </w:trPr>
        <w:tc>
          <w:tcPr>
            <w:tcW w:w="5124" w:type="dxa"/>
          </w:tcPr>
          <w:p w14:paraId="2CADFA8D" w14:textId="77777777" w:rsidR="00A56952" w:rsidRPr="002F3A26" w:rsidRDefault="00A56952" w:rsidP="00A408CA">
            <w:pPr>
              <w:pStyle w:val="TableParagraph"/>
              <w:rPr>
                <w:rFonts w:cs="Arial"/>
              </w:rPr>
            </w:pPr>
            <w:r w:rsidRPr="002F3A26">
              <w:t>FiF # NESB</w:t>
            </w:r>
          </w:p>
        </w:tc>
        <w:tc>
          <w:tcPr>
            <w:tcW w:w="1139" w:type="dxa"/>
          </w:tcPr>
          <w:p w14:paraId="2971B5B0" w14:textId="77777777" w:rsidR="00A56952" w:rsidRPr="002F3A26" w:rsidRDefault="00A56952" w:rsidP="00A408CA">
            <w:pPr>
              <w:pStyle w:val="TableParagraph"/>
              <w:ind w:left="170"/>
              <w:rPr>
                <w:rFonts w:cs="Arial"/>
              </w:rPr>
            </w:pPr>
          </w:p>
        </w:tc>
        <w:tc>
          <w:tcPr>
            <w:tcW w:w="1282" w:type="dxa"/>
          </w:tcPr>
          <w:p w14:paraId="0A53D8D6" w14:textId="77777777" w:rsidR="00A56952" w:rsidRPr="002F3A26" w:rsidRDefault="00A56952" w:rsidP="00A408CA">
            <w:pPr>
              <w:pStyle w:val="TableParagraph"/>
              <w:ind w:left="170"/>
              <w:rPr>
                <w:rFonts w:cs="Arial"/>
              </w:rPr>
            </w:pPr>
          </w:p>
        </w:tc>
        <w:tc>
          <w:tcPr>
            <w:tcW w:w="1332" w:type="dxa"/>
          </w:tcPr>
          <w:p w14:paraId="4DB2508D" w14:textId="77777777" w:rsidR="00A56952" w:rsidRPr="002F3A26" w:rsidRDefault="00A56952" w:rsidP="00A408CA">
            <w:pPr>
              <w:pStyle w:val="TableParagraph"/>
              <w:ind w:left="170"/>
              <w:rPr>
                <w:rFonts w:cs="Arial"/>
              </w:rPr>
            </w:pPr>
            <w:r w:rsidRPr="002F3A26">
              <w:t>1.19</w:t>
            </w:r>
            <w:r w:rsidRPr="002F3A26">
              <w:rPr>
                <w:vertAlign w:val="superscript"/>
              </w:rPr>
              <w:t>***</w:t>
            </w:r>
          </w:p>
        </w:tc>
      </w:tr>
      <w:tr w:rsidR="00A56952" w:rsidRPr="002F3A26" w14:paraId="0CFA417F" w14:textId="77777777" w:rsidTr="00D17B28">
        <w:trPr>
          <w:trHeight w:val="218"/>
        </w:trPr>
        <w:tc>
          <w:tcPr>
            <w:tcW w:w="5124" w:type="dxa"/>
          </w:tcPr>
          <w:p w14:paraId="55B7ADA2" w14:textId="77777777" w:rsidR="00A56952" w:rsidRPr="002F3A26" w:rsidRDefault="00A56952" w:rsidP="00A408CA">
            <w:pPr>
              <w:pStyle w:val="TableParagraph"/>
              <w:rPr>
                <w:rFonts w:cs="Arial"/>
              </w:rPr>
            </w:pPr>
            <w:r w:rsidRPr="002F3A26">
              <w:t>FiF # Women</w:t>
            </w:r>
          </w:p>
        </w:tc>
        <w:tc>
          <w:tcPr>
            <w:tcW w:w="1139" w:type="dxa"/>
          </w:tcPr>
          <w:p w14:paraId="028D0203" w14:textId="77777777" w:rsidR="00A56952" w:rsidRPr="002F3A26" w:rsidRDefault="00A56952" w:rsidP="00A408CA">
            <w:pPr>
              <w:pStyle w:val="TableParagraph"/>
              <w:ind w:left="170"/>
              <w:rPr>
                <w:rFonts w:cs="Arial"/>
              </w:rPr>
            </w:pPr>
          </w:p>
        </w:tc>
        <w:tc>
          <w:tcPr>
            <w:tcW w:w="1282" w:type="dxa"/>
          </w:tcPr>
          <w:p w14:paraId="7692DE9D" w14:textId="77777777" w:rsidR="00A56952" w:rsidRPr="002F3A26" w:rsidRDefault="00A56952" w:rsidP="00A408CA">
            <w:pPr>
              <w:pStyle w:val="TableParagraph"/>
              <w:ind w:left="170"/>
              <w:rPr>
                <w:rFonts w:cs="Arial"/>
              </w:rPr>
            </w:pPr>
          </w:p>
        </w:tc>
        <w:tc>
          <w:tcPr>
            <w:tcW w:w="1332" w:type="dxa"/>
          </w:tcPr>
          <w:p w14:paraId="7B732FB6" w14:textId="77777777" w:rsidR="00A56952" w:rsidRPr="002F3A26" w:rsidRDefault="00A56952" w:rsidP="00A408CA">
            <w:pPr>
              <w:pStyle w:val="TableParagraph"/>
              <w:ind w:left="170"/>
              <w:rPr>
                <w:rFonts w:cs="Arial"/>
              </w:rPr>
            </w:pPr>
            <w:r w:rsidRPr="002F3A26">
              <w:t>0.90</w:t>
            </w:r>
            <w:r w:rsidRPr="002F3A26">
              <w:rPr>
                <w:vertAlign w:val="superscript"/>
              </w:rPr>
              <w:t>***</w:t>
            </w:r>
          </w:p>
        </w:tc>
      </w:tr>
      <w:tr w:rsidR="00A56952" w:rsidRPr="002F3A26" w14:paraId="5A0E990A" w14:textId="77777777" w:rsidTr="00D17B28">
        <w:trPr>
          <w:trHeight w:val="218"/>
        </w:trPr>
        <w:tc>
          <w:tcPr>
            <w:tcW w:w="5124" w:type="dxa"/>
          </w:tcPr>
          <w:p w14:paraId="77AF59A9" w14:textId="77777777" w:rsidR="00A56952" w:rsidRPr="002F3A26" w:rsidRDefault="00A56952" w:rsidP="00A408CA">
            <w:pPr>
              <w:pStyle w:val="TableParagraph"/>
              <w:rPr>
                <w:rFonts w:cs="Arial"/>
              </w:rPr>
            </w:pPr>
            <w:r w:rsidRPr="002F3A26">
              <w:t>FiF # Disability</w:t>
            </w:r>
          </w:p>
        </w:tc>
        <w:tc>
          <w:tcPr>
            <w:tcW w:w="1139" w:type="dxa"/>
          </w:tcPr>
          <w:p w14:paraId="1D0F8EE6" w14:textId="77777777" w:rsidR="00A56952" w:rsidRPr="002F3A26" w:rsidRDefault="00A56952" w:rsidP="00A408CA">
            <w:pPr>
              <w:pStyle w:val="TableParagraph"/>
              <w:ind w:left="170"/>
              <w:rPr>
                <w:rFonts w:cs="Arial"/>
              </w:rPr>
            </w:pPr>
          </w:p>
        </w:tc>
        <w:tc>
          <w:tcPr>
            <w:tcW w:w="1282" w:type="dxa"/>
          </w:tcPr>
          <w:p w14:paraId="78E9D39C" w14:textId="77777777" w:rsidR="00A56952" w:rsidRPr="002F3A26" w:rsidRDefault="00A56952" w:rsidP="00A408CA">
            <w:pPr>
              <w:pStyle w:val="TableParagraph"/>
              <w:ind w:left="170"/>
              <w:rPr>
                <w:rFonts w:cs="Arial"/>
              </w:rPr>
            </w:pPr>
          </w:p>
        </w:tc>
        <w:tc>
          <w:tcPr>
            <w:tcW w:w="1332" w:type="dxa"/>
          </w:tcPr>
          <w:p w14:paraId="3D680181" w14:textId="77777777" w:rsidR="00A56952" w:rsidRPr="002F3A26" w:rsidRDefault="00A56952" w:rsidP="00A408CA">
            <w:pPr>
              <w:pStyle w:val="TableParagraph"/>
              <w:ind w:left="170"/>
              <w:rPr>
                <w:rFonts w:cs="Arial"/>
              </w:rPr>
            </w:pPr>
            <w:r w:rsidRPr="002F3A26">
              <w:t>1.17</w:t>
            </w:r>
          </w:p>
        </w:tc>
      </w:tr>
      <w:tr w:rsidR="00A56952" w:rsidRPr="002F3A26" w14:paraId="592469E2" w14:textId="77777777" w:rsidTr="00D17B28">
        <w:trPr>
          <w:trHeight w:val="218"/>
        </w:trPr>
        <w:tc>
          <w:tcPr>
            <w:tcW w:w="5124" w:type="dxa"/>
          </w:tcPr>
          <w:p w14:paraId="7D11F30A" w14:textId="77777777" w:rsidR="00A56952" w:rsidRPr="002F3A26" w:rsidRDefault="00A56952" w:rsidP="00A408CA">
            <w:pPr>
              <w:pStyle w:val="TableParagraph"/>
              <w:rPr>
                <w:rFonts w:cs="Arial"/>
              </w:rPr>
            </w:pPr>
            <w:r w:rsidRPr="002F3A26">
              <w:t>Observations</w:t>
            </w:r>
          </w:p>
        </w:tc>
        <w:tc>
          <w:tcPr>
            <w:tcW w:w="1139" w:type="dxa"/>
          </w:tcPr>
          <w:p w14:paraId="34A5C1BE" w14:textId="77777777" w:rsidR="00A56952" w:rsidRPr="002F3A26" w:rsidRDefault="00A56952" w:rsidP="00A408CA">
            <w:pPr>
              <w:pStyle w:val="TableParagraph"/>
              <w:ind w:left="170"/>
              <w:rPr>
                <w:rFonts w:cs="Arial"/>
              </w:rPr>
            </w:pPr>
            <w:r w:rsidRPr="002F3A26">
              <w:t>192995</w:t>
            </w:r>
          </w:p>
        </w:tc>
        <w:tc>
          <w:tcPr>
            <w:tcW w:w="1282" w:type="dxa"/>
          </w:tcPr>
          <w:p w14:paraId="56065A48" w14:textId="77777777" w:rsidR="00A56952" w:rsidRPr="002F3A26" w:rsidRDefault="00A56952" w:rsidP="00A408CA">
            <w:pPr>
              <w:pStyle w:val="TableParagraph"/>
              <w:ind w:left="170"/>
              <w:rPr>
                <w:rFonts w:cs="Arial"/>
              </w:rPr>
            </w:pPr>
            <w:r w:rsidRPr="002F3A26">
              <w:t>192995</w:t>
            </w:r>
          </w:p>
        </w:tc>
        <w:tc>
          <w:tcPr>
            <w:tcW w:w="1332" w:type="dxa"/>
          </w:tcPr>
          <w:p w14:paraId="4CC26834" w14:textId="77777777" w:rsidR="00A56952" w:rsidRPr="002F3A26" w:rsidRDefault="00A56952" w:rsidP="00A408CA">
            <w:pPr>
              <w:pStyle w:val="TableParagraph"/>
              <w:ind w:left="170"/>
              <w:rPr>
                <w:rFonts w:cs="Arial"/>
              </w:rPr>
            </w:pPr>
            <w:r w:rsidRPr="002F3A26">
              <w:t>192995</w:t>
            </w:r>
          </w:p>
        </w:tc>
      </w:tr>
      <w:tr w:rsidR="00A56952" w:rsidRPr="002F3A26" w14:paraId="46DA03C1" w14:textId="77777777" w:rsidTr="00D17B28">
        <w:trPr>
          <w:trHeight w:val="22"/>
        </w:trPr>
        <w:tc>
          <w:tcPr>
            <w:tcW w:w="5124" w:type="dxa"/>
          </w:tcPr>
          <w:p w14:paraId="64FED885" w14:textId="77777777" w:rsidR="00A56952" w:rsidRPr="002F3A26" w:rsidRDefault="00A56952" w:rsidP="00A408CA">
            <w:pPr>
              <w:pStyle w:val="TableParagraph"/>
              <w:rPr>
                <w:rFonts w:cs="Arial"/>
              </w:rPr>
            </w:pPr>
            <w:r w:rsidRPr="002F3A26">
              <w:t xml:space="preserve">Pseudo </w:t>
            </w:r>
            <w:r w:rsidRPr="002F3A26">
              <w:rPr>
                <w:i/>
                <w:iCs/>
              </w:rPr>
              <w:t>R</w:t>
            </w:r>
            <w:r w:rsidRPr="002F3A26">
              <w:rPr>
                <w:vertAlign w:val="superscript"/>
              </w:rPr>
              <w:t>2</w:t>
            </w:r>
          </w:p>
        </w:tc>
        <w:tc>
          <w:tcPr>
            <w:tcW w:w="1139" w:type="dxa"/>
          </w:tcPr>
          <w:p w14:paraId="1FC542DB" w14:textId="77777777" w:rsidR="00A56952" w:rsidRPr="002F3A26" w:rsidRDefault="00A56952" w:rsidP="00A408CA">
            <w:pPr>
              <w:pStyle w:val="TableParagraph"/>
              <w:ind w:left="170"/>
              <w:rPr>
                <w:rFonts w:cs="Arial"/>
              </w:rPr>
            </w:pPr>
            <w:r w:rsidRPr="002F3A26">
              <w:t>0.027</w:t>
            </w:r>
          </w:p>
        </w:tc>
        <w:tc>
          <w:tcPr>
            <w:tcW w:w="1282" w:type="dxa"/>
          </w:tcPr>
          <w:p w14:paraId="6DA28B8B" w14:textId="77777777" w:rsidR="00A56952" w:rsidRPr="002F3A26" w:rsidRDefault="00A56952" w:rsidP="00A408CA">
            <w:pPr>
              <w:pStyle w:val="TableParagraph"/>
              <w:ind w:left="170"/>
              <w:rPr>
                <w:rFonts w:cs="Arial"/>
              </w:rPr>
            </w:pPr>
            <w:r w:rsidRPr="002F3A26">
              <w:t>0.056</w:t>
            </w:r>
          </w:p>
        </w:tc>
        <w:tc>
          <w:tcPr>
            <w:tcW w:w="1332" w:type="dxa"/>
          </w:tcPr>
          <w:p w14:paraId="0FD05859" w14:textId="77777777" w:rsidR="00A56952" w:rsidRPr="002F3A26" w:rsidRDefault="00A56952" w:rsidP="00A408CA">
            <w:pPr>
              <w:pStyle w:val="TableParagraph"/>
              <w:ind w:left="170"/>
              <w:rPr>
                <w:rFonts w:cs="Arial"/>
              </w:rPr>
            </w:pPr>
            <w:r w:rsidRPr="002F3A26">
              <w:t>0.057</w:t>
            </w:r>
          </w:p>
        </w:tc>
      </w:tr>
    </w:tbl>
    <w:bookmarkEnd w:id="83"/>
    <w:bookmarkEnd w:id="84"/>
    <w:p w14:paraId="65E606D0" w14:textId="2BCF8ACA" w:rsidR="00C655DB" w:rsidRDefault="00500DF0" w:rsidP="00020A2C">
      <w:pPr>
        <w:pStyle w:val="Notes"/>
      </w:pPr>
      <w:r w:rsidRPr="002F3A26">
        <w:t xml:space="preserve">Notes: Data from PLIDA.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Statistical significance: * p &lt; 0.05, ** p &lt; 0.01, *** p &lt; 0.001.</w:t>
      </w:r>
    </w:p>
    <w:p w14:paraId="19E1F0F7" w14:textId="77777777" w:rsidR="00901B93" w:rsidRPr="002F3A26" w:rsidRDefault="00901B93" w:rsidP="00901B93">
      <w:pPr>
        <w:rPr>
          <w:lang w:eastAsia="en-AU"/>
        </w:rPr>
        <w:sectPr w:rsidR="00901B93" w:rsidRPr="002F3A26" w:rsidSect="008C7722">
          <w:pgSz w:w="11906" w:h="16838"/>
          <w:pgMar w:top="1440" w:right="1440" w:bottom="1440" w:left="1440" w:header="708" w:footer="397" w:gutter="0"/>
          <w:pgNumType w:start="1"/>
          <w:cols w:space="708"/>
          <w:docGrid w:linePitch="360"/>
        </w:sectPr>
      </w:pPr>
    </w:p>
    <w:p w14:paraId="3D4EF04F" w14:textId="665A6A11" w:rsidR="00DC5117" w:rsidRPr="002F3A26" w:rsidRDefault="00500DF0" w:rsidP="00D23949">
      <w:pPr>
        <w:pStyle w:val="Caption"/>
      </w:pPr>
      <w:bookmarkStart w:id="87" w:name="_Ref191531030"/>
      <w:r>
        <w:lastRenderedPageBreak/>
        <w:t xml:space="preserve">Table </w:t>
      </w:r>
      <w:fldSimple w:instr=" STYLEREF 7 \s ">
        <w:r w:rsidR="00627572">
          <w:rPr>
            <w:noProof/>
          </w:rPr>
          <w:t>B</w:t>
        </w:r>
      </w:fldSimple>
      <w:r>
        <w:noBreakHyphen/>
      </w:r>
      <w:fldSimple w:instr=" SEQ Table_ap \* ARABIC \s 7 ">
        <w:r w:rsidR="00627572">
          <w:rPr>
            <w:noProof/>
          </w:rPr>
          <w:t>4</w:t>
        </w:r>
      </w:fldSimple>
      <w:bookmarkEnd w:id="87"/>
      <w:r w:rsidR="006D4F66">
        <w:rPr>
          <w:noProof/>
        </w:rPr>
        <w:t>:</w:t>
      </w:r>
      <w:r w:rsidR="00D90B76">
        <w:t xml:space="preserve"> M</w:t>
      </w:r>
      <w:r w:rsidR="00D90B76" w:rsidRPr="002F3A26">
        <w:t>odel coefficients (</w:t>
      </w:r>
      <w:r w:rsidR="009F5FEC">
        <w:t>RR</w:t>
      </w:r>
      <w:r w:rsidR="00D90B76" w:rsidRPr="002F3A26">
        <w:t xml:space="preserve">) from </w:t>
      </w:r>
      <w:r w:rsidR="006D4F66">
        <w:t>M</w:t>
      </w:r>
      <w:r w:rsidR="00D17B28">
        <w:t>odel VII</w:t>
      </w:r>
      <w:r w:rsidR="008B34E2">
        <w:t>,</w:t>
      </w:r>
      <w:r w:rsidR="00D17B28">
        <w:t xml:space="preserve"> </w:t>
      </w:r>
      <w:r w:rsidR="00D90B76">
        <w:t xml:space="preserve">multinomial </w:t>
      </w:r>
      <w:r w:rsidR="00D90B76" w:rsidRPr="002F3A26">
        <w:t xml:space="preserve">logistic regression models of </w:t>
      </w:r>
      <w:r w:rsidR="00D90B76">
        <w:t>field of stud</w:t>
      </w:r>
      <w:r w:rsidR="00D17B28">
        <w:t>y</w:t>
      </w:r>
    </w:p>
    <w:tbl>
      <w:tblPr>
        <w:tblStyle w:val="ACSEStable"/>
        <w:tblW w:w="0" w:type="auto"/>
        <w:tblCellMar>
          <w:top w:w="28" w:type="dxa"/>
          <w:left w:w="68" w:type="dxa"/>
          <w:bottom w:w="28" w:type="dxa"/>
          <w:right w:w="68" w:type="dxa"/>
        </w:tblCellMar>
        <w:tblLook w:val="04A0" w:firstRow="1" w:lastRow="0" w:firstColumn="1" w:lastColumn="0" w:noHBand="0" w:noVBand="1"/>
      </w:tblPr>
      <w:tblGrid>
        <w:gridCol w:w="2263"/>
        <w:gridCol w:w="1062"/>
        <w:gridCol w:w="1062"/>
        <w:gridCol w:w="1062"/>
        <w:gridCol w:w="1063"/>
        <w:gridCol w:w="1062"/>
        <w:gridCol w:w="1062"/>
        <w:gridCol w:w="1062"/>
        <w:gridCol w:w="1063"/>
        <w:gridCol w:w="1062"/>
        <w:gridCol w:w="1062"/>
        <w:gridCol w:w="1063"/>
      </w:tblGrid>
      <w:tr w:rsidR="00FB6FA8" w:rsidRPr="002F3A26" w14:paraId="3874332E" w14:textId="77777777" w:rsidTr="00D17B28">
        <w:trPr>
          <w:cnfStyle w:val="100000000000" w:firstRow="1" w:lastRow="0" w:firstColumn="0" w:lastColumn="0" w:oddVBand="0" w:evenVBand="0" w:oddHBand="0" w:evenHBand="0" w:firstRowFirstColumn="0" w:firstRowLastColumn="0" w:lastRowFirstColumn="0" w:lastRowLastColumn="0"/>
          <w:trHeight w:val="1743"/>
        </w:trPr>
        <w:tc>
          <w:tcPr>
            <w:tcW w:w="2263" w:type="dxa"/>
          </w:tcPr>
          <w:p w14:paraId="017C6E45" w14:textId="5BC0222D" w:rsidR="00634F39" w:rsidRPr="002F3A26" w:rsidRDefault="00634F39" w:rsidP="00634F39">
            <w:pPr>
              <w:pStyle w:val="TOCHeading"/>
              <w:rPr>
                <w:b/>
                <w:bCs/>
              </w:rPr>
            </w:pPr>
            <w:r w:rsidRPr="002F3A26">
              <w:rPr>
                <w:b/>
                <w:bCs/>
              </w:rPr>
              <w:t>Outcome (ref. Society &amp; Culture)</w:t>
            </w:r>
          </w:p>
        </w:tc>
        <w:tc>
          <w:tcPr>
            <w:tcW w:w="1062" w:type="dxa"/>
            <w:textDirection w:val="btLr"/>
            <w:vAlign w:val="center"/>
          </w:tcPr>
          <w:p w14:paraId="1D9F0E8E" w14:textId="1DB38AB6" w:rsidR="00634F39" w:rsidRPr="002F3A26" w:rsidRDefault="00634F39" w:rsidP="00634F39">
            <w:pPr>
              <w:pStyle w:val="TOCHeading"/>
              <w:jc w:val="center"/>
              <w:rPr>
                <w:b/>
                <w:bCs/>
              </w:rPr>
            </w:pPr>
            <w:r w:rsidRPr="002F3A26">
              <w:rPr>
                <w:b/>
                <w:bCs/>
              </w:rPr>
              <w:t>Natural &amp; Physical Sciences</w:t>
            </w:r>
          </w:p>
        </w:tc>
        <w:tc>
          <w:tcPr>
            <w:tcW w:w="1062" w:type="dxa"/>
            <w:textDirection w:val="btLr"/>
            <w:vAlign w:val="center"/>
          </w:tcPr>
          <w:p w14:paraId="79FE2DFB" w14:textId="3ED9CC79" w:rsidR="00634F39" w:rsidRPr="002F3A26" w:rsidRDefault="00634F39" w:rsidP="00634F39">
            <w:pPr>
              <w:pStyle w:val="TOCHeading"/>
              <w:jc w:val="center"/>
              <w:rPr>
                <w:b/>
                <w:bCs/>
              </w:rPr>
            </w:pPr>
            <w:r w:rsidRPr="002F3A26">
              <w:rPr>
                <w:b/>
                <w:bCs/>
              </w:rPr>
              <w:t>Information Technology</w:t>
            </w:r>
          </w:p>
        </w:tc>
        <w:tc>
          <w:tcPr>
            <w:tcW w:w="1062" w:type="dxa"/>
            <w:textDirection w:val="btLr"/>
            <w:vAlign w:val="center"/>
          </w:tcPr>
          <w:p w14:paraId="2736FE11" w14:textId="6887F08E" w:rsidR="00634F39" w:rsidRPr="002F3A26" w:rsidRDefault="00634F39" w:rsidP="00634F39">
            <w:pPr>
              <w:pStyle w:val="TOCHeading"/>
              <w:jc w:val="center"/>
              <w:rPr>
                <w:b/>
                <w:bCs/>
              </w:rPr>
            </w:pPr>
            <w:r w:rsidRPr="002F3A26">
              <w:rPr>
                <w:b/>
                <w:bCs/>
              </w:rPr>
              <w:t>Engineering &amp; Related Technology</w:t>
            </w:r>
          </w:p>
        </w:tc>
        <w:tc>
          <w:tcPr>
            <w:tcW w:w="1063" w:type="dxa"/>
            <w:textDirection w:val="btLr"/>
            <w:vAlign w:val="center"/>
          </w:tcPr>
          <w:p w14:paraId="03BDA86C" w14:textId="075188E5" w:rsidR="00634F39" w:rsidRPr="002F3A26" w:rsidRDefault="00634F39" w:rsidP="00634F39">
            <w:pPr>
              <w:pStyle w:val="TOCHeading"/>
              <w:jc w:val="center"/>
              <w:rPr>
                <w:b/>
                <w:bCs/>
              </w:rPr>
            </w:pPr>
            <w:r w:rsidRPr="002F3A26">
              <w:rPr>
                <w:b/>
                <w:bCs/>
              </w:rPr>
              <w:t>Architecture &amp; Building</w:t>
            </w:r>
          </w:p>
        </w:tc>
        <w:tc>
          <w:tcPr>
            <w:tcW w:w="1062" w:type="dxa"/>
            <w:textDirection w:val="btLr"/>
            <w:vAlign w:val="center"/>
          </w:tcPr>
          <w:p w14:paraId="1DF2ED56" w14:textId="5B928C92" w:rsidR="00634F39" w:rsidRPr="002F3A26" w:rsidRDefault="00634F39" w:rsidP="00634F39">
            <w:pPr>
              <w:pStyle w:val="TOCHeading"/>
              <w:jc w:val="center"/>
              <w:rPr>
                <w:b/>
                <w:bCs/>
              </w:rPr>
            </w:pPr>
            <w:r w:rsidRPr="002F3A26">
              <w:rPr>
                <w:b/>
                <w:bCs/>
              </w:rPr>
              <w:t>Agriculture Environmental &amp; Rel. Studies</w:t>
            </w:r>
          </w:p>
        </w:tc>
        <w:tc>
          <w:tcPr>
            <w:tcW w:w="1062" w:type="dxa"/>
            <w:textDirection w:val="btLr"/>
            <w:vAlign w:val="center"/>
          </w:tcPr>
          <w:p w14:paraId="0B87B544" w14:textId="2D0462AF" w:rsidR="00634F39" w:rsidRPr="002F3A26" w:rsidRDefault="00634F39" w:rsidP="00634F39">
            <w:pPr>
              <w:pStyle w:val="TOCHeading"/>
              <w:jc w:val="center"/>
              <w:rPr>
                <w:b/>
                <w:bCs/>
              </w:rPr>
            </w:pPr>
            <w:r w:rsidRPr="002F3A26">
              <w:rPr>
                <w:b/>
                <w:bCs/>
              </w:rPr>
              <w:t>Other Health</w:t>
            </w:r>
          </w:p>
        </w:tc>
        <w:tc>
          <w:tcPr>
            <w:tcW w:w="1062" w:type="dxa"/>
            <w:textDirection w:val="btLr"/>
            <w:vAlign w:val="center"/>
          </w:tcPr>
          <w:p w14:paraId="7041ADF1" w14:textId="74EEEF94" w:rsidR="00634F39" w:rsidRPr="002F3A26" w:rsidRDefault="00634F39" w:rsidP="00634F39">
            <w:pPr>
              <w:pStyle w:val="TOCHeading"/>
              <w:jc w:val="center"/>
              <w:rPr>
                <w:b/>
                <w:bCs/>
              </w:rPr>
            </w:pPr>
            <w:r w:rsidRPr="002F3A26">
              <w:rPr>
                <w:b/>
                <w:bCs/>
              </w:rPr>
              <w:t>Education</w:t>
            </w:r>
          </w:p>
        </w:tc>
        <w:tc>
          <w:tcPr>
            <w:tcW w:w="1063" w:type="dxa"/>
            <w:textDirection w:val="btLr"/>
            <w:vAlign w:val="center"/>
          </w:tcPr>
          <w:p w14:paraId="22BAF841" w14:textId="343018D0" w:rsidR="00634F39" w:rsidRPr="002F3A26" w:rsidRDefault="00634F39" w:rsidP="00634F39">
            <w:pPr>
              <w:pStyle w:val="TOCHeading"/>
              <w:jc w:val="center"/>
              <w:rPr>
                <w:b/>
                <w:bCs/>
              </w:rPr>
            </w:pPr>
            <w:r w:rsidRPr="002F3A26">
              <w:rPr>
                <w:b/>
                <w:bCs/>
              </w:rPr>
              <w:t>Management &amp; Commerce</w:t>
            </w:r>
          </w:p>
        </w:tc>
        <w:tc>
          <w:tcPr>
            <w:tcW w:w="1062" w:type="dxa"/>
            <w:textDirection w:val="btLr"/>
            <w:vAlign w:val="center"/>
          </w:tcPr>
          <w:p w14:paraId="1F4EED18" w14:textId="61E93CEA" w:rsidR="00634F39" w:rsidRPr="002F3A26" w:rsidRDefault="00634F39" w:rsidP="00634F39">
            <w:pPr>
              <w:pStyle w:val="TOCHeading"/>
              <w:jc w:val="center"/>
              <w:rPr>
                <w:b/>
                <w:bCs/>
              </w:rPr>
            </w:pPr>
            <w:r w:rsidRPr="002F3A26">
              <w:rPr>
                <w:b/>
                <w:bCs/>
              </w:rPr>
              <w:t>Creative Arts</w:t>
            </w:r>
          </w:p>
        </w:tc>
        <w:tc>
          <w:tcPr>
            <w:tcW w:w="1062" w:type="dxa"/>
            <w:textDirection w:val="btLr"/>
            <w:vAlign w:val="center"/>
          </w:tcPr>
          <w:p w14:paraId="31EA8351" w14:textId="6EEB46EC" w:rsidR="00634F39" w:rsidRPr="002F3A26" w:rsidRDefault="00634F39" w:rsidP="00634F39">
            <w:pPr>
              <w:pStyle w:val="TOCHeading"/>
              <w:jc w:val="center"/>
              <w:rPr>
                <w:b/>
                <w:bCs/>
              </w:rPr>
            </w:pPr>
            <w:r w:rsidRPr="002F3A26">
              <w:rPr>
                <w:b/>
                <w:bCs/>
              </w:rPr>
              <w:t>Medical Studies</w:t>
            </w:r>
          </w:p>
        </w:tc>
        <w:tc>
          <w:tcPr>
            <w:tcW w:w="1063" w:type="dxa"/>
            <w:textDirection w:val="btLr"/>
            <w:vAlign w:val="center"/>
          </w:tcPr>
          <w:p w14:paraId="0CBC8CDA" w14:textId="2B4C3B21" w:rsidR="00634F39" w:rsidRPr="002F3A26" w:rsidRDefault="00634F39" w:rsidP="00634F39">
            <w:pPr>
              <w:pStyle w:val="TOCHeading"/>
              <w:jc w:val="center"/>
              <w:rPr>
                <w:b/>
                <w:bCs/>
              </w:rPr>
            </w:pPr>
            <w:r w:rsidRPr="002F3A26">
              <w:rPr>
                <w:b/>
                <w:bCs/>
              </w:rPr>
              <w:t>Law</w:t>
            </w:r>
          </w:p>
        </w:tc>
      </w:tr>
      <w:tr w:rsidR="008B59E5" w:rsidRPr="002F3A26" w14:paraId="69EB1AB9" w14:textId="77777777" w:rsidTr="00D17B28">
        <w:trPr>
          <w:trHeight w:val="230"/>
        </w:trPr>
        <w:tc>
          <w:tcPr>
            <w:tcW w:w="2263" w:type="dxa"/>
          </w:tcPr>
          <w:p w14:paraId="5CDC3716" w14:textId="48BEDFDA" w:rsidR="008B59E5" w:rsidRPr="002F3A26" w:rsidRDefault="008B59E5" w:rsidP="008B59E5">
            <w:pPr>
              <w:pStyle w:val="TableParagraph"/>
            </w:pPr>
            <w:r w:rsidRPr="002F3A26">
              <w:t>FiF</w:t>
            </w:r>
          </w:p>
        </w:tc>
        <w:tc>
          <w:tcPr>
            <w:tcW w:w="1062" w:type="dxa"/>
          </w:tcPr>
          <w:p w14:paraId="073A3CDC" w14:textId="231D3C0B" w:rsidR="008B59E5" w:rsidRPr="002F3A26" w:rsidRDefault="008B59E5" w:rsidP="00BA6CBD">
            <w:pPr>
              <w:pStyle w:val="TableParagraph"/>
              <w:ind w:left="170"/>
            </w:pPr>
            <w:r w:rsidRPr="002F3A26">
              <w:t>0.75</w:t>
            </w:r>
            <w:r w:rsidRPr="002F3A26">
              <w:rPr>
                <w:vertAlign w:val="superscript"/>
              </w:rPr>
              <w:t>***</w:t>
            </w:r>
          </w:p>
        </w:tc>
        <w:tc>
          <w:tcPr>
            <w:tcW w:w="1062" w:type="dxa"/>
          </w:tcPr>
          <w:p w14:paraId="603D6CAE" w14:textId="7C91BBB4" w:rsidR="008B59E5" w:rsidRPr="002F3A26" w:rsidRDefault="008B59E5" w:rsidP="00BA6CBD">
            <w:pPr>
              <w:pStyle w:val="TableParagraph"/>
              <w:ind w:left="170"/>
            </w:pPr>
            <w:r w:rsidRPr="002F3A26">
              <w:t>0.84</w:t>
            </w:r>
            <w:r w:rsidRPr="002F3A26">
              <w:rPr>
                <w:vertAlign w:val="superscript"/>
              </w:rPr>
              <w:t>***</w:t>
            </w:r>
          </w:p>
        </w:tc>
        <w:tc>
          <w:tcPr>
            <w:tcW w:w="1062" w:type="dxa"/>
          </w:tcPr>
          <w:p w14:paraId="2F7F4839" w14:textId="4FAA1CF4" w:rsidR="008B59E5" w:rsidRPr="002F3A26" w:rsidRDefault="008B59E5" w:rsidP="00BA6CBD">
            <w:pPr>
              <w:pStyle w:val="TableParagraph"/>
              <w:ind w:left="170"/>
            </w:pPr>
            <w:r w:rsidRPr="002F3A26">
              <w:t>0.69</w:t>
            </w:r>
            <w:r w:rsidRPr="002F3A26">
              <w:rPr>
                <w:vertAlign w:val="superscript"/>
              </w:rPr>
              <w:t>***</w:t>
            </w:r>
          </w:p>
        </w:tc>
        <w:tc>
          <w:tcPr>
            <w:tcW w:w="1063" w:type="dxa"/>
          </w:tcPr>
          <w:p w14:paraId="41027398" w14:textId="5AC56A70" w:rsidR="008B59E5" w:rsidRPr="002F3A26" w:rsidRDefault="008B59E5" w:rsidP="00BA6CBD">
            <w:pPr>
              <w:pStyle w:val="TableParagraph"/>
              <w:ind w:left="170"/>
            </w:pPr>
            <w:r w:rsidRPr="002F3A26">
              <w:t>0.93</w:t>
            </w:r>
            <w:r w:rsidRPr="002F3A26">
              <w:rPr>
                <w:vertAlign w:val="superscript"/>
              </w:rPr>
              <w:t>*</w:t>
            </w:r>
          </w:p>
        </w:tc>
        <w:tc>
          <w:tcPr>
            <w:tcW w:w="1062" w:type="dxa"/>
          </w:tcPr>
          <w:p w14:paraId="1619739A" w14:textId="77C2833A" w:rsidR="008B59E5" w:rsidRPr="002F3A26" w:rsidRDefault="008B59E5" w:rsidP="00BA6CBD">
            <w:pPr>
              <w:pStyle w:val="TableParagraph"/>
              <w:ind w:left="170"/>
            </w:pPr>
            <w:r w:rsidRPr="002F3A26">
              <w:t>1.24</w:t>
            </w:r>
            <w:r w:rsidRPr="002F3A26">
              <w:rPr>
                <w:vertAlign w:val="superscript"/>
              </w:rPr>
              <w:t>***</w:t>
            </w:r>
          </w:p>
        </w:tc>
        <w:tc>
          <w:tcPr>
            <w:tcW w:w="1062" w:type="dxa"/>
          </w:tcPr>
          <w:p w14:paraId="69748534" w14:textId="06C8D88C" w:rsidR="008B59E5" w:rsidRPr="002F3A26" w:rsidRDefault="008B59E5" w:rsidP="00BA6CBD">
            <w:pPr>
              <w:pStyle w:val="TableParagraph"/>
              <w:ind w:left="170"/>
            </w:pPr>
            <w:r w:rsidRPr="002F3A26">
              <w:t>1.20</w:t>
            </w:r>
            <w:r w:rsidRPr="002F3A26">
              <w:rPr>
                <w:vertAlign w:val="superscript"/>
              </w:rPr>
              <w:t>***</w:t>
            </w:r>
          </w:p>
        </w:tc>
        <w:tc>
          <w:tcPr>
            <w:tcW w:w="1062" w:type="dxa"/>
          </w:tcPr>
          <w:p w14:paraId="362706D0" w14:textId="38ACCA6A" w:rsidR="008B59E5" w:rsidRPr="002F3A26" w:rsidRDefault="008B59E5" w:rsidP="00BA6CBD">
            <w:pPr>
              <w:pStyle w:val="TableParagraph"/>
              <w:ind w:left="170"/>
            </w:pPr>
            <w:r w:rsidRPr="002F3A26">
              <w:t>1.70</w:t>
            </w:r>
            <w:r w:rsidRPr="002F3A26">
              <w:rPr>
                <w:vertAlign w:val="superscript"/>
              </w:rPr>
              <w:t>***</w:t>
            </w:r>
          </w:p>
        </w:tc>
        <w:tc>
          <w:tcPr>
            <w:tcW w:w="1063" w:type="dxa"/>
          </w:tcPr>
          <w:p w14:paraId="123D3B1F" w14:textId="0080FF86" w:rsidR="008B59E5" w:rsidRPr="002F3A26" w:rsidRDefault="008B59E5" w:rsidP="00BA6CBD">
            <w:pPr>
              <w:pStyle w:val="TableParagraph"/>
              <w:ind w:left="170"/>
            </w:pPr>
            <w:r w:rsidRPr="002F3A26">
              <w:t>0.94</w:t>
            </w:r>
            <w:r w:rsidRPr="002F3A26">
              <w:rPr>
                <w:vertAlign w:val="superscript"/>
              </w:rPr>
              <w:t>***</w:t>
            </w:r>
          </w:p>
        </w:tc>
        <w:tc>
          <w:tcPr>
            <w:tcW w:w="1062" w:type="dxa"/>
          </w:tcPr>
          <w:p w14:paraId="12028E7D" w14:textId="3C3D5B01" w:rsidR="008B59E5" w:rsidRPr="002F3A26" w:rsidRDefault="008B59E5" w:rsidP="00BA6CBD">
            <w:pPr>
              <w:pStyle w:val="TableParagraph"/>
              <w:ind w:left="170"/>
            </w:pPr>
            <w:r w:rsidRPr="002F3A26">
              <w:t>0.98</w:t>
            </w:r>
          </w:p>
        </w:tc>
        <w:tc>
          <w:tcPr>
            <w:tcW w:w="1062" w:type="dxa"/>
          </w:tcPr>
          <w:p w14:paraId="0720F980" w14:textId="5ACA0852" w:rsidR="008B59E5" w:rsidRPr="002F3A26" w:rsidRDefault="008B59E5" w:rsidP="00BA6CBD">
            <w:pPr>
              <w:pStyle w:val="TableParagraph"/>
              <w:ind w:left="170"/>
            </w:pPr>
            <w:r w:rsidRPr="002F3A26">
              <w:t>0.28</w:t>
            </w:r>
            <w:r w:rsidRPr="002F3A26">
              <w:rPr>
                <w:vertAlign w:val="superscript"/>
              </w:rPr>
              <w:t>***</w:t>
            </w:r>
          </w:p>
        </w:tc>
        <w:tc>
          <w:tcPr>
            <w:tcW w:w="1063" w:type="dxa"/>
          </w:tcPr>
          <w:p w14:paraId="17105DCC" w14:textId="16D8B2F9" w:rsidR="008B59E5" w:rsidRPr="002F3A26" w:rsidRDefault="008B59E5" w:rsidP="00BA6CBD">
            <w:pPr>
              <w:pStyle w:val="TableParagraph"/>
              <w:ind w:left="170"/>
            </w:pPr>
            <w:r w:rsidRPr="002F3A26">
              <w:t>0.80</w:t>
            </w:r>
            <w:r w:rsidRPr="002F3A26">
              <w:rPr>
                <w:vertAlign w:val="superscript"/>
              </w:rPr>
              <w:t>***</w:t>
            </w:r>
          </w:p>
        </w:tc>
      </w:tr>
      <w:tr w:rsidR="008B59E5" w:rsidRPr="002F3A26" w14:paraId="2C505CDF" w14:textId="77777777" w:rsidTr="00D17B28">
        <w:trPr>
          <w:trHeight w:val="218"/>
        </w:trPr>
        <w:tc>
          <w:tcPr>
            <w:tcW w:w="2263" w:type="dxa"/>
          </w:tcPr>
          <w:p w14:paraId="7B6D0D36" w14:textId="255718A2" w:rsidR="008B59E5" w:rsidRPr="002F3A26" w:rsidRDefault="008B59E5" w:rsidP="008B59E5">
            <w:pPr>
              <w:pStyle w:val="TableParagraph"/>
              <w:rPr>
                <w:rFonts w:cs="Arial"/>
              </w:rPr>
            </w:pPr>
            <w:r w:rsidRPr="002F3A26">
              <w:t>Father: not manager/professional</w:t>
            </w:r>
          </w:p>
        </w:tc>
        <w:tc>
          <w:tcPr>
            <w:tcW w:w="1062" w:type="dxa"/>
          </w:tcPr>
          <w:p w14:paraId="21A0C0F0" w14:textId="38DD4C5E" w:rsidR="008B59E5" w:rsidRPr="002F3A26" w:rsidRDefault="008B59E5" w:rsidP="00BA6CBD">
            <w:pPr>
              <w:pStyle w:val="TableParagraph"/>
              <w:ind w:left="170"/>
              <w:rPr>
                <w:rFonts w:cs="Arial"/>
              </w:rPr>
            </w:pPr>
            <w:r w:rsidRPr="002F3A26">
              <w:t>0.97</w:t>
            </w:r>
          </w:p>
        </w:tc>
        <w:tc>
          <w:tcPr>
            <w:tcW w:w="1062" w:type="dxa"/>
          </w:tcPr>
          <w:p w14:paraId="2F167574" w14:textId="2B725BB1" w:rsidR="008B59E5" w:rsidRPr="002F3A26" w:rsidRDefault="008B59E5" w:rsidP="00BA6CBD">
            <w:pPr>
              <w:pStyle w:val="TableParagraph"/>
              <w:ind w:left="170"/>
              <w:rPr>
                <w:rFonts w:cs="Arial"/>
              </w:rPr>
            </w:pPr>
            <w:r w:rsidRPr="002F3A26">
              <w:t>1.06</w:t>
            </w:r>
          </w:p>
        </w:tc>
        <w:tc>
          <w:tcPr>
            <w:tcW w:w="1062" w:type="dxa"/>
          </w:tcPr>
          <w:p w14:paraId="0BA4BACF" w14:textId="3CA76BA2" w:rsidR="008B59E5" w:rsidRPr="002F3A26" w:rsidRDefault="008B59E5" w:rsidP="00BA6CBD">
            <w:pPr>
              <w:pStyle w:val="TableParagraph"/>
              <w:ind w:left="170"/>
              <w:rPr>
                <w:rFonts w:cs="Arial"/>
              </w:rPr>
            </w:pPr>
            <w:r w:rsidRPr="002F3A26">
              <w:t>0.98</w:t>
            </w:r>
          </w:p>
        </w:tc>
        <w:tc>
          <w:tcPr>
            <w:tcW w:w="1063" w:type="dxa"/>
          </w:tcPr>
          <w:p w14:paraId="499F5E9B" w14:textId="0999722F" w:rsidR="008B59E5" w:rsidRPr="002F3A26" w:rsidRDefault="008B59E5" w:rsidP="00BA6CBD">
            <w:pPr>
              <w:pStyle w:val="TableParagraph"/>
              <w:ind w:left="170"/>
            </w:pPr>
            <w:r w:rsidRPr="002F3A26">
              <w:t>0.93</w:t>
            </w:r>
            <w:r w:rsidRPr="002F3A26">
              <w:rPr>
                <w:vertAlign w:val="superscript"/>
              </w:rPr>
              <w:t>*</w:t>
            </w:r>
          </w:p>
        </w:tc>
        <w:tc>
          <w:tcPr>
            <w:tcW w:w="1062" w:type="dxa"/>
          </w:tcPr>
          <w:p w14:paraId="01FD3E1F" w14:textId="3E54CFD9" w:rsidR="008B59E5" w:rsidRPr="002F3A26" w:rsidRDefault="008B59E5" w:rsidP="00BA6CBD">
            <w:pPr>
              <w:pStyle w:val="TableParagraph"/>
              <w:ind w:left="170"/>
            </w:pPr>
            <w:r w:rsidRPr="002F3A26">
              <w:t>0.71</w:t>
            </w:r>
            <w:r w:rsidRPr="002F3A26">
              <w:rPr>
                <w:vertAlign w:val="superscript"/>
              </w:rPr>
              <w:t>***</w:t>
            </w:r>
          </w:p>
        </w:tc>
        <w:tc>
          <w:tcPr>
            <w:tcW w:w="1062" w:type="dxa"/>
          </w:tcPr>
          <w:p w14:paraId="6B44EE9F" w14:textId="317E6D82" w:rsidR="008B59E5" w:rsidRPr="002F3A26" w:rsidRDefault="008B59E5" w:rsidP="00BA6CBD">
            <w:pPr>
              <w:pStyle w:val="TableParagraph"/>
              <w:ind w:left="170"/>
            </w:pPr>
            <w:r w:rsidRPr="002F3A26">
              <w:t>1.13</w:t>
            </w:r>
            <w:r w:rsidRPr="002F3A26">
              <w:rPr>
                <w:vertAlign w:val="superscript"/>
              </w:rPr>
              <w:t>***</w:t>
            </w:r>
          </w:p>
        </w:tc>
        <w:tc>
          <w:tcPr>
            <w:tcW w:w="1062" w:type="dxa"/>
          </w:tcPr>
          <w:p w14:paraId="4E832EEB" w14:textId="454EB4B2" w:rsidR="008B59E5" w:rsidRPr="002F3A26" w:rsidRDefault="008B59E5" w:rsidP="00BA6CBD">
            <w:pPr>
              <w:pStyle w:val="TableParagraph"/>
              <w:ind w:left="170"/>
            </w:pPr>
            <w:r w:rsidRPr="002F3A26">
              <w:t>1.14</w:t>
            </w:r>
            <w:r w:rsidRPr="002F3A26">
              <w:rPr>
                <w:vertAlign w:val="superscript"/>
              </w:rPr>
              <w:t>***</w:t>
            </w:r>
          </w:p>
        </w:tc>
        <w:tc>
          <w:tcPr>
            <w:tcW w:w="1063" w:type="dxa"/>
          </w:tcPr>
          <w:p w14:paraId="19ABC005" w14:textId="29A1966E" w:rsidR="008B59E5" w:rsidRPr="002F3A26" w:rsidRDefault="008B59E5" w:rsidP="00BA6CBD">
            <w:pPr>
              <w:pStyle w:val="TableParagraph"/>
              <w:ind w:left="170"/>
            </w:pPr>
            <w:r w:rsidRPr="002F3A26">
              <w:t>0.94</w:t>
            </w:r>
            <w:r w:rsidRPr="002F3A26">
              <w:rPr>
                <w:vertAlign w:val="superscript"/>
              </w:rPr>
              <w:t>**</w:t>
            </w:r>
          </w:p>
        </w:tc>
        <w:tc>
          <w:tcPr>
            <w:tcW w:w="1062" w:type="dxa"/>
          </w:tcPr>
          <w:p w14:paraId="24A91EC5" w14:textId="07446156" w:rsidR="008B59E5" w:rsidRPr="002F3A26" w:rsidRDefault="008B59E5" w:rsidP="00BA6CBD">
            <w:pPr>
              <w:pStyle w:val="TableParagraph"/>
              <w:ind w:left="170"/>
            </w:pPr>
            <w:r w:rsidRPr="002F3A26">
              <w:t>0.91</w:t>
            </w:r>
            <w:r w:rsidRPr="002F3A26">
              <w:rPr>
                <w:vertAlign w:val="superscript"/>
              </w:rPr>
              <w:t>***</w:t>
            </w:r>
          </w:p>
        </w:tc>
        <w:tc>
          <w:tcPr>
            <w:tcW w:w="1062" w:type="dxa"/>
          </w:tcPr>
          <w:p w14:paraId="070E3C45" w14:textId="4F21CA39" w:rsidR="008B59E5" w:rsidRPr="002F3A26" w:rsidRDefault="008B59E5" w:rsidP="00BA6CBD">
            <w:pPr>
              <w:pStyle w:val="TableParagraph"/>
              <w:ind w:left="170"/>
            </w:pPr>
            <w:r w:rsidRPr="002F3A26">
              <w:t>0.62</w:t>
            </w:r>
            <w:r w:rsidRPr="002F3A26">
              <w:rPr>
                <w:vertAlign w:val="superscript"/>
              </w:rPr>
              <w:t>***</w:t>
            </w:r>
          </w:p>
        </w:tc>
        <w:tc>
          <w:tcPr>
            <w:tcW w:w="1063" w:type="dxa"/>
          </w:tcPr>
          <w:p w14:paraId="482AC83B" w14:textId="67EA4038" w:rsidR="008B59E5" w:rsidRPr="002F3A26" w:rsidRDefault="008B59E5" w:rsidP="00BA6CBD">
            <w:pPr>
              <w:pStyle w:val="TableParagraph"/>
              <w:ind w:left="170"/>
            </w:pPr>
            <w:r w:rsidRPr="002F3A26">
              <w:t>0.86</w:t>
            </w:r>
            <w:r w:rsidRPr="002F3A26">
              <w:rPr>
                <w:vertAlign w:val="superscript"/>
              </w:rPr>
              <w:t>***</w:t>
            </w:r>
          </w:p>
        </w:tc>
      </w:tr>
      <w:tr w:rsidR="008B59E5" w:rsidRPr="002F3A26" w14:paraId="1C9F55F9" w14:textId="77777777" w:rsidTr="00D17B28">
        <w:trPr>
          <w:trHeight w:val="218"/>
        </w:trPr>
        <w:tc>
          <w:tcPr>
            <w:tcW w:w="2263" w:type="dxa"/>
          </w:tcPr>
          <w:p w14:paraId="22079DE5" w14:textId="7EDA22DA" w:rsidR="008B59E5" w:rsidRPr="002F3A26" w:rsidRDefault="008B59E5" w:rsidP="008B59E5">
            <w:pPr>
              <w:pStyle w:val="TableParagraph"/>
              <w:rPr>
                <w:rFonts w:cs="Arial"/>
              </w:rPr>
            </w:pPr>
            <w:r w:rsidRPr="002F3A26">
              <w:t>Mother: not manager/professional</w:t>
            </w:r>
          </w:p>
        </w:tc>
        <w:tc>
          <w:tcPr>
            <w:tcW w:w="1062" w:type="dxa"/>
          </w:tcPr>
          <w:p w14:paraId="19412D97" w14:textId="380214BB" w:rsidR="008B59E5" w:rsidRPr="002F3A26" w:rsidRDefault="008B59E5" w:rsidP="00BA6CBD">
            <w:pPr>
              <w:pStyle w:val="TableParagraph"/>
              <w:ind w:left="170"/>
              <w:rPr>
                <w:rFonts w:cs="Arial"/>
              </w:rPr>
            </w:pPr>
            <w:r w:rsidRPr="002F3A26">
              <w:t>1.11</w:t>
            </w:r>
            <w:r w:rsidRPr="002F3A26">
              <w:rPr>
                <w:vertAlign w:val="superscript"/>
              </w:rPr>
              <w:t>***</w:t>
            </w:r>
          </w:p>
        </w:tc>
        <w:tc>
          <w:tcPr>
            <w:tcW w:w="1062" w:type="dxa"/>
          </w:tcPr>
          <w:p w14:paraId="747EB3B2" w14:textId="78B6F245" w:rsidR="008B59E5" w:rsidRPr="002F3A26" w:rsidRDefault="008B59E5" w:rsidP="00BA6CBD">
            <w:pPr>
              <w:pStyle w:val="TableParagraph"/>
              <w:ind w:left="170"/>
              <w:rPr>
                <w:rFonts w:cs="Arial"/>
              </w:rPr>
            </w:pPr>
            <w:r w:rsidRPr="002F3A26">
              <w:t>1.30</w:t>
            </w:r>
            <w:r w:rsidRPr="002F3A26">
              <w:rPr>
                <w:vertAlign w:val="superscript"/>
              </w:rPr>
              <w:t>***</w:t>
            </w:r>
          </w:p>
        </w:tc>
        <w:tc>
          <w:tcPr>
            <w:tcW w:w="1062" w:type="dxa"/>
          </w:tcPr>
          <w:p w14:paraId="3BC0BC8F" w14:textId="501A4231" w:rsidR="008B59E5" w:rsidRPr="002F3A26" w:rsidRDefault="008B59E5" w:rsidP="00BA6CBD">
            <w:pPr>
              <w:pStyle w:val="TableParagraph"/>
              <w:ind w:left="170"/>
              <w:rPr>
                <w:rFonts w:cs="Arial"/>
              </w:rPr>
            </w:pPr>
            <w:r w:rsidRPr="002F3A26">
              <w:t>1.13</w:t>
            </w:r>
            <w:r w:rsidRPr="002F3A26">
              <w:rPr>
                <w:vertAlign w:val="superscript"/>
              </w:rPr>
              <w:t>***</w:t>
            </w:r>
          </w:p>
        </w:tc>
        <w:tc>
          <w:tcPr>
            <w:tcW w:w="1063" w:type="dxa"/>
          </w:tcPr>
          <w:p w14:paraId="6C0E8E64" w14:textId="77079983" w:rsidR="008B59E5" w:rsidRPr="002F3A26" w:rsidRDefault="008B59E5" w:rsidP="00BA6CBD">
            <w:pPr>
              <w:pStyle w:val="TableParagraph"/>
              <w:ind w:left="170"/>
            </w:pPr>
            <w:r w:rsidRPr="002F3A26">
              <w:t>1.11</w:t>
            </w:r>
            <w:r w:rsidRPr="002F3A26">
              <w:rPr>
                <w:vertAlign w:val="superscript"/>
              </w:rPr>
              <w:t>**</w:t>
            </w:r>
          </w:p>
        </w:tc>
        <w:tc>
          <w:tcPr>
            <w:tcW w:w="1062" w:type="dxa"/>
          </w:tcPr>
          <w:p w14:paraId="0579875F" w14:textId="064236A3" w:rsidR="008B59E5" w:rsidRPr="002F3A26" w:rsidRDefault="008B59E5" w:rsidP="00BA6CBD">
            <w:pPr>
              <w:pStyle w:val="TableParagraph"/>
              <w:ind w:left="170"/>
            </w:pPr>
            <w:r w:rsidRPr="002F3A26">
              <w:t>0.73</w:t>
            </w:r>
            <w:r w:rsidRPr="002F3A26">
              <w:rPr>
                <w:vertAlign w:val="superscript"/>
              </w:rPr>
              <w:t>***</w:t>
            </w:r>
          </w:p>
        </w:tc>
        <w:tc>
          <w:tcPr>
            <w:tcW w:w="1062" w:type="dxa"/>
          </w:tcPr>
          <w:p w14:paraId="224AF05A" w14:textId="10555CF1" w:rsidR="008B59E5" w:rsidRPr="002F3A26" w:rsidRDefault="008B59E5" w:rsidP="00BA6CBD">
            <w:pPr>
              <w:pStyle w:val="TableParagraph"/>
              <w:ind w:left="170"/>
            </w:pPr>
            <w:r w:rsidRPr="002F3A26">
              <w:t>1.03</w:t>
            </w:r>
          </w:p>
        </w:tc>
        <w:tc>
          <w:tcPr>
            <w:tcW w:w="1062" w:type="dxa"/>
          </w:tcPr>
          <w:p w14:paraId="2FF35FF3" w14:textId="377EBEAE" w:rsidR="008B59E5" w:rsidRPr="002F3A26" w:rsidRDefault="008B59E5" w:rsidP="00BA6CBD">
            <w:pPr>
              <w:pStyle w:val="TableParagraph"/>
              <w:ind w:left="170"/>
            </w:pPr>
            <w:r w:rsidRPr="002F3A26">
              <w:t>0.96</w:t>
            </w:r>
          </w:p>
        </w:tc>
        <w:tc>
          <w:tcPr>
            <w:tcW w:w="1063" w:type="dxa"/>
          </w:tcPr>
          <w:p w14:paraId="26B4AA0C" w14:textId="2594921F" w:rsidR="008B59E5" w:rsidRPr="002F3A26" w:rsidRDefault="008B59E5" w:rsidP="00BA6CBD">
            <w:pPr>
              <w:pStyle w:val="TableParagraph"/>
              <w:ind w:left="170"/>
            </w:pPr>
            <w:r w:rsidRPr="002F3A26">
              <w:t>1.20</w:t>
            </w:r>
            <w:r w:rsidRPr="002F3A26">
              <w:rPr>
                <w:vertAlign w:val="superscript"/>
              </w:rPr>
              <w:t>***</w:t>
            </w:r>
          </w:p>
        </w:tc>
        <w:tc>
          <w:tcPr>
            <w:tcW w:w="1062" w:type="dxa"/>
          </w:tcPr>
          <w:p w14:paraId="336F8BDA" w14:textId="694BECE7" w:rsidR="008B59E5" w:rsidRPr="002F3A26" w:rsidRDefault="008B59E5" w:rsidP="00BA6CBD">
            <w:pPr>
              <w:pStyle w:val="TableParagraph"/>
              <w:ind w:left="170"/>
            </w:pPr>
            <w:r w:rsidRPr="002F3A26">
              <w:t>0.98</w:t>
            </w:r>
          </w:p>
        </w:tc>
        <w:tc>
          <w:tcPr>
            <w:tcW w:w="1062" w:type="dxa"/>
          </w:tcPr>
          <w:p w14:paraId="59550096" w14:textId="589F0078" w:rsidR="008B59E5" w:rsidRPr="002F3A26" w:rsidRDefault="008B59E5" w:rsidP="00BA6CBD">
            <w:pPr>
              <w:pStyle w:val="TableParagraph"/>
              <w:ind w:left="170"/>
            </w:pPr>
            <w:r w:rsidRPr="002F3A26">
              <w:t>0.82</w:t>
            </w:r>
            <w:r w:rsidRPr="002F3A26">
              <w:rPr>
                <w:vertAlign w:val="superscript"/>
              </w:rPr>
              <w:t>***</w:t>
            </w:r>
          </w:p>
        </w:tc>
        <w:tc>
          <w:tcPr>
            <w:tcW w:w="1063" w:type="dxa"/>
          </w:tcPr>
          <w:p w14:paraId="2D0464E4" w14:textId="03DF314E" w:rsidR="008B59E5" w:rsidRPr="002F3A26" w:rsidRDefault="008B59E5" w:rsidP="00BA6CBD">
            <w:pPr>
              <w:pStyle w:val="TableParagraph"/>
              <w:ind w:left="170"/>
            </w:pPr>
            <w:r w:rsidRPr="002F3A26">
              <w:t>0.97</w:t>
            </w:r>
          </w:p>
        </w:tc>
      </w:tr>
      <w:tr w:rsidR="008B59E5" w:rsidRPr="002F3A26" w14:paraId="724EDF86" w14:textId="77777777" w:rsidTr="00D17B28">
        <w:trPr>
          <w:trHeight w:val="218"/>
        </w:trPr>
        <w:tc>
          <w:tcPr>
            <w:tcW w:w="2263" w:type="dxa"/>
          </w:tcPr>
          <w:p w14:paraId="27B1EE73" w14:textId="42910187" w:rsidR="008B59E5" w:rsidRPr="002F3A26" w:rsidRDefault="008B59E5" w:rsidP="008B59E5">
            <w:pPr>
              <w:pStyle w:val="TableParagraph"/>
              <w:rPr>
                <w:rFonts w:cs="Arial"/>
              </w:rPr>
            </w:pPr>
            <w:r w:rsidRPr="002F3A26">
              <w:t>Single parent</w:t>
            </w:r>
          </w:p>
        </w:tc>
        <w:tc>
          <w:tcPr>
            <w:tcW w:w="1062" w:type="dxa"/>
          </w:tcPr>
          <w:p w14:paraId="70158612" w14:textId="43DE3305" w:rsidR="008B59E5" w:rsidRPr="002F3A26" w:rsidRDefault="008B59E5" w:rsidP="00BA6CBD">
            <w:pPr>
              <w:pStyle w:val="TableParagraph"/>
              <w:ind w:left="170"/>
              <w:rPr>
                <w:rFonts w:cs="Arial"/>
              </w:rPr>
            </w:pPr>
            <w:r w:rsidRPr="002F3A26">
              <w:t>0.75</w:t>
            </w:r>
            <w:r w:rsidRPr="002F3A26">
              <w:rPr>
                <w:vertAlign w:val="superscript"/>
              </w:rPr>
              <w:t>***</w:t>
            </w:r>
          </w:p>
        </w:tc>
        <w:tc>
          <w:tcPr>
            <w:tcW w:w="1062" w:type="dxa"/>
          </w:tcPr>
          <w:p w14:paraId="04C547A5" w14:textId="5503A90C" w:rsidR="008B59E5" w:rsidRPr="002F3A26" w:rsidRDefault="008B59E5" w:rsidP="00BA6CBD">
            <w:pPr>
              <w:pStyle w:val="TableParagraph"/>
              <w:ind w:left="170"/>
              <w:rPr>
                <w:rFonts w:cs="Arial"/>
              </w:rPr>
            </w:pPr>
            <w:r w:rsidRPr="002F3A26">
              <w:t>0.71</w:t>
            </w:r>
            <w:r w:rsidRPr="002F3A26">
              <w:rPr>
                <w:vertAlign w:val="superscript"/>
              </w:rPr>
              <w:t>***</w:t>
            </w:r>
          </w:p>
        </w:tc>
        <w:tc>
          <w:tcPr>
            <w:tcW w:w="1062" w:type="dxa"/>
          </w:tcPr>
          <w:p w14:paraId="1F5A3606" w14:textId="2A080EA9" w:rsidR="008B59E5" w:rsidRPr="002F3A26" w:rsidRDefault="008B59E5" w:rsidP="00BA6CBD">
            <w:pPr>
              <w:pStyle w:val="TableParagraph"/>
              <w:ind w:left="170"/>
              <w:rPr>
                <w:rFonts w:cs="Arial"/>
              </w:rPr>
            </w:pPr>
            <w:r w:rsidRPr="002F3A26">
              <w:t>0.66</w:t>
            </w:r>
            <w:r w:rsidRPr="002F3A26">
              <w:rPr>
                <w:vertAlign w:val="superscript"/>
              </w:rPr>
              <w:t>***</w:t>
            </w:r>
          </w:p>
        </w:tc>
        <w:tc>
          <w:tcPr>
            <w:tcW w:w="1063" w:type="dxa"/>
          </w:tcPr>
          <w:p w14:paraId="62D736AE" w14:textId="0728A806" w:rsidR="008B59E5" w:rsidRPr="002F3A26" w:rsidRDefault="008B59E5" w:rsidP="00BA6CBD">
            <w:pPr>
              <w:pStyle w:val="TableParagraph"/>
              <w:ind w:left="170"/>
            </w:pPr>
            <w:r w:rsidRPr="002F3A26">
              <w:t>0.64</w:t>
            </w:r>
            <w:r w:rsidRPr="002F3A26">
              <w:rPr>
                <w:vertAlign w:val="superscript"/>
              </w:rPr>
              <w:t>***</w:t>
            </w:r>
          </w:p>
        </w:tc>
        <w:tc>
          <w:tcPr>
            <w:tcW w:w="1062" w:type="dxa"/>
          </w:tcPr>
          <w:p w14:paraId="75599B62" w14:textId="7058A956" w:rsidR="008B59E5" w:rsidRPr="002F3A26" w:rsidRDefault="008B59E5" w:rsidP="00BA6CBD">
            <w:pPr>
              <w:pStyle w:val="TableParagraph"/>
              <w:ind w:left="170"/>
            </w:pPr>
            <w:r w:rsidRPr="002F3A26">
              <w:t>0.93</w:t>
            </w:r>
          </w:p>
        </w:tc>
        <w:tc>
          <w:tcPr>
            <w:tcW w:w="1062" w:type="dxa"/>
          </w:tcPr>
          <w:p w14:paraId="09AAE735" w14:textId="0B1220C1" w:rsidR="008B59E5" w:rsidRPr="002F3A26" w:rsidRDefault="008B59E5" w:rsidP="00BA6CBD">
            <w:pPr>
              <w:pStyle w:val="TableParagraph"/>
              <w:ind w:left="170"/>
            </w:pPr>
            <w:r w:rsidRPr="002F3A26">
              <w:t>0.73</w:t>
            </w:r>
            <w:r w:rsidRPr="002F3A26">
              <w:rPr>
                <w:vertAlign w:val="superscript"/>
              </w:rPr>
              <w:t>***</w:t>
            </w:r>
          </w:p>
        </w:tc>
        <w:tc>
          <w:tcPr>
            <w:tcW w:w="1062" w:type="dxa"/>
          </w:tcPr>
          <w:p w14:paraId="7C747F3E" w14:textId="18728425" w:rsidR="008B59E5" w:rsidRPr="002F3A26" w:rsidRDefault="008B59E5" w:rsidP="00BA6CBD">
            <w:pPr>
              <w:pStyle w:val="TableParagraph"/>
              <w:ind w:left="170"/>
            </w:pPr>
            <w:r w:rsidRPr="002F3A26">
              <w:t>0.73</w:t>
            </w:r>
            <w:r w:rsidRPr="002F3A26">
              <w:rPr>
                <w:vertAlign w:val="superscript"/>
              </w:rPr>
              <w:t>***</w:t>
            </w:r>
          </w:p>
        </w:tc>
        <w:tc>
          <w:tcPr>
            <w:tcW w:w="1063" w:type="dxa"/>
          </w:tcPr>
          <w:p w14:paraId="1C42670F" w14:textId="601D0AA3" w:rsidR="008B59E5" w:rsidRPr="002F3A26" w:rsidRDefault="008B59E5" w:rsidP="00BA6CBD">
            <w:pPr>
              <w:pStyle w:val="TableParagraph"/>
              <w:ind w:left="170"/>
            </w:pPr>
            <w:r w:rsidRPr="002F3A26">
              <w:t>0.82</w:t>
            </w:r>
            <w:r w:rsidRPr="002F3A26">
              <w:rPr>
                <w:vertAlign w:val="superscript"/>
              </w:rPr>
              <w:t>***</w:t>
            </w:r>
          </w:p>
        </w:tc>
        <w:tc>
          <w:tcPr>
            <w:tcW w:w="1062" w:type="dxa"/>
          </w:tcPr>
          <w:p w14:paraId="3A4A35A5" w14:textId="29E0F9B0" w:rsidR="008B59E5" w:rsidRPr="002F3A26" w:rsidRDefault="008B59E5" w:rsidP="00BA6CBD">
            <w:pPr>
              <w:pStyle w:val="TableParagraph"/>
              <w:ind w:left="170"/>
            </w:pPr>
            <w:r w:rsidRPr="002F3A26">
              <w:t>0.99</w:t>
            </w:r>
          </w:p>
        </w:tc>
        <w:tc>
          <w:tcPr>
            <w:tcW w:w="1062" w:type="dxa"/>
          </w:tcPr>
          <w:p w14:paraId="4BF8CE30" w14:textId="07200A98" w:rsidR="008B59E5" w:rsidRPr="002F3A26" w:rsidRDefault="008B59E5" w:rsidP="00BA6CBD">
            <w:pPr>
              <w:pStyle w:val="TableParagraph"/>
              <w:ind w:left="170"/>
            </w:pPr>
            <w:r w:rsidRPr="002F3A26">
              <w:t>0.66</w:t>
            </w:r>
            <w:r w:rsidRPr="002F3A26">
              <w:rPr>
                <w:vertAlign w:val="superscript"/>
              </w:rPr>
              <w:t>***</w:t>
            </w:r>
          </w:p>
        </w:tc>
        <w:tc>
          <w:tcPr>
            <w:tcW w:w="1063" w:type="dxa"/>
          </w:tcPr>
          <w:p w14:paraId="230AD9B6" w14:textId="72DE513E" w:rsidR="008B59E5" w:rsidRPr="002F3A26" w:rsidRDefault="008B59E5" w:rsidP="00BA6CBD">
            <w:pPr>
              <w:pStyle w:val="TableParagraph"/>
              <w:ind w:left="170"/>
            </w:pPr>
            <w:r w:rsidRPr="002F3A26">
              <w:t>1.04</w:t>
            </w:r>
          </w:p>
        </w:tc>
      </w:tr>
      <w:tr w:rsidR="008B59E5" w:rsidRPr="002F3A26" w14:paraId="607BCDDD" w14:textId="77777777" w:rsidTr="00D17B28">
        <w:trPr>
          <w:trHeight w:val="218"/>
        </w:trPr>
        <w:tc>
          <w:tcPr>
            <w:tcW w:w="2263" w:type="dxa"/>
          </w:tcPr>
          <w:p w14:paraId="058C75A4" w14:textId="7100CE6A" w:rsidR="008B59E5" w:rsidRPr="002F3A26" w:rsidRDefault="008B59E5" w:rsidP="008B59E5">
            <w:pPr>
              <w:pStyle w:val="TableParagraph"/>
            </w:pPr>
            <w:r w:rsidRPr="002F3A26">
              <w:t>Family income (ref. $3,000 or more)</w:t>
            </w:r>
          </w:p>
        </w:tc>
        <w:tc>
          <w:tcPr>
            <w:tcW w:w="1062" w:type="dxa"/>
          </w:tcPr>
          <w:p w14:paraId="7889B638" w14:textId="77777777" w:rsidR="008B59E5" w:rsidRPr="002F3A26" w:rsidRDefault="008B59E5" w:rsidP="00BA6CBD">
            <w:pPr>
              <w:pStyle w:val="TableParagraph"/>
              <w:ind w:left="170"/>
            </w:pPr>
          </w:p>
        </w:tc>
        <w:tc>
          <w:tcPr>
            <w:tcW w:w="1062" w:type="dxa"/>
          </w:tcPr>
          <w:p w14:paraId="56207189" w14:textId="77777777" w:rsidR="008B59E5" w:rsidRPr="002F3A26" w:rsidRDefault="008B59E5" w:rsidP="00BA6CBD">
            <w:pPr>
              <w:pStyle w:val="TableParagraph"/>
              <w:ind w:left="170"/>
            </w:pPr>
          </w:p>
        </w:tc>
        <w:tc>
          <w:tcPr>
            <w:tcW w:w="1062" w:type="dxa"/>
          </w:tcPr>
          <w:p w14:paraId="35B083E4" w14:textId="77777777" w:rsidR="008B59E5" w:rsidRPr="002F3A26" w:rsidRDefault="008B59E5" w:rsidP="00BA6CBD">
            <w:pPr>
              <w:pStyle w:val="TableParagraph"/>
              <w:ind w:left="170"/>
            </w:pPr>
          </w:p>
        </w:tc>
        <w:tc>
          <w:tcPr>
            <w:tcW w:w="1063" w:type="dxa"/>
          </w:tcPr>
          <w:p w14:paraId="4FC0839D" w14:textId="77777777" w:rsidR="008B59E5" w:rsidRPr="002F3A26" w:rsidRDefault="008B59E5" w:rsidP="00BA6CBD">
            <w:pPr>
              <w:pStyle w:val="TableParagraph"/>
              <w:ind w:left="170"/>
            </w:pPr>
          </w:p>
        </w:tc>
        <w:tc>
          <w:tcPr>
            <w:tcW w:w="1062" w:type="dxa"/>
          </w:tcPr>
          <w:p w14:paraId="27860A4F" w14:textId="77777777" w:rsidR="008B59E5" w:rsidRPr="002F3A26" w:rsidRDefault="008B59E5" w:rsidP="00BA6CBD">
            <w:pPr>
              <w:pStyle w:val="TableParagraph"/>
              <w:ind w:left="170"/>
            </w:pPr>
          </w:p>
        </w:tc>
        <w:tc>
          <w:tcPr>
            <w:tcW w:w="1062" w:type="dxa"/>
          </w:tcPr>
          <w:p w14:paraId="5C463E3B" w14:textId="77777777" w:rsidR="008B59E5" w:rsidRPr="002F3A26" w:rsidRDefault="008B59E5" w:rsidP="00BA6CBD">
            <w:pPr>
              <w:pStyle w:val="TableParagraph"/>
              <w:ind w:left="170"/>
            </w:pPr>
          </w:p>
        </w:tc>
        <w:tc>
          <w:tcPr>
            <w:tcW w:w="1062" w:type="dxa"/>
          </w:tcPr>
          <w:p w14:paraId="0DCE4CDB" w14:textId="77777777" w:rsidR="008B59E5" w:rsidRPr="002F3A26" w:rsidRDefault="008B59E5" w:rsidP="00BA6CBD">
            <w:pPr>
              <w:pStyle w:val="TableParagraph"/>
              <w:ind w:left="170"/>
            </w:pPr>
          </w:p>
        </w:tc>
        <w:tc>
          <w:tcPr>
            <w:tcW w:w="1063" w:type="dxa"/>
          </w:tcPr>
          <w:p w14:paraId="3E6724DB" w14:textId="77777777" w:rsidR="008B59E5" w:rsidRPr="002F3A26" w:rsidRDefault="008B59E5" w:rsidP="00BA6CBD">
            <w:pPr>
              <w:pStyle w:val="TableParagraph"/>
              <w:ind w:left="170"/>
            </w:pPr>
          </w:p>
        </w:tc>
        <w:tc>
          <w:tcPr>
            <w:tcW w:w="1062" w:type="dxa"/>
          </w:tcPr>
          <w:p w14:paraId="15FDC159" w14:textId="77777777" w:rsidR="008B59E5" w:rsidRPr="002F3A26" w:rsidRDefault="008B59E5" w:rsidP="00BA6CBD">
            <w:pPr>
              <w:pStyle w:val="TableParagraph"/>
              <w:ind w:left="170"/>
            </w:pPr>
          </w:p>
        </w:tc>
        <w:tc>
          <w:tcPr>
            <w:tcW w:w="1062" w:type="dxa"/>
          </w:tcPr>
          <w:p w14:paraId="42EF3A5D" w14:textId="77777777" w:rsidR="008B59E5" w:rsidRPr="002F3A26" w:rsidRDefault="008B59E5" w:rsidP="00BA6CBD">
            <w:pPr>
              <w:pStyle w:val="TableParagraph"/>
              <w:ind w:left="170"/>
            </w:pPr>
          </w:p>
        </w:tc>
        <w:tc>
          <w:tcPr>
            <w:tcW w:w="1063" w:type="dxa"/>
          </w:tcPr>
          <w:p w14:paraId="6E9EE31D" w14:textId="77777777" w:rsidR="008B59E5" w:rsidRPr="002F3A26" w:rsidRDefault="008B59E5" w:rsidP="00BA6CBD">
            <w:pPr>
              <w:pStyle w:val="TableParagraph"/>
              <w:ind w:left="170"/>
            </w:pPr>
          </w:p>
        </w:tc>
      </w:tr>
      <w:tr w:rsidR="008B59E5" w:rsidRPr="002F3A26" w14:paraId="7FC9B2E3" w14:textId="77777777" w:rsidTr="00D17B28">
        <w:trPr>
          <w:trHeight w:val="218"/>
        </w:trPr>
        <w:tc>
          <w:tcPr>
            <w:tcW w:w="2263" w:type="dxa"/>
          </w:tcPr>
          <w:p w14:paraId="56E211A9" w14:textId="4248CB85" w:rsidR="008B59E5" w:rsidRPr="002F3A26" w:rsidRDefault="008B59E5" w:rsidP="008B59E5">
            <w:pPr>
              <w:pStyle w:val="TableParagraph"/>
              <w:rPr>
                <w:rFonts w:cs="Arial"/>
              </w:rPr>
            </w:pPr>
            <w:r w:rsidRPr="002F3A26">
              <w:t>$1,249 or less</w:t>
            </w:r>
          </w:p>
        </w:tc>
        <w:tc>
          <w:tcPr>
            <w:tcW w:w="1062" w:type="dxa"/>
          </w:tcPr>
          <w:p w14:paraId="39CC7582" w14:textId="5A515B88" w:rsidR="008B59E5" w:rsidRPr="002F3A26" w:rsidRDefault="008B59E5" w:rsidP="00BA6CBD">
            <w:pPr>
              <w:pStyle w:val="TableParagraph"/>
              <w:ind w:left="170"/>
              <w:rPr>
                <w:rFonts w:cs="Arial"/>
              </w:rPr>
            </w:pPr>
            <w:r w:rsidRPr="002F3A26">
              <w:t>1.29</w:t>
            </w:r>
            <w:r w:rsidRPr="002F3A26">
              <w:rPr>
                <w:vertAlign w:val="superscript"/>
              </w:rPr>
              <w:t>***</w:t>
            </w:r>
          </w:p>
        </w:tc>
        <w:tc>
          <w:tcPr>
            <w:tcW w:w="1062" w:type="dxa"/>
          </w:tcPr>
          <w:p w14:paraId="73C4D264" w14:textId="47CE5875" w:rsidR="008B59E5" w:rsidRPr="002F3A26" w:rsidRDefault="008B59E5" w:rsidP="00BA6CBD">
            <w:pPr>
              <w:pStyle w:val="TableParagraph"/>
              <w:ind w:left="170"/>
              <w:rPr>
                <w:rFonts w:cs="Arial"/>
              </w:rPr>
            </w:pPr>
            <w:r w:rsidRPr="002F3A26">
              <w:t>1.51</w:t>
            </w:r>
            <w:r w:rsidRPr="002F3A26">
              <w:rPr>
                <w:vertAlign w:val="superscript"/>
              </w:rPr>
              <w:t>***</w:t>
            </w:r>
          </w:p>
        </w:tc>
        <w:tc>
          <w:tcPr>
            <w:tcW w:w="1062" w:type="dxa"/>
          </w:tcPr>
          <w:p w14:paraId="60C8422F" w14:textId="59BB9BD8" w:rsidR="008B59E5" w:rsidRPr="002F3A26" w:rsidRDefault="008B59E5" w:rsidP="00BA6CBD">
            <w:pPr>
              <w:pStyle w:val="TableParagraph"/>
              <w:ind w:left="170"/>
              <w:rPr>
                <w:rFonts w:cs="Arial"/>
              </w:rPr>
            </w:pPr>
            <w:r w:rsidRPr="002F3A26">
              <w:t>1.17</w:t>
            </w:r>
            <w:r w:rsidRPr="002F3A26">
              <w:rPr>
                <w:vertAlign w:val="superscript"/>
              </w:rPr>
              <w:t>***</w:t>
            </w:r>
          </w:p>
        </w:tc>
        <w:tc>
          <w:tcPr>
            <w:tcW w:w="1063" w:type="dxa"/>
          </w:tcPr>
          <w:p w14:paraId="7D9FE8A7" w14:textId="4CD964A1" w:rsidR="008B59E5" w:rsidRPr="002F3A26" w:rsidRDefault="008B59E5" w:rsidP="00BA6CBD">
            <w:pPr>
              <w:pStyle w:val="TableParagraph"/>
              <w:ind w:left="170"/>
            </w:pPr>
            <w:r w:rsidRPr="002F3A26">
              <w:t>1.14</w:t>
            </w:r>
            <w:r w:rsidRPr="002F3A26">
              <w:rPr>
                <w:vertAlign w:val="superscript"/>
              </w:rPr>
              <w:t>*</w:t>
            </w:r>
          </w:p>
        </w:tc>
        <w:tc>
          <w:tcPr>
            <w:tcW w:w="1062" w:type="dxa"/>
          </w:tcPr>
          <w:p w14:paraId="7AAD37DD" w14:textId="64AC4F42" w:rsidR="008B59E5" w:rsidRPr="002F3A26" w:rsidRDefault="008B59E5" w:rsidP="00BA6CBD">
            <w:pPr>
              <w:pStyle w:val="TableParagraph"/>
              <w:ind w:left="170"/>
            </w:pPr>
            <w:r w:rsidRPr="002F3A26">
              <w:t>1.04</w:t>
            </w:r>
          </w:p>
        </w:tc>
        <w:tc>
          <w:tcPr>
            <w:tcW w:w="1062" w:type="dxa"/>
          </w:tcPr>
          <w:p w14:paraId="62451A63" w14:textId="0611087B" w:rsidR="008B59E5" w:rsidRPr="002F3A26" w:rsidRDefault="008B59E5" w:rsidP="00BA6CBD">
            <w:pPr>
              <w:pStyle w:val="TableParagraph"/>
              <w:ind w:left="170"/>
            </w:pPr>
            <w:r w:rsidRPr="002F3A26">
              <w:t>0.93</w:t>
            </w:r>
            <w:r w:rsidRPr="002F3A26">
              <w:rPr>
                <w:vertAlign w:val="superscript"/>
              </w:rPr>
              <w:t>*</w:t>
            </w:r>
          </w:p>
        </w:tc>
        <w:tc>
          <w:tcPr>
            <w:tcW w:w="1062" w:type="dxa"/>
          </w:tcPr>
          <w:p w14:paraId="1012209C" w14:textId="6145A91E" w:rsidR="008B59E5" w:rsidRPr="002F3A26" w:rsidRDefault="008B59E5" w:rsidP="00BA6CBD">
            <w:pPr>
              <w:pStyle w:val="TableParagraph"/>
              <w:ind w:left="170"/>
            </w:pPr>
            <w:r w:rsidRPr="002F3A26">
              <w:t>0.90</w:t>
            </w:r>
            <w:r w:rsidRPr="002F3A26">
              <w:rPr>
                <w:vertAlign w:val="superscript"/>
              </w:rPr>
              <w:t>**</w:t>
            </w:r>
          </w:p>
        </w:tc>
        <w:tc>
          <w:tcPr>
            <w:tcW w:w="1063" w:type="dxa"/>
          </w:tcPr>
          <w:p w14:paraId="2279AF94" w14:textId="6C3B5C72" w:rsidR="008B59E5" w:rsidRPr="002F3A26" w:rsidRDefault="008B59E5" w:rsidP="00BA6CBD">
            <w:pPr>
              <w:pStyle w:val="TableParagraph"/>
              <w:ind w:left="170"/>
            </w:pPr>
            <w:r w:rsidRPr="002F3A26">
              <w:t>0.93</w:t>
            </w:r>
            <w:r w:rsidRPr="002F3A26">
              <w:rPr>
                <w:vertAlign w:val="superscript"/>
              </w:rPr>
              <w:t>**</w:t>
            </w:r>
          </w:p>
        </w:tc>
        <w:tc>
          <w:tcPr>
            <w:tcW w:w="1062" w:type="dxa"/>
          </w:tcPr>
          <w:p w14:paraId="20F5D162" w14:textId="326E9D81" w:rsidR="008B59E5" w:rsidRPr="002F3A26" w:rsidRDefault="008B59E5" w:rsidP="00BA6CBD">
            <w:pPr>
              <w:pStyle w:val="TableParagraph"/>
              <w:ind w:left="170"/>
            </w:pPr>
            <w:r w:rsidRPr="002F3A26">
              <w:t>1.00</w:t>
            </w:r>
          </w:p>
        </w:tc>
        <w:tc>
          <w:tcPr>
            <w:tcW w:w="1062" w:type="dxa"/>
          </w:tcPr>
          <w:p w14:paraId="116E53FA" w14:textId="206C3D37" w:rsidR="008B59E5" w:rsidRPr="002F3A26" w:rsidRDefault="008B59E5" w:rsidP="00BA6CBD">
            <w:pPr>
              <w:pStyle w:val="TableParagraph"/>
              <w:ind w:left="170"/>
            </w:pPr>
            <w:r w:rsidRPr="002F3A26">
              <w:t>1.38</w:t>
            </w:r>
            <w:r w:rsidRPr="002F3A26">
              <w:rPr>
                <w:vertAlign w:val="superscript"/>
              </w:rPr>
              <w:t>**</w:t>
            </w:r>
          </w:p>
        </w:tc>
        <w:tc>
          <w:tcPr>
            <w:tcW w:w="1063" w:type="dxa"/>
          </w:tcPr>
          <w:p w14:paraId="50985A36" w14:textId="6FC3DDD1" w:rsidR="008B59E5" w:rsidRPr="002F3A26" w:rsidRDefault="008B59E5" w:rsidP="00BA6CBD">
            <w:pPr>
              <w:pStyle w:val="TableParagraph"/>
              <w:ind w:left="170"/>
            </w:pPr>
            <w:r w:rsidRPr="002F3A26">
              <w:t>0.94</w:t>
            </w:r>
          </w:p>
        </w:tc>
      </w:tr>
      <w:tr w:rsidR="008B59E5" w:rsidRPr="002F3A26" w14:paraId="5E91C7B2" w14:textId="77777777" w:rsidTr="00D17B28">
        <w:trPr>
          <w:trHeight w:val="218"/>
        </w:trPr>
        <w:tc>
          <w:tcPr>
            <w:tcW w:w="2263" w:type="dxa"/>
          </w:tcPr>
          <w:p w14:paraId="77E0B688" w14:textId="143E5DD9" w:rsidR="008B59E5" w:rsidRPr="002F3A26" w:rsidRDefault="008B59E5" w:rsidP="008B59E5">
            <w:pPr>
              <w:pStyle w:val="TableParagraph"/>
              <w:rPr>
                <w:rFonts w:cs="Arial"/>
              </w:rPr>
            </w:pPr>
            <w:r w:rsidRPr="002F3A26">
              <w:t>$1,250-$1,999</w:t>
            </w:r>
          </w:p>
        </w:tc>
        <w:tc>
          <w:tcPr>
            <w:tcW w:w="1062" w:type="dxa"/>
          </w:tcPr>
          <w:p w14:paraId="02C77A38" w14:textId="46A31C08" w:rsidR="008B59E5" w:rsidRPr="002F3A26" w:rsidRDefault="008B59E5" w:rsidP="00BA6CBD">
            <w:pPr>
              <w:pStyle w:val="TableParagraph"/>
              <w:ind w:left="170"/>
              <w:rPr>
                <w:rFonts w:cs="Arial"/>
              </w:rPr>
            </w:pPr>
            <w:r w:rsidRPr="002F3A26">
              <w:t>1.15</w:t>
            </w:r>
            <w:r w:rsidRPr="002F3A26">
              <w:rPr>
                <w:vertAlign w:val="superscript"/>
              </w:rPr>
              <w:t>***</w:t>
            </w:r>
          </w:p>
        </w:tc>
        <w:tc>
          <w:tcPr>
            <w:tcW w:w="1062" w:type="dxa"/>
          </w:tcPr>
          <w:p w14:paraId="39A85EBB" w14:textId="480888BE" w:rsidR="008B59E5" w:rsidRPr="002F3A26" w:rsidRDefault="008B59E5" w:rsidP="00BA6CBD">
            <w:pPr>
              <w:pStyle w:val="TableParagraph"/>
              <w:ind w:left="170"/>
              <w:rPr>
                <w:rFonts w:cs="Arial"/>
              </w:rPr>
            </w:pPr>
            <w:r w:rsidRPr="002F3A26">
              <w:t>1.38</w:t>
            </w:r>
            <w:r w:rsidRPr="002F3A26">
              <w:rPr>
                <w:vertAlign w:val="superscript"/>
              </w:rPr>
              <w:t>***</w:t>
            </w:r>
          </w:p>
        </w:tc>
        <w:tc>
          <w:tcPr>
            <w:tcW w:w="1062" w:type="dxa"/>
          </w:tcPr>
          <w:p w14:paraId="0B47021B" w14:textId="703DAD85" w:rsidR="008B59E5" w:rsidRPr="002F3A26" w:rsidRDefault="008B59E5" w:rsidP="00BA6CBD">
            <w:pPr>
              <w:pStyle w:val="TableParagraph"/>
              <w:ind w:left="170"/>
              <w:rPr>
                <w:rFonts w:cs="Arial"/>
              </w:rPr>
            </w:pPr>
            <w:r w:rsidRPr="002F3A26">
              <w:t>1.11</w:t>
            </w:r>
            <w:r w:rsidRPr="002F3A26">
              <w:rPr>
                <w:vertAlign w:val="superscript"/>
              </w:rPr>
              <w:t>**</w:t>
            </w:r>
          </w:p>
        </w:tc>
        <w:tc>
          <w:tcPr>
            <w:tcW w:w="1063" w:type="dxa"/>
          </w:tcPr>
          <w:p w14:paraId="3E288BF1" w14:textId="15A80A08" w:rsidR="008B59E5" w:rsidRPr="002F3A26" w:rsidRDefault="008B59E5" w:rsidP="00BA6CBD">
            <w:pPr>
              <w:pStyle w:val="TableParagraph"/>
              <w:ind w:left="170"/>
            </w:pPr>
            <w:r w:rsidRPr="002F3A26">
              <w:t>1.04</w:t>
            </w:r>
          </w:p>
        </w:tc>
        <w:tc>
          <w:tcPr>
            <w:tcW w:w="1062" w:type="dxa"/>
          </w:tcPr>
          <w:p w14:paraId="348D76FE" w14:textId="0766F4B7" w:rsidR="008B59E5" w:rsidRPr="002F3A26" w:rsidRDefault="008B59E5" w:rsidP="00BA6CBD">
            <w:pPr>
              <w:pStyle w:val="TableParagraph"/>
              <w:ind w:left="170"/>
            </w:pPr>
            <w:r w:rsidRPr="002F3A26">
              <w:t>1.37</w:t>
            </w:r>
            <w:r w:rsidRPr="002F3A26">
              <w:rPr>
                <w:vertAlign w:val="superscript"/>
              </w:rPr>
              <w:t>***</w:t>
            </w:r>
          </w:p>
        </w:tc>
        <w:tc>
          <w:tcPr>
            <w:tcW w:w="1062" w:type="dxa"/>
          </w:tcPr>
          <w:p w14:paraId="321AAAF7" w14:textId="4AD145C1" w:rsidR="008B59E5" w:rsidRPr="002F3A26" w:rsidRDefault="008B59E5" w:rsidP="00BA6CBD">
            <w:pPr>
              <w:pStyle w:val="TableParagraph"/>
              <w:ind w:left="170"/>
            </w:pPr>
            <w:r w:rsidRPr="002F3A26">
              <w:t>1.06</w:t>
            </w:r>
            <w:r w:rsidRPr="002F3A26">
              <w:rPr>
                <w:vertAlign w:val="superscript"/>
              </w:rPr>
              <w:t>*</w:t>
            </w:r>
          </w:p>
        </w:tc>
        <w:tc>
          <w:tcPr>
            <w:tcW w:w="1062" w:type="dxa"/>
          </w:tcPr>
          <w:p w14:paraId="441DA484" w14:textId="6612BDDA" w:rsidR="008B59E5" w:rsidRPr="002F3A26" w:rsidRDefault="008B59E5" w:rsidP="00BA6CBD">
            <w:pPr>
              <w:pStyle w:val="TableParagraph"/>
              <w:ind w:left="170"/>
            </w:pPr>
            <w:r w:rsidRPr="002F3A26">
              <w:t>1.13</w:t>
            </w:r>
            <w:r w:rsidRPr="002F3A26">
              <w:rPr>
                <w:vertAlign w:val="superscript"/>
              </w:rPr>
              <w:t>***</w:t>
            </w:r>
          </w:p>
        </w:tc>
        <w:tc>
          <w:tcPr>
            <w:tcW w:w="1063" w:type="dxa"/>
          </w:tcPr>
          <w:p w14:paraId="403D2D2D" w14:textId="3F070238" w:rsidR="008B59E5" w:rsidRPr="002F3A26" w:rsidRDefault="008B59E5" w:rsidP="00BA6CBD">
            <w:pPr>
              <w:pStyle w:val="TableParagraph"/>
              <w:ind w:left="170"/>
            </w:pPr>
            <w:r w:rsidRPr="002F3A26">
              <w:t>0.92</w:t>
            </w:r>
            <w:r w:rsidRPr="002F3A26">
              <w:rPr>
                <w:vertAlign w:val="superscript"/>
              </w:rPr>
              <w:t>**</w:t>
            </w:r>
          </w:p>
        </w:tc>
        <w:tc>
          <w:tcPr>
            <w:tcW w:w="1062" w:type="dxa"/>
          </w:tcPr>
          <w:p w14:paraId="066E16D7" w14:textId="38BE412A" w:rsidR="008B59E5" w:rsidRPr="002F3A26" w:rsidRDefault="008B59E5" w:rsidP="00BA6CBD">
            <w:pPr>
              <w:pStyle w:val="TableParagraph"/>
              <w:ind w:left="170"/>
            </w:pPr>
            <w:r w:rsidRPr="002F3A26">
              <w:t>1.09</w:t>
            </w:r>
            <w:r w:rsidRPr="002F3A26">
              <w:rPr>
                <w:vertAlign w:val="superscript"/>
              </w:rPr>
              <w:t>**</w:t>
            </w:r>
          </w:p>
        </w:tc>
        <w:tc>
          <w:tcPr>
            <w:tcW w:w="1062" w:type="dxa"/>
          </w:tcPr>
          <w:p w14:paraId="486ED93F" w14:textId="499399C1" w:rsidR="008B59E5" w:rsidRPr="002F3A26" w:rsidRDefault="008B59E5" w:rsidP="00BA6CBD">
            <w:pPr>
              <w:pStyle w:val="TableParagraph"/>
              <w:ind w:left="170"/>
            </w:pPr>
            <w:r w:rsidRPr="002F3A26">
              <w:t>0.92</w:t>
            </w:r>
          </w:p>
        </w:tc>
        <w:tc>
          <w:tcPr>
            <w:tcW w:w="1063" w:type="dxa"/>
          </w:tcPr>
          <w:p w14:paraId="5F9126FE" w14:textId="13093692" w:rsidR="008B59E5" w:rsidRPr="002F3A26" w:rsidRDefault="008B59E5" w:rsidP="00BA6CBD">
            <w:pPr>
              <w:pStyle w:val="TableParagraph"/>
              <w:ind w:left="170"/>
            </w:pPr>
            <w:r w:rsidRPr="002F3A26">
              <w:t>1.03</w:t>
            </w:r>
          </w:p>
        </w:tc>
      </w:tr>
      <w:tr w:rsidR="008B59E5" w:rsidRPr="002F3A26" w14:paraId="43DD0E7E" w14:textId="77777777" w:rsidTr="00D17B28">
        <w:trPr>
          <w:trHeight w:val="218"/>
        </w:trPr>
        <w:tc>
          <w:tcPr>
            <w:tcW w:w="2263" w:type="dxa"/>
          </w:tcPr>
          <w:p w14:paraId="19A6E74F" w14:textId="06F11D49" w:rsidR="008B59E5" w:rsidRPr="002F3A26" w:rsidRDefault="008B59E5" w:rsidP="008B59E5">
            <w:pPr>
              <w:pStyle w:val="TableParagraph"/>
              <w:rPr>
                <w:rFonts w:cs="Arial"/>
              </w:rPr>
            </w:pPr>
            <w:r w:rsidRPr="002F3A26">
              <w:t>$2,000-$2,999</w:t>
            </w:r>
          </w:p>
        </w:tc>
        <w:tc>
          <w:tcPr>
            <w:tcW w:w="1062" w:type="dxa"/>
          </w:tcPr>
          <w:p w14:paraId="33048DE7" w14:textId="54D97560" w:rsidR="008B59E5" w:rsidRPr="002F3A26" w:rsidRDefault="008B59E5" w:rsidP="00BA6CBD">
            <w:pPr>
              <w:pStyle w:val="TableParagraph"/>
              <w:ind w:left="170"/>
              <w:rPr>
                <w:rFonts w:cs="Arial"/>
              </w:rPr>
            </w:pPr>
            <w:r w:rsidRPr="002F3A26">
              <w:t>1.06</w:t>
            </w:r>
            <w:r w:rsidRPr="002F3A26">
              <w:rPr>
                <w:vertAlign w:val="superscript"/>
              </w:rPr>
              <w:t>*</w:t>
            </w:r>
          </w:p>
        </w:tc>
        <w:tc>
          <w:tcPr>
            <w:tcW w:w="1062" w:type="dxa"/>
          </w:tcPr>
          <w:p w14:paraId="50C4A657" w14:textId="76744BBB" w:rsidR="008B59E5" w:rsidRPr="002F3A26" w:rsidRDefault="008B59E5" w:rsidP="00BA6CBD">
            <w:pPr>
              <w:pStyle w:val="TableParagraph"/>
              <w:ind w:left="170"/>
              <w:rPr>
                <w:rFonts w:cs="Arial"/>
              </w:rPr>
            </w:pPr>
            <w:r w:rsidRPr="002F3A26">
              <w:t>1.24</w:t>
            </w:r>
            <w:r w:rsidRPr="002F3A26">
              <w:rPr>
                <w:vertAlign w:val="superscript"/>
              </w:rPr>
              <w:t>***</w:t>
            </w:r>
          </w:p>
        </w:tc>
        <w:tc>
          <w:tcPr>
            <w:tcW w:w="1062" w:type="dxa"/>
          </w:tcPr>
          <w:p w14:paraId="232E4620" w14:textId="62C7533C" w:rsidR="008B59E5" w:rsidRPr="002F3A26" w:rsidRDefault="008B59E5" w:rsidP="00BA6CBD">
            <w:pPr>
              <w:pStyle w:val="TableParagraph"/>
              <w:ind w:left="170"/>
              <w:rPr>
                <w:rFonts w:cs="Arial"/>
              </w:rPr>
            </w:pPr>
            <w:r w:rsidRPr="002F3A26">
              <w:t>1.08</w:t>
            </w:r>
            <w:r w:rsidRPr="002F3A26">
              <w:rPr>
                <w:vertAlign w:val="superscript"/>
              </w:rPr>
              <w:t>*</w:t>
            </w:r>
          </w:p>
        </w:tc>
        <w:tc>
          <w:tcPr>
            <w:tcW w:w="1063" w:type="dxa"/>
          </w:tcPr>
          <w:p w14:paraId="41451064" w14:textId="55CDCD7A" w:rsidR="008B59E5" w:rsidRPr="002F3A26" w:rsidRDefault="008B59E5" w:rsidP="00BA6CBD">
            <w:pPr>
              <w:pStyle w:val="TableParagraph"/>
              <w:ind w:left="170"/>
            </w:pPr>
            <w:r w:rsidRPr="002F3A26">
              <w:t>0.93</w:t>
            </w:r>
          </w:p>
        </w:tc>
        <w:tc>
          <w:tcPr>
            <w:tcW w:w="1062" w:type="dxa"/>
          </w:tcPr>
          <w:p w14:paraId="1192B335" w14:textId="597F417C" w:rsidR="008B59E5" w:rsidRPr="002F3A26" w:rsidRDefault="008B59E5" w:rsidP="00BA6CBD">
            <w:pPr>
              <w:pStyle w:val="TableParagraph"/>
              <w:ind w:left="170"/>
            </w:pPr>
            <w:r w:rsidRPr="002F3A26">
              <w:t>1.48</w:t>
            </w:r>
            <w:r w:rsidRPr="002F3A26">
              <w:rPr>
                <w:vertAlign w:val="superscript"/>
              </w:rPr>
              <w:t>***</w:t>
            </w:r>
          </w:p>
        </w:tc>
        <w:tc>
          <w:tcPr>
            <w:tcW w:w="1062" w:type="dxa"/>
          </w:tcPr>
          <w:p w14:paraId="43F1BACA" w14:textId="56EEB3F9" w:rsidR="008B59E5" w:rsidRPr="002F3A26" w:rsidRDefault="008B59E5" w:rsidP="00BA6CBD">
            <w:pPr>
              <w:pStyle w:val="TableParagraph"/>
              <w:ind w:left="170"/>
            </w:pPr>
            <w:r w:rsidRPr="002F3A26">
              <w:t>1.09</w:t>
            </w:r>
            <w:r w:rsidRPr="002F3A26">
              <w:rPr>
                <w:vertAlign w:val="superscript"/>
              </w:rPr>
              <w:t>***</w:t>
            </w:r>
          </w:p>
        </w:tc>
        <w:tc>
          <w:tcPr>
            <w:tcW w:w="1062" w:type="dxa"/>
          </w:tcPr>
          <w:p w14:paraId="2B97BC9D" w14:textId="773EB7DC" w:rsidR="008B59E5" w:rsidRPr="002F3A26" w:rsidRDefault="008B59E5" w:rsidP="00BA6CBD">
            <w:pPr>
              <w:pStyle w:val="TableParagraph"/>
              <w:ind w:left="170"/>
            </w:pPr>
            <w:r w:rsidRPr="002F3A26">
              <w:t>1.22</w:t>
            </w:r>
            <w:r w:rsidRPr="002F3A26">
              <w:rPr>
                <w:vertAlign w:val="superscript"/>
              </w:rPr>
              <w:t>***</w:t>
            </w:r>
          </w:p>
        </w:tc>
        <w:tc>
          <w:tcPr>
            <w:tcW w:w="1063" w:type="dxa"/>
          </w:tcPr>
          <w:p w14:paraId="772B95B8" w14:textId="417500D3" w:rsidR="008B59E5" w:rsidRPr="002F3A26" w:rsidRDefault="008B59E5" w:rsidP="00BA6CBD">
            <w:pPr>
              <w:pStyle w:val="TableParagraph"/>
              <w:ind w:left="170"/>
            </w:pPr>
            <w:r w:rsidRPr="002F3A26">
              <w:t>0.89</w:t>
            </w:r>
            <w:r w:rsidRPr="002F3A26">
              <w:rPr>
                <w:vertAlign w:val="superscript"/>
              </w:rPr>
              <w:t>***</w:t>
            </w:r>
          </w:p>
        </w:tc>
        <w:tc>
          <w:tcPr>
            <w:tcW w:w="1062" w:type="dxa"/>
          </w:tcPr>
          <w:p w14:paraId="65E2D89B" w14:textId="0A716196" w:rsidR="008B59E5" w:rsidRPr="002F3A26" w:rsidRDefault="008B59E5" w:rsidP="00BA6CBD">
            <w:pPr>
              <w:pStyle w:val="TableParagraph"/>
              <w:ind w:left="170"/>
            </w:pPr>
            <w:r w:rsidRPr="002F3A26">
              <w:t>1.11</w:t>
            </w:r>
            <w:r w:rsidRPr="002F3A26">
              <w:rPr>
                <w:vertAlign w:val="superscript"/>
              </w:rPr>
              <w:t>***</w:t>
            </w:r>
          </w:p>
        </w:tc>
        <w:tc>
          <w:tcPr>
            <w:tcW w:w="1062" w:type="dxa"/>
          </w:tcPr>
          <w:p w14:paraId="4A9CAD31" w14:textId="75BCA419" w:rsidR="008B59E5" w:rsidRPr="002F3A26" w:rsidRDefault="008B59E5" w:rsidP="00BA6CBD">
            <w:pPr>
              <w:pStyle w:val="TableParagraph"/>
              <w:ind w:left="170"/>
            </w:pPr>
            <w:r w:rsidRPr="002F3A26">
              <w:t>0.92</w:t>
            </w:r>
          </w:p>
        </w:tc>
        <w:tc>
          <w:tcPr>
            <w:tcW w:w="1063" w:type="dxa"/>
          </w:tcPr>
          <w:p w14:paraId="77AD0671" w14:textId="002AB883" w:rsidR="008B59E5" w:rsidRPr="002F3A26" w:rsidRDefault="008B59E5" w:rsidP="00BA6CBD">
            <w:pPr>
              <w:pStyle w:val="TableParagraph"/>
              <w:ind w:left="170"/>
            </w:pPr>
            <w:r w:rsidRPr="002F3A26">
              <w:t>0.99</w:t>
            </w:r>
          </w:p>
        </w:tc>
      </w:tr>
      <w:tr w:rsidR="008B59E5" w:rsidRPr="002F3A26" w14:paraId="62A100C0" w14:textId="77777777" w:rsidTr="00D17B28">
        <w:trPr>
          <w:trHeight w:val="218"/>
        </w:trPr>
        <w:tc>
          <w:tcPr>
            <w:tcW w:w="2263" w:type="dxa"/>
          </w:tcPr>
          <w:p w14:paraId="1281D1C4" w14:textId="0BE81901" w:rsidR="008B59E5" w:rsidRPr="002F3A26" w:rsidRDefault="008B59E5" w:rsidP="008B59E5">
            <w:pPr>
              <w:pStyle w:val="TableParagraph"/>
              <w:rPr>
                <w:rFonts w:cs="Arial"/>
              </w:rPr>
            </w:pPr>
            <w:r w:rsidRPr="002F3A26">
              <w:t>Partial/no information</w:t>
            </w:r>
          </w:p>
        </w:tc>
        <w:tc>
          <w:tcPr>
            <w:tcW w:w="1062" w:type="dxa"/>
          </w:tcPr>
          <w:p w14:paraId="19590573" w14:textId="3B4FD6AC" w:rsidR="008B59E5" w:rsidRPr="002F3A26" w:rsidRDefault="008B59E5" w:rsidP="00BA6CBD">
            <w:pPr>
              <w:pStyle w:val="TableParagraph"/>
              <w:ind w:left="170"/>
              <w:rPr>
                <w:rFonts w:cs="Arial"/>
              </w:rPr>
            </w:pPr>
            <w:r w:rsidRPr="002F3A26">
              <w:t>1.11</w:t>
            </w:r>
            <w:r w:rsidRPr="002F3A26">
              <w:rPr>
                <w:vertAlign w:val="superscript"/>
              </w:rPr>
              <w:t>***</w:t>
            </w:r>
          </w:p>
        </w:tc>
        <w:tc>
          <w:tcPr>
            <w:tcW w:w="1062" w:type="dxa"/>
          </w:tcPr>
          <w:p w14:paraId="0732DDEE" w14:textId="60C7E53C" w:rsidR="008B59E5" w:rsidRPr="002F3A26" w:rsidRDefault="008B59E5" w:rsidP="00BA6CBD">
            <w:pPr>
              <w:pStyle w:val="TableParagraph"/>
              <w:ind w:left="170"/>
              <w:rPr>
                <w:rFonts w:cs="Arial"/>
              </w:rPr>
            </w:pPr>
            <w:r w:rsidRPr="002F3A26">
              <w:t>0.97</w:t>
            </w:r>
          </w:p>
        </w:tc>
        <w:tc>
          <w:tcPr>
            <w:tcW w:w="1062" w:type="dxa"/>
          </w:tcPr>
          <w:p w14:paraId="45789C12" w14:textId="20D63ABE" w:rsidR="008B59E5" w:rsidRPr="002F3A26" w:rsidRDefault="008B59E5" w:rsidP="00BA6CBD">
            <w:pPr>
              <w:pStyle w:val="TableParagraph"/>
              <w:ind w:left="170"/>
              <w:rPr>
                <w:rFonts w:cs="Arial"/>
              </w:rPr>
            </w:pPr>
            <w:r w:rsidRPr="002F3A26">
              <w:t>1.02</w:t>
            </w:r>
          </w:p>
        </w:tc>
        <w:tc>
          <w:tcPr>
            <w:tcW w:w="1063" w:type="dxa"/>
          </w:tcPr>
          <w:p w14:paraId="3F08499D" w14:textId="50069F1D" w:rsidR="008B59E5" w:rsidRPr="002F3A26" w:rsidRDefault="008B59E5" w:rsidP="00BA6CBD">
            <w:pPr>
              <w:pStyle w:val="TableParagraph"/>
              <w:ind w:left="170"/>
            </w:pPr>
            <w:r w:rsidRPr="002F3A26">
              <w:t>1.07</w:t>
            </w:r>
          </w:p>
        </w:tc>
        <w:tc>
          <w:tcPr>
            <w:tcW w:w="1062" w:type="dxa"/>
          </w:tcPr>
          <w:p w14:paraId="3BFCD52A" w14:textId="5A811156" w:rsidR="008B59E5" w:rsidRPr="002F3A26" w:rsidRDefault="008B59E5" w:rsidP="00BA6CBD">
            <w:pPr>
              <w:pStyle w:val="TableParagraph"/>
              <w:ind w:left="170"/>
            </w:pPr>
            <w:r w:rsidRPr="002F3A26">
              <w:t>1.50</w:t>
            </w:r>
            <w:r w:rsidRPr="002F3A26">
              <w:rPr>
                <w:vertAlign w:val="superscript"/>
              </w:rPr>
              <w:t>***</w:t>
            </w:r>
          </w:p>
        </w:tc>
        <w:tc>
          <w:tcPr>
            <w:tcW w:w="1062" w:type="dxa"/>
          </w:tcPr>
          <w:p w14:paraId="6D8A90E2" w14:textId="4CD6BF40" w:rsidR="008B59E5" w:rsidRPr="002F3A26" w:rsidRDefault="008B59E5" w:rsidP="00BA6CBD">
            <w:pPr>
              <w:pStyle w:val="TableParagraph"/>
              <w:ind w:left="170"/>
            </w:pPr>
            <w:r w:rsidRPr="002F3A26">
              <w:t>1.02</w:t>
            </w:r>
          </w:p>
        </w:tc>
        <w:tc>
          <w:tcPr>
            <w:tcW w:w="1062" w:type="dxa"/>
          </w:tcPr>
          <w:p w14:paraId="77E52C21" w14:textId="2734CCAF" w:rsidR="008B59E5" w:rsidRPr="002F3A26" w:rsidRDefault="008B59E5" w:rsidP="00BA6CBD">
            <w:pPr>
              <w:pStyle w:val="TableParagraph"/>
              <w:ind w:left="170"/>
            </w:pPr>
            <w:r w:rsidRPr="002F3A26">
              <w:t>0.94</w:t>
            </w:r>
          </w:p>
        </w:tc>
        <w:tc>
          <w:tcPr>
            <w:tcW w:w="1063" w:type="dxa"/>
          </w:tcPr>
          <w:p w14:paraId="2DDADBC2" w14:textId="3B5C10C0" w:rsidR="008B59E5" w:rsidRPr="002F3A26" w:rsidRDefault="008B59E5" w:rsidP="00BA6CBD">
            <w:pPr>
              <w:pStyle w:val="TableParagraph"/>
              <w:ind w:left="170"/>
            </w:pPr>
            <w:r w:rsidRPr="002F3A26">
              <w:t>0.89</w:t>
            </w:r>
            <w:r w:rsidRPr="002F3A26">
              <w:rPr>
                <w:vertAlign w:val="superscript"/>
              </w:rPr>
              <w:t>***</w:t>
            </w:r>
          </w:p>
        </w:tc>
        <w:tc>
          <w:tcPr>
            <w:tcW w:w="1062" w:type="dxa"/>
          </w:tcPr>
          <w:p w14:paraId="2C7BDD1E" w14:textId="172F5B10" w:rsidR="008B59E5" w:rsidRPr="002F3A26" w:rsidRDefault="008B59E5" w:rsidP="00BA6CBD">
            <w:pPr>
              <w:pStyle w:val="TableParagraph"/>
              <w:ind w:left="170"/>
            </w:pPr>
            <w:r w:rsidRPr="002F3A26">
              <w:t>1.02</w:t>
            </w:r>
          </w:p>
        </w:tc>
        <w:tc>
          <w:tcPr>
            <w:tcW w:w="1062" w:type="dxa"/>
          </w:tcPr>
          <w:p w14:paraId="26DE8292" w14:textId="3FEECACB" w:rsidR="008B59E5" w:rsidRPr="002F3A26" w:rsidRDefault="008B59E5" w:rsidP="00BA6CBD">
            <w:pPr>
              <w:pStyle w:val="TableParagraph"/>
              <w:ind w:left="170"/>
            </w:pPr>
            <w:r w:rsidRPr="002F3A26">
              <w:t>1.16</w:t>
            </w:r>
          </w:p>
        </w:tc>
        <w:tc>
          <w:tcPr>
            <w:tcW w:w="1063" w:type="dxa"/>
          </w:tcPr>
          <w:p w14:paraId="4143D722" w14:textId="178A5042" w:rsidR="008B59E5" w:rsidRPr="002F3A26" w:rsidRDefault="008B59E5" w:rsidP="00BA6CBD">
            <w:pPr>
              <w:pStyle w:val="TableParagraph"/>
              <w:ind w:left="170"/>
            </w:pPr>
            <w:r w:rsidRPr="002F3A26">
              <w:t>1.06</w:t>
            </w:r>
          </w:p>
        </w:tc>
      </w:tr>
      <w:tr w:rsidR="008B59E5" w:rsidRPr="002F3A26" w14:paraId="4AF1C8DB" w14:textId="77777777" w:rsidTr="00D17B28">
        <w:trPr>
          <w:trHeight w:val="218"/>
        </w:trPr>
        <w:tc>
          <w:tcPr>
            <w:tcW w:w="2263" w:type="dxa"/>
          </w:tcPr>
          <w:p w14:paraId="55A6B7F1" w14:textId="32C13424" w:rsidR="008B59E5" w:rsidRPr="002F3A26" w:rsidRDefault="008B59E5" w:rsidP="008B59E5">
            <w:pPr>
              <w:pStyle w:val="TableParagraph"/>
              <w:rPr>
                <w:rFonts w:cs="Arial"/>
              </w:rPr>
            </w:pPr>
            <w:r w:rsidRPr="002F3A26">
              <w:t>Observations</w:t>
            </w:r>
          </w:p>
        </w:tc>
        <w:tc>
          <w:tcPr>
            <w:tcW w:w="1062" w:type="dxa"/>
          </w:tcPr>
          <w:p w14:paraId="77EB6B7E" w14:textId="046C8F07" w:rsidR="008B59E5" w:rsidRPr="002F3A26" w:rsidRDefault="008B59E5" w:rsidP="00BA6CBD">
            <w:pPr>
              <w:pStyle w:val="TableParagraph"/>
              <w:ind w:left="170"/>
              <w:rPr>
                <w:rFonts w:cs="Arial"/>
              </w:rPr>
            </w:pPr>
            <w:r w:rsidRPr="002F3A26">
              <w:t>192995</w:t>
            </w:r>
          </w:p>
        </w:tc>
        <w:tc>
          <w:tcPr>
            <w:tcW w:w="1062" w:type="dxa"/>
          </w:tcPr>
          <w:p w14:paraId="1D87C3E6" w14:textId="53B7A7EE" w:rsidR="008B59E5" w:rsidRPr="002F3A26" w:rsidRDefault="008B59E5" w:rsidP="00BA6CBD">
            <w:pPr>
              <w:pStyle w:val="TableParagraph"/>
              <w:ind w:left="170"/>
              <w:rPr>
                <w:rFonts w:cs="Arial"/>
              </w:rPr>
            </w:pPr>
          </w:p>
        </w:tc>
        <w:tc>
          <w:tcPr>
            <w:tcW w:w="1062" w:type="dxa"/>
          </w:tcPr>
          <w:p w14:paraId="7C732372" w14:textId="47B22BA1" w:rsidR="008B59E5" w:rsidRPr="002F3A26" w:rsidRDefault="008B59E5" w:rsidP="00BA6CBD">
            <w:pPr>
              <w:pStyle w:val="TableParagraph"/>
              <w:ind w:left="170"/>
              <w:rPr>
                <w:rFonts w:cs="Arial"/>
              </w:rPr>
            </w:pPr>
          </w:p>
        </w:tc>
        <w:tc>
          <w:tcPr>
            <w:tcW w:w="1063" w:type="dxa"/>
          </w:tcPr>
          <w:p w14:paraId="6823C4E6" w14:textId="194094FC" w:rsidR="008B59E5" w:rsidRPr="002F3A26" w:rsidRDefault="008B59E5" w:rsidP="00BA6CBD">
            <w:pPr>
              <w:pStyle w:val="TableParagraph"/>
              <w:ind w:left="170"/>
            </w:pPr>
          </w:p>
        </w:tc>
        <w:tc>
          <w:tcPr>
            <w:tcW w:w="1062" w:type="dxa"/>
          </w:tcPr>
          <w:p w14:paraId="3F458864" w14:textId="5DA044B0" w:rsidR="008B59E5" w:rsidRPr="002F3A26" w:rsidRDefault="008B59E5" w:rsidP="00BA6CBD">
            <w:pPr>
              <w:pStyle w:val="TableParagraph"/>
              <w:ind w:left="170"/>
            </w:pPr>
          </w:p>
        </w:tc>
        <w:tc>
          <w:tcPr>
            <w:tcW w:w="1062" w:type="dxa"/>
          </w:tcPr>
          <w:p w14:paraId="698E4030" w14:textId="6877F62B" w:rsidR="008B59E5" w:rsidRPr="002F3A26" w:rsidRDefault="008B59E5" w:rsidP="00BA6CBD">
            <w:pPr>
              <w:pStyle w:val="TableParagraph"/>
              <w:ind w:left="170"/>
            </w:pPr>
          </w:p>
        </w:tc>
        <w:tc>
          <w:tcPr>
            <w:tcW w:w="1062" w:type="dxa"/>
          </w:tcPr>
          <w:p w14:paraId="114165CE" w14:textId="5D2BAE7B" w:rsidR="008B59E5" w:rsidRPr="002F3A26" w:rsidRDefault="008B59E5" w:rsidP="00BA6CBD">
            <w:pPr>
              <w:pStyle w:val="TableParagraph"/>
              <w:ind w:left="170"/>
            </w:pPr>
          </w:p>
        </w:tc>
        <w:tc>
          <w:tcPr>
            <w:tcW w:w="1063" w:type="dxa"/>
          </w:tcPr>
          <w:p w14:paraId="14EB46B0" w14:textId="6FD17CDF" w:rsidR="008B59E5" w:rsidRPr="002F3A26" w:rsidRDefault="008B59E5" w:rsidP="00BA6CBD">
            <w:pPr>
              <w:pStyle w:val="TableParagraph"/>
              <w:ind w:left="170"/>
            </w:pPr>
          </w:p>
        </w:tc>
        <w:tc>
          <w:tcPr>
            <w:tcW w:w="1062" w:type="dxa"/>
          </w:tcPr>
          <w:p w14:paraId="1E4F13C5" w14:textId="55A6B87D" w:rsidR="008B59E5" w:rsidRPr="002F3A26" w:rsidRDefault="008B59E5" w:rsidP="00BA6CBD">
            <w:pPr>
              <w:pStyle w:val="TableParagraph"/>
              <w:ind w:left="170"/>
            </w:pPr>
          </w:p>
        </w:tc>
        <w:tc>
          <w:tcPr>
            <w:tcW w:w="1062" w:type="dxa"/>
          </w:tcPr>
          <w:p w14:paraId="5AB62549" w14:textId="78007FC1" w:rsidR="008B59E5" w:rsidRPr="002F3A26" w:rsidRDefault="008B59E5" w:rsidP="00BA6CBD">
            <w:pPr>
              <w:pStyle w:val="TableParagraph"/>
              <w:ind w:left="170"/>
            </w:pPr>
          </w:p>
        </w:tc>
        <w:tc>
          <w:tcPr>
            <w:tcW w:w="1063" w:type="dxa"/>
          </w:tcPr>
          <w:p w14:paraId="18C14E9E" w14:textId="463201FA" w:rsidR="008B59E5" w:rsidRPr="002F3A26" w:rsidRDefault="008B59E5" w:rsidP="00BA6CBD">
            <w:pPr>
              <w:pStyle w:val="TableParagraph"/>
              <w:ind w:left="170"/>
            </w:pPr>
          </w:p>
        </w:tc>
      </w:tr>
      <w:tr w:rsidR="008B59E5" w:rsidRPr="002F3A26" w14:paraId="58FC5205" w14:textId="77777777" w:rsidTr="00D17B28">
        <w:trPr>
          <w:trHeight w:val="218"/>
        </w:trPr>
        <w:tc>
          <w:tcPr>
            <w:tcW w:w="2263" w:type="dxa"/>
          </w:tcPr>
          <w:p w14:paraId="38B36202" w14:textId="6B32100C" w:rsidR="008B59E5" w:rsidRPr="002F3A26" w:rsidRDefault="008B59E5" w:rsidP="008B59E5">
            <w:pPr>
              <w:pStyle w:val="TableParagraph"/>
              <w:rPr>
                <w:rFonts w:cs="Arial"/>
              </w:rPr>
            </w:pPr>
            <w:r w:rsidRPr="002F3A26">
              <w:t xml:space="preserve">Pseudo </w:t>
            </w:r>
            <w:r w:rsidRPr="002F3A26">
              <w:rPr>
                <w:i/>
                <w:iCs/>
              </w:rPr>
              <w:t>R</w:t>
            </w:r>
            <w:r w:rsidRPr="002F3A26">
              <w:rPr>
                <w:vertAlign w:val="superscript"/>
              </w:rPr>
              <w:t>2</w:t>
            </w:r>
          </w:p>
        </w:tc>
        <w:tc>
          <w:tcPr>
            <w:tcW w:w="1062" w:type="dxa"/>
          </w:tcPr>
          <w:p w14:paraId="54C3C882" w14:textId="2572F75A" w:rsidR="008B59E5" w:rsidRPr="002F3A26" w:rsidRDefault="008B59E5" w:rsidP="00BA6CBD">
            <w:pPr>
              <w:pStyle w:val="TableParagraph"/>
              <w:ind w:left="170"/>
              <w:rPr>
                <w:rFonts w:cs="Arial"/>
              </w:rPr>
            </w:pPr>
            <w:r w:rsidRPr="002F3A26">
              <w:t>0.005</w:t>
            </w:r>
          </w:p>
        </w:tc>
        <w:tc>
          <w:tcPr>
            <w:tcW w:w="1062" w:type="dxa"/>
          </w:tcPr>
          <w:p w14:paraId="75EFFEA3" w14:textId="4687F104" w:rsidR="008B59E5" w:rsidRPr="002F3A26" w:rsidRDefault="008B59E5" w:rsidP="00BA6CBD">
            <w:pPr>
              <w:pStyle w:val="TableParagraph"/>
              <w:ind w:left="170"/>
              <w:rPr>
                <w:rFonts w:cs="Arial"/>
              </w:rPr>
            </w:pPr>
          </w:p>
        </w:tc>
        <w:tc>
          <w:tcPr>
            <w:tcW w:w="1062" w:type="dxa"/>
          </w:tcPr>
          <w:p w14:paraId="1308A423" w14:textId="6835FE91" w:rsidR="008B59E5" w:rsidRPr="002F3A26" w:rsidRDefault="008B59E5" w:rsidP="00BA6CBD">
            <w:pPr>
              <w:pStyle w:val="TableParagraph"/>
              <w:ind w:left="170"/>
              <w:rPr>
                <w:rFonts w:cs="Arial"/>
              </w:rPr>
            </w:pPr>
          </w:p>
        </w:tc>
        <w:tc>
          <w:tcPr>
            <w:tcW w:w="1063" w:type="dxa"/>
          </w:tcPr>
          <w:p w14:paraId="4D8D7C00" w14:textId="7A73F1E4" w:rsidR="008B59E5" w:rsidRPr="002F3A26" w:rsidRDefault="008B59E5" w:rsidP="00BA6CBD">
            <w:pPr>
              <w:pStyle w:val="TableParagraph"/>
              <w:ind w:left="170"/>
            </w:pPr>
          </w:p>
        </w:tc>
        <w:tc>
          <w:tcPr>
            <w:tcW w:w="1062" w:type="dxa"/>
          </w:tcPr>
          <w:p w14:paraId="47DAE910" w14:textId="4D13A346" w:rsidR="008B59E5" w:rsidRPr="002F3A26" w:rsidRDefault="008B59E5" w:rsidP="00BA6CBD">
            <w:pPr>
              <w:pStyle w:val="TableParagraph"/>
              <w:ind w:left="170"/>
            </w:pPr>
          </w:p>
        </w:tc>
        <w:tc>
          <w:tcPr>
            <w:tcW w:w="1062" w:type="dxa"/>
          </w:tcPr>
          <w:p w14:paraId="342BD538" w14:textId="056BA068" w:rsidR="008B59E5" w:rsidRPr="002F3A26" w:rsidRDefault="008B59E5" w:rsidP="00BA6CBD">
            <w:pPr>
              <w:pStyle w:val="TableParagraph"/>
              <w:ind w:left="170"/>
            </w:pPr>
          </w:p>
        </w:tc>
        <w:tc>
          <w:tcPr>
            <w:tcW w:w="1062" w:type="dxa"/>
          </w:tcPr>
          <w:p w14:paraId="109F86FC" w14:textId="0CF55F72" w:rsidR="008B59E5" w:rsidRPr="002F3A26" w:rsidRDefault="008B59E5" w:rsidP="00BA6CBD">
            <w:pPr>
              <w:pStyle w:val="TableParagraph"/>
              <w:ind w:left="170"/>
            </w:pPr>
          </w:p>
        </w:tc>
        <w:tc>
          <w:tcPr>
            <w:tcW w:w="1063" w:type="dxa"/>
          </w:tcPr>
          <w:p w14:paraId="530A2984" w14:textId="3C5B4B97" w:rsidR="008B59E5" w:rsidRPr="002F3A26" w:rsidRDefault="008B59E5" w:rsidP="00BA6CBD">
            <w:pPr>
              <w:pStyle w:val="TableParagraph"/>
              <w:ind w:left="170"/>
            </w:pPr>
          </w:p>
        </w:tc>
        <w:tc>
          <w:tcPr>
            <w:tcW w:w="1062" w:type="dxa"/>
          </w:tcPr>
          <w:p w14:paraId="1C1BDE07" w14:textId="7A8CCF53" w:rsidR="008B59E5" w:rsidRPr="002F3A26" w:rsidRDefault="008B59E5" w:rsidP="00BA6CBD">
            <w:pPr>
              <w:pStyle w:val="TableParagraph"/>
              <w:ind w:left="170"/>
            </w:pPr>
          </w:p>
        </w:tc>
        <w:tc>
          <w:tcPr>
            <w:tcW w:w="1062" w:type="dxa"/>
          </w:tcPr>
          <w:p w14:paraId="742170E1" w14:textId="06FA963F" w:rsidR="008B59E5" w:rsidRPr="002F3A26" w:rsidRDefault="008B59E5" w:rsidP="00BA6CBD">
            <w:pPr>
              <w:pStyle w:val="TableParagraph"/>
              <w:ind w:left="170"/>
            </w:pPr>
          </w:p>
        </w:tc>
        <w:tc>
          <w:tcPr>
            <w:tcW w:w="1063" w:type="dxa"/>
          </w:tcPr>
          <w:p w14:paraId="41F46CBC" w14:textId="5662A25D" w:rsidR="008B59E5" w:rsidRPr="002F3A26" w:rsidRDefault="008B59E5" w:rsidP="00BA6CBD">
            <w:pPr>
              <w:pStyle w:val="TableParagraph"/>
              <w:ind w:left="170"/>
            </w:pPr>
          </w:p>
        </w:tc>
      </w:tr>
    </w:tbl>
    <w:p w14:paraId="245FEA10" w14:textId="318E6C42" w:rsidR="00500DF0" w:rsidRPr="002F3A26" w:rsidRDefault="00500DF0" w:rsidP="00500DF0">
      <w:pPr>
        <w:pStyle w:val="Notes"/>
      </w:pPr>
      <w:r w:rsidRPr="002F3A26">
        <w:t xml:space="preserve">Notes: Data from PLIDA.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Statistical significance: * p &lt; 0.05, ** p &lt; 0.01, *** p &lt; 0.001.</w:t>
      </w:r>
    </w:p>
    <w:p w14:paraId="34A2B92B" w14:textId="77777777" w:rsidR="00DC5117" w:rsidRPr="002F3A26" w:rsidRDefault="00DC5117" w:rsidP="00DC5117">
      <w:pPr>
        <w:rPr>
          <w:lang w:eastAsia="en-AU"/>
        </w:rPr>
      </w:pPr>
    </w:p>
    <w:p w14:paraId="61A68421" w14:textId="6F110544" w:rsidR="00DC5117" w:rsidRPr="002F3A26" w:rsidRDefault="00500DF0" w:rsidP="00D23949">
      <w:pPr>
        <w:pStyle w:val="Caption"/>
      </w:pPr>
      <w:bookmarkStart w:id="88" w:name="_Ref191531049"/>
      <w:bookmarkStart w:id="89" w:name="_Ref191531861"/>
      <w:r>
        <w:lastRenderedPageBreak/>
        <w:t xml:space="preserve">Table </w:t>
      </w:r>
      <w:fldSimple w:instr=" STYLEREF 7 \s ">
        <w:r w:rsidR="00627572">
          <w:rPr>
            <w:noProof/>
          </w:rPr>
          <w:t>B</w:t>
        </w:r>
      </w:fldSimple>
      <w:r>
        <w:noBreakHyphen/>
      </w:r>
      <w:fldSimple w:instr=" SEQ Table_ap \* ARABIC \s 7 ">
        <w:r w:rsidR="00627572">
          <w:rPr>
            <w:noProof/>
          </w:rPr>
          <w:t>5</w:t>
        </w:r>
      </w:fldSimple>
      <w:bookmarkEnd w:id="88"/>
      <w:r w:rsidR="006D4F66">
        <w:rPr>
          <w:noProof/>
        </w:rPr>
        <w:t>:</w:t>
      </w:r>
      <w:r w:rsidR="00D17B28">
        <w:t xml:space="preserve"> M</w:t>
      </w:r>
      <w:r w:rsidR="00D17B28" w:rsidRPr="002F3A26">
        <w:t>odel coefficients (</w:t>
      </w:r>
      <w:r w:rsidR="009F5FEC">
        <w:t>RR</w:t>
      </w:r>
      <w:r w:rsidR="00D17B28" w:rsidRPr="002F3A26">
        <w:t xml:space="preserve">) from </w:t>
      </w:r>
      <w:r w:rsidR="006D4F66">
        <w:t>M</w:t>
      </w:r>
      <w:r w:rsidR="00D17B28">
        <w:t>odel VIII</w:t>
      </w:r>
      <w:r w:rsidR="008B34E2">
        <w:t>,</w:t>
      </w:r>
      <w:r w:rsidR="00D17B28">
        <w:t xml:space="preserve"> multinomial </w:t>
      </w:r>
      <w:r w:rsidR="00D17B28" w:rsidRPr="002F3A26">
        <w:t xml:space="preserve">logistic regression models of </w:t>
      </w:r>
      <w:r w:rsidR="00D17B28">
        <w:t>field of study</w:t>
      </w:r>
      <w:bookmarkEnd w:id="89"/>
    </w:p>
    <w:tbl>
      <w:tblPr>
        <w:tblStyle w:val="ACSEStable"/>
        <w:tblW w:w="0" w:type="auto"/>
        <w:tblCellMar>
          <w:top w:w="28" w:type="dxa"/>
          <w:left w:w="68" w:type="dxa"/>
          <w:bottom w:w="28" w:type="dxa"/>
          <w:right w:w="68" w:type="dxa"/>
        </w:tblCellMar>
        <w:tblLook w:val="04A0" w:firstRow="1" w:lastRow="0" w:firstColumn="1" w:lastColumn="0" w:noHBand="0" w:noVBand="1"/>
      </w:tblPr>
      <w:tblGrid>
        <w:gridCol w:w="2264"/>
        <w:gridCol w:w="1062"/>
        <w:gridCol w:w="1062"/>
        <w:gridCol w:w="1062"/>
        <w:gridCol w:w="1062"/>
        <w:gridCol w:w="1062"/>
        <w:gridCol w:w="1063"/>
        <w:gridCol w:w="1062"/>
        <w:gridCol w:w="1062"/>
        <w:gridCol w:w="1062"/>
        <w:gridCol w:w="1062"/>
        <w:gridCol w:w="1063"/>
      </w:tblGrid>
      <w:tr w:rsidR="00FB6FA8" w:rsidRPr="002F3A26" w14:paraId="00FBF05C" w14:textId="77777777" w:rsidTr="00D17B28">
        <w:trPr>
          <w:cnfStyle w:val="100000000000" w:firstRow="1" w:lastRow="0" w:firstColumn="0" w:lastColumn="0" w:oddVBand="0" w:evenVBand="0" w:oddHBand="0" w:evenHBand="0" w:firstRowFirstColumn="0" w:firstRowLastColumn="0" w:lastRowFirstColumn="0" w:lastRowLastColumn="0"/>
          <w:trHeight w:val="1765"/>
        </w:trPr>
        <w:tc>
          <w:tcPr>
            <w:tcW w:w="2264" w:type="dxa"/>
          </w:tcPr>
          <w:p w14:paraId="1419D975" w14:textId="01396F6E" w:rsidR="00634F39" w:rsidRPr="002F3A26" w:rsidRDefault="00634F39" w:rsidP="00634F39">
            <w:pPr>
              <w:pStyle w:val="TOCHeading"/>
            </w:pPr>
            <w:r w:rsidRPr="002F3A26">
              <w:rPr>
                <w:b/>
                <w:bCs/>
              </w:rPr>
              <w:t>Outcome (ref. Society &amp; Culture)</w:t>
            </w:r>
          </w:p>
        </w:tc>
        <w:tc>
          <w:tcPr>
            <w:tcW w:w="1062" w:type="dxa"/>
            <w:textDirection w:val="btLr"/>
            <w:vAlign w:val="center"/>
          </w:tcPr>
          <w:p w14:paraId="3EB8285C" w14:textId="7815F059" w:rsidR="00634F39" w:rsidRPr="002F3A26" w:rsidRDefault="00634F39" w:rsidP="00634F39">
            <w:pPr>
              <w:pStyle w:val="TOCHeading"/>
              <w:jc w:val="center"/>
            </w:pPr>
            <w:r w:rsidRPr="002F3A26">
              <w:rPr>
                <w:b/>
                <w:bCs/>
              </w:rPr>
              <w:t>Natural &amp; Physical Sciences</w:t>
            </w:r>
          </w:p>
        </w:tc>
        <w:tc>
          <w:tcPr>
            <w:tcW w:w="1062" w:type="dxa"/>
            <w:textDirection w:val="btLr"/>
            <w:vAlign w:val="center"/>
          </w:tcPr>
          <w:p w14:paraId="39F11682" w14:textId="67A23A42" w:rsidR="00634F39" w:rsidRPr="002F3A26" w:rsidRDefault="00634F39" w:rsidP="00634F39">
            <w:pPr>
              <w:pStyle w:val="TOCHeading"/>
              <w:jc w:val="center"/>
            </w:pPr>
            <w:r w:rsidRPr="002F3A26">
              <w:rPr>
                <w:b/>
                <w:bCs/>
              </w:rPr>
              <w:t>Information Technology</w:t>
            </w:r>
          </w:p>
        </w:tc>
        <w:tc>
          <w:tcPr>
            <w:tcW w:w="1062" w:type="dxa"/>
            <w:textDirection w:val="btLr"/>
            <w:vAlign w:val="center"/>
          </w:tcPr>
          <w:p w14:paraId="70F93ED5" w14:textId="3DED3CBC" w:rsidR="00634F39" w:rsidRPr="002F3A26" w:rsidRDefault="00634F39" w:rsidP="00634F39">
            <w:pPr>
              <w:pStyle w:val="TOCHeading"/>
              <w:jc w:val="center"/>
            </w:pPr>
            <w:r w:rsidRPr="002F3A26">
              <w:rPr>
                <w:b/>
                <w:bCs/>
              </w:rPr>
              <w:t>Engineering &amp; Related Technology</w:t>
            </w:r>
          </w:p>
        </w:tc>
        <w:tc>
          <w:tcPr>
            <w:tcW w:w="1062" w:type="dxa"/>
            <w:textDirection w:val="btLr"/>
            <w:vAlign w:val="center"/>
          </w:tcPr>
          <w:p w14:paraId="24EC67C5" w14:textId="15933B3D" w:rsidR="00634F39" w:rsidRPr="002F3A26" w:rsidRDefault="00634F39" w:rsidP="00634F39">
            <w:pPr>
              <w:pStyle w:val="TOCHeading"/>
              <w:jc w:val="center"/>
            </w:pPr>
            <w:r w:rsidRPr="002F3A26">
              <w:rPr>
                <w:b/>
                <w:bCs/>
              </w:rPr>
              <w:t>Architecture &amp; Building</w:t>
            </w:r>
          </w:p>
        </w:tc>
        <w:tc>
          <w:tcPr>
            <w:tcW w:w="1062" w:type="dxa"/>
            <w:textDirection w:val="btLr"/>
            <w:vAlign w:val="center"/>
          </w:tcPr>
          <w:p w14:paraId="1C55A3BF" w14:textId="59B91AC8" w:rsidR="00634F39" w:rsidRPr="002F3A26" w:rsidRDefault="00634F39" w:rsidP="00634F39">
            <w:pPr>
              <w:pStyle w:val="TOCHeading"/>
              <w:jc w:val="center"/>
            </w:pPr>
            <w:r w:rsidRPr="002F3A26">
              <w:rPr>
                <w:b/>
                <w:bCs/>
              </w:rPr>
              <w:t>Agriculture Environmental &amp; Rel. Studies</w:t>
            </w:r>
          </w:p>
        </w:tc>
        <w:tc>
          <w:tcPr>
            <w:tcW w:w="1063" w:type="dxa"/>
            <w:textDirection w:val="btLr"/>
            <w:vAlign w:val="center"/>
          </w:tcPr>
          <w:p w14:paraId="1C778C30" w14:textId="5516D12C" w:rsidR="00634F39" w:rsidRPr="002F3A26" w:rsidRDefault="00634F39" w:rsidP="00634F39">
            <w:pPr>
              <w:pStyle w:val="TOCHeading"/>
              <w:jc w:val="center"/>
            </w:pPr>
            <w:r w:rsidRPr="002F3A26">
              <w:rPr>
                <w:b/>
                <w:bCs/>
              </w:rPr>
              <w:t>Other Health</w:t>
            </w:r>
          </w:p>
        </w:tc>
        <w:tc>
          <w:tcPr>
            <w:tcW w:w="1062" w:type="dxa"/>
            <w:textDirection w:val="btLr"/>
            <w:vAlign w:val="center"/>
          </w:tcPr>
          <w:p w14:paraId="3149D0F3" w14:textId="68F7A4CE" w:rsidR="00634F39" w:rsidRPr="002F3A26" w:rsidRDefault="00634F39" w:rsidP="00634F39">
            <w:pPr>
              <w:pStyle w:val="TOCHeading"/>
              <w:jc w:val="center"/>
            </w:pPr>
            <w:r w:rsidRPr="002F3A26">
              <w:rPr>
                <w:b/>
                <w:bCs/>
              </w:rPr>
              <w:t>Education</w:t>
            </w:r>
          </w:p>
        </w:tc>
        <w:tc>
          <w:tcPr>
            <w:tcW w:w="1062" w:type="dxa"/>
            <w:textDirection w:val="btLr"/>
            <w:vAlign w:val="center"/>
          </w:tcPr>
          <w:p w14:paraId="77E1C700" w14:textId="17B8D704" w:rsidR="00634F39" w:rsidRPr="002F3A26" w:rsidRDefault="00634F39" w:rsidP="00634F39">
            <w:pPr>
              <w:pStyle w:val="TOCHeading"/>
              <w:jc w:val="center"/>
            </w:pPr>
            <w:r w:rsidRPr="002F3A26">
              <w:rPr>
                <w:b/>
                <w:bCs/>
              </w:rPr>
              <w:t>Management &amp; Commerce</w:t>
            </w:r>
          </w:p>
        </w:tc>
        <w:tc>
          <w:tcPr>
            <w:tcW w:w="1062" w:type="dxa"/>
            <w:textDirection w:val="btLr"/>
            <w:vAlign w:val="center"/>
          </w:tcPr>
          <w:p w14:paraId="25FDDBA4" w14:textId="67AA6CD2" w:rsidR="00634F39" w:rsidRPr="002F3A26" w:rsidRDefault="00634F39" w:rsidP="00634F39">
            <w:pPr>
              <w:pStyle w:val="TOCHeading"/>
              <w:jc w:val="center"/>
            </w:pPr>
            <w:r w:rsidRPr="002F3A26">
              <w:rPr>
                <w:b/>
                <w:bCs/>
              </w:rPr>
              <w:t>Creative Arts</w:t>
            </w:r>
          </w:p>
        </w:tc>
        <w:tc>
          <w:tcPr>
            <w:tcW w:w="1062" w:type="dxa"/>
            <w:textDirection w:val="btLr"/>
            <w:vAlign w:val="center"/>
          </w:tcPr>
          <w:p w14:paraId="16DFDC93" w14:textId="5CFE6A53" w:rsidR="00634F39" w:rsidRPr="002F3A26" w:rsidRDefault="00634F39" w:rsidP="00634F39">
            <w:pPr>
              <w:pStyle w:val="TOCHeading"/>
              <w:jc w:val="center"/>
            </w:pPr>
            <w:r w:rsidRPr="002F3A26">
              <w:rPr>
                <w:b/>
                <w:bCs/>
              </w:rPr>
              <w:t>Medical Studies</w:t>
            </w:r>
          </w:p>
        </w:tc>
        <w:tc>
          <w:tcPr>
            <w:tcW w:w="1063" w:type="dxa"/>
            <w:textDirection w:val="btLr"/>
            <w:vAlign w:val="center"/>
          </w:tcPr>
          <w:p w14:paraId="251DBD82" w14:textId="26187476" w:rsidR="00634F39" w:rsidRPr="002F3A26" w:rsidRDefault="00634F39" w:rsidP="00634F39">
            <w:pPr>
              <w:pStyle w:val="TOCHeading"/>
              <w:jc w:val="center"/>
            </w:pPr>
            <w:r w:rsidRPr="002F3A26">
              <w:rPr>
                <w:b/>
                <w:bCs/>
              </w:rPr>
              <w:t>Law</w:t>
            </w:r>
          </w:p>
        </w:tc>
      </w:tr>
      <w:tr w:rsidR="008B59E5" w:rsidRPr="002F3A26" w14:paraId="400CE157" w14:textId="77777777" w:rsidTr="00D17B28">
        <w:trPr>
          <w:trHeight w:val="230"/>
        </w:trPr>
        <w:tc>
          <w:tcPr>
            <w:tcW w:w="2264" w:type="dxa"/>
          </w:tcPr>
          <w:p w14:paraId="5C409B83" w14:textId="3A31411E" w:rsidR="008B59E5" w:rsidRPr="002F3A26" w:rsidRDefault="008B59E5" w:rsidP="008B59E5">
            <w:pPr>
              <w:pStyle w:val="TableParagraph"/>
            </w:pPr>
            <w:r w:rsidRPr="002F3A26">
              <w:t>FiF</w:t>
            </w:r>
          </w:p>
        </w:tc>
        <w:tc>
          <w:tcPr>
            <w:tcW w:w="1062" w:type="dxa"/>
          </w:tcPr>
          <w:p w14:paraId="359AE33B" w14:textId="624E874F" w:rsidR="008B59E5" w:rsidRPr="002F3A26" w:rsidRDefault="008B59E5" w:rsidP="00BA6CBD">
            <w:pPr>
              <w:pStyle w:val="TableParagraph"/>
              <w:ind w:left="170"/>
            </w:pPr>
            <w:r w:rsidRPr="002F3A26">
              <w:t>0.79</w:t>
            </w:r>
            <w:r w:rsidRPr="002F3A26">
              <w:rPr>
                <w:vertAlign w:val="superscript"/>
              </w:rPr>
              <w:t>***</w:t>
            </w:r>
          </w:p>
        </w:tc>
        <w:tc>
          <w:tcPr>
            <w:tcW w:w="1062" w:type="dxa"/>
          </w:tcPr>
          <w:p w14:paraId="120C304B" w14:textId="7FA36DC4" w:rsidR="008B59E5" w:rsidRPr="002F3A26" w:rsidRDefault="008B59E5" w:rsidP="00BA6CBD">
            <w:pPr>
              <w:pStyle w:val="TableParagraph"/>
              <w:ind w:left="170"/>
            </w:pPr>
            <w:r w:rsidRPr="002F3A26">
              <w:t>0.93</w:t>
            </w:r>
            <w:r w:rsidRPr="002F3A26">
              <w:rPr>
                <w:vertAlign w:val="superscript"/>
              </w:rPr>
              <w:t>*</w:t>
            </w:r>
          </w:p>
        </w:tc>
        <w:tc>
          <w:tcPr>
            <w:tcW w:w="1062" w:type="dxa"/>
          </w:tcPr>
          <w:p w14:paraId="78A56943" w14:textId="762236FD" w:rsidR="008B59E5" w:rsidRPr="002F3A26" w:rsidRDefault="008B59E5" w:rsidP="00BA6CBD">
            <w:pPr>
              <w:pStyle w:val="TableParagraph"/>
              <w:ind w:left="170"/>
            </w:pPr>
            <w:r w:rsidRPr="002F3A26">
              <w:t>0.76</w:t>
            </w:r>
            <w:r w:rsidRPr="002F3A26">
              <w:rPr>
                <w:vertAlign w:val="superscript"/>
              </w:rPr>
              <w:t>***</w:t>
            </w:r>
          </w:p>
        </w:tc>
        <w:tc>
          <w:tcPr>
            <w:tcW w:w="1062" w:type="dxa"/>
          </w:tcPr>
          <w:p w14:paraId="7CC41C22" w14:textId="587C6CE7" w:rsidR="008B59E5" w:rsidRPr="002F3A26" w:rsidRDefault="008B59E5" w:rsidP="00BA6CBD">
            <w:pPr>
              <w:pStyle w:val="TableParagraph"/>
              <w:ind w:left="170"/>
            </w:pPr>
            <w:r w:rsidRPr="002F3A26">
              <w:t>1.01</w:t>
            </w:r>
          </w:p>
        </w:tc>
        <w:tc>
          <w:tcPr>
            <w:tcW w:w="1062" w:type="dxa"/>
          </w:tcPr>
          <w:p w14:paraId="0A783AAB" w14:textId="73DA647A" w:rsidR="008B59E5" w:rsidRPr="002F3A26" w:rsidRDefault="008B59E5" w:rsidP="00BA6CBD">
            <w:pPr>
              <w:pStyle w:val="TableParagraph"/>
              <w:ind w:left="170"/>
            </w:pPr>
            <w:r w:rsidRPr="002F3A26">
              <w:t>1.13</w:t>
            </w:r>
            <w:r w:rsidRPr="002F3A26">
              <w:rPr>
                <w:vertAlign w:val="superscript"/>
              </w:rPr>
              <w:t>*</w:t>
            </w:r>
          </w:p>
        </w:tc>
        <w:tc>
          <w:tcPr>
            <w:tcW w:w="1063" w:type="dxa"/>
          </w:tcPr>
          <w:p w14:paraId="416F5E67" w14:textId="67B9FB04" w:rsidR="008B59E5" w:rsidRPr="002F3A26" w:rsidRDefault="008B59E5" w:rsidP="00BA6CBD">
            <w:pPr>
              <w:pStyle w:val="TableParagraph"/>
              <w:ind w:left="170"/>
            </w:pPr>
            <w:r w:rsidRPr="002F3A26">
              <w:t>1.15</w:t>
            </w:r>
            <w:r w:rsidRPr="002F3A26">
              <w:rPr>
                <w:vertAlign w:val="superscript"/>
              </w:rPr>
              <w:t>***</w:t>
            </w:r>
          </w:p>
        </w:tc>
        <w:tc>
          <w:tcPr>
            <w:tcW w:w="1062" w:type="dxa"/>
          </w:tcPr>
          <w:p w14:paraId="68857CAB" w14:textId="7372FCA1" w:rsidR="008B59E5" w:rsidRPr="002F3A26" w:rsidRDefault="008B59E5" w:rsidP="00BA6CBD">
            <w:pPr>
              <w:pStyle w:val="TableParagraph"/>
              <w:ind w:left="170"/>
            </w:pPr>
            <w:r w:rsidRPr="002F3A26">
              <w:t>1.59</w:t>
            </w:r>
            <w:r w:rsidRPr="002F3A26">
              <w:rPr>
                <w:vertAlign w:val="superscript"/>
              </w:rPr>
              <w:t>***</w:t>
            </w:r>
          </w:p>
        </w:tc>
        <w:tc>
          <w:tcPr>
            <w:tcW w:w="1062" w:type="dxa"/>
          </w:tcPr>
          <w:p w14:paraId="640C917F" w14:textId="0678C255" w:rsidR="008B59E5" w:rsidRPr="002F3A26" w:rsidRDefault="008B59E5" w:rsidP="00BA6CBD">
            <w:pPr>
              <w:pStyle w:val="TableParagraph"/>
              <w:ind w:left="170"/>
            </w:pPr>
            <w:r w:rsidRPr="002F3A26">
              <w:t>1.00</w:t>
            </w:r>
          </w:p>
        </w:tc>
        <w:tc>
          <w:tcPr>
            <w:tcW w:w="1062" w:type="dxa"/>
          </w:tcPr>
          <w:p w14:paraId="39760C2F" w14:textId="26AECE41" w:rsidR="008B59E5" w:rsidRPr="002F3A26" w:rsidRDefault="008B59E5" w:rsidP="00BA6CBD">
            <w:pPr>
              <w:pStyle w:val="TableParagraph"/>
              <w:ind w:left="170"/>
            </w:pPr>
            <w:r w:rsidRPr="002F3A26">
              <w:t>0.97</w:t>
            </w:r>
          </w:p>
        </w:tc>
        <w:tc>
          <w:tcPr>
            <w:tcW w:w="1062" w:type="dxa"/>
          </w:tcPr>
          <w:p w14:paraId="00BE48A3" w14:textId="6AB9DC54" w:rsidR="008B59E5" w:rsidRPr="002F3A26" w:rsidRDefault="008B59E5" w:rsidP="00BA6CBD">
            <w:pPr>
              <w:pStyle w:val="TableParagraph"/>
              <w:ind w:left="170"/>
            </w:pPr>
            <w:r w:rsidRPr="002F3A26">
              <w:t>0.28</w:t>
            </w:r>
            <w:r w:rsidRPr="002F3A26">
              <w:rPr>
                <w:vertAlign w:val="superscript"/>
              </w:rPr>
              <w:t>***</w:t>
            </w:r>
          </w:p>
        </w:tc>
        <w:tc>
          <w:tcPr>
            <w:tcW w:w="1063" w:type="dxa"/>
          </w:tcPr>
          <w:p w14:paraId="1EF5355D" w14:textId="665F6688" w:rsidR="008B59E5" w:rsidRPr="002F3A26" w:rsidRDefault="008B59E5" w:rsidP="00BA6CBD">
            <w:pPr>
              <w:pStyle w:val="TableParagraph"/>
              <w:ind w:left="170"/>
            </w:pPr>
            <w:r w:rsidRPr="002F3A26">
              <w:t>0.80</w:t>
            </w:r>
            <w:r w:rsidRPr="002F3A26">
              <w:rPr>
                <w:vertAlign w:val="superscript"/>
              </w:rPr>
              <w:t>***</w:t>
            </w:r>
          </w:p>
        </w:tc>
      </w:tr>
      <w:tr w:rsidR="008B59E5" w:rsidRPr="002F3A26" w14:paraId="1A300126" w14:textId="77777777" w:rsidTr="00D17B28">
        <w:trPr>
          <w:trHeight w:val="218"/>
        </w:trPr>
        <w:tc>
          <w:tcPr>
            <w:tcW w:w="2264" w:type="dxa"/>
          </w:tcPr>
          <w:p w14:paraId="492DA08F" w14:textId="10A50008" w:rsidR="008B59E5" w:rsidRPr="002F3A26" w:rsidRDefault="008B59E5" w:rsidP="008B59E5">
            <w:pPr>
              <w:pStyle w:val="TableParagraph"/>
              <w:rPr>
                <w:rFonts w:cs="Arial"/>
              </w:rPr>
            </w:pPr>
            <w:r w:rsidRPr="002F3A26">
              <w:t>Low SES</w:t>
            </w:r>
          </w:p>
        </w:tc>
        <w:tc>
          <w:tcPr>
            <w:tcW w:w="1062" w:type="dxa"/>
          </w:tcPr>
          <w:p w14:paraId="767556ED" w14:textId="19EDE527" w:rsidR="008B59E5" w:rsidRPr="002F3A26" w:rsidRDefault="008B59E5" w:rsidP="00BA6CBD">
            <w:pPr>
              <w:pStyle w:val="TableParagraph"/>
              <w:ind w:left="170"/>
              <w:rPr>
                <w:rFonts w:cs="Arial"/>
              </w:rPr>
            </w:pPr>
            <w:r w:rsidRPr="002F3A26">
              <w:t>1.00</w:t>
            </w:r>
          </w:p>
        </w:tc>
        <w:tc>
          <w:tcPr>
            <w:tcW w:w="1062" w:type="dxa"/>
          </w:tcPr>
          <w:p w14:paraId="0E94BF28" w14:textId="0B43CD45" w:rsidR="008B59E5" w:rsidRPr="002F3A26" w:rsidRDefault="008B59E5" w:rsidP="00BA6CBD">
            <w:pPr>
              <w:pStyle w:val="TableParagraph"/>
              <w:ind w:left="170"/>
              <w:rPr>
                <w:rFonts w:cs="Arial"/>
              </w:rPr>
            </w:pPr>
            <w:r w:rsidRPr="002F3A26">
              <w:t>1.15</w:t>
            </w:r>
            <w:r w:rsidRPr="002F3A26">
              <w:rPr>
                <w:vertAlign w:val="superscript"/>
              </w:rPr>
              <w:t>***</w:t>
            </w:r>
          </w:p>
        </w:tc>
        <w:tc>
          <w:tcPr>
            <w:tcW w:w="1062" w:type="dxa"/>
          </w:tcPr>
          <w:p w14:paraId="7B761B26" w14:textId="39D5E30B" w:rsidR="008B59E5" w:rsidRPr="002F3A26" w:rsidRDefault="008B59E5" w:rsidP="00BA6CBD">
            <w:pPr>
              <w:pStyle w:val="TableParagraph"/>
              <w:ind w:left="170"/>
              <w:rPr>
                <w:rFonts w:cs="Arial"/>
              </w:rPr>
            </w:pPr>
            <w:r w:rsidRPr="002F3A26">
              <w:t>1.03</w:t>
            </w:r>
          </w:p>
        </w:tc>
        <w:tc>
          <w:tcPr>
            <w:tcW w:w="1062" w:type="dxa"/>
          </w:tcPr>
          <w:p w14:paraId="7CFC74CA" w14:textId="467AAE46" w:rsidR="008B59E5" w:rsidRPr="002F3A26" w:rsidRDefault="008B59E5" w:rsidP="00BA6CBD">
            <w:pPr>
              <w:pStyle w:val="TableParagraph"/>
              <w:ind w:left="170"/>
            </w:pPr>
            <w:r w:rsidRPr="002F3A26">
              <w:t>0.88</w:t>
            </w:r>
            <w:r w:rsidRPr="002F3A26">
              <w:rPr>
                <w:vertAlign w:val="superscript"/>
              </w:rPr>
              <w:t>**</w:t>
            </w:r>
          </w:p>
        </w:tc>
        <w:tc>
          <w:tcPr>
            <w:tcW w:w="1062" w:type="dxa"/>
          </w:tcPr>
          <w:p w14:paraId="7C19707A" w14:textId="24C89BCB" w:rsidR="008B59E5" w:rsidRPr="002F3A26" w:rsidRDefault="008B59E5" w:rsidP="00BA6CBD">
            <w:pPr>
              <w:pStyle w:val="TableParagraph"/>
              <w:ind w:left="170"/>
            </w:pPr>
            <w:r w:rsidRPr="002F3A26">
              <w:t>0.87</w:t>
            </w:r>
          </w:p>
        </w:tc>
        <w:tc>
          <w:tcPr>
            <w:tcW w:w="1063" w:type="dxa"/>
          </w:tcPr>
          <w:p w14:paraId="76FCE557" w14:textId="018F4F47" w:rsidR="008B59E5" w:rsidRPr="002F3A26" w:rsidRDefault="008B59E5" w:rsidP="00BA6CBD">
            <w:pPr>
              <w:pStyle w:val="TableParagraph"/>
              <w:ind w:left="170"/>
            </w:pPr>
            <w:r w:rsidRPr="002F3A26">
              <w:t>1.06</w:t>
            </w:r>
            <w:r w:rsidRPr="002F3A26">
              <w:rPr>
                <w:vertAlign w:val="superscript"/>
              </w:rPr>
              <w:t>*</w:t>
            </w:r>
          </w:p>
        </w:tc>
        <w:tc>
          <w:tcPr>
            <w:tcW w:w="1062" w:type="dxa"/>
          </w:tcPr>
          <w:p w14:paraId="5EF71F88" w14:textId="63AF6F94" w:rsidR="008B59E5" w:rsidRPr="002F3A26" w:rsidRDefault="008B59E5" w:rsidP="00BA6CBD">
            <w:pPr>
              <w:pStyle w:val="TableParagraph"/>
              <w:ind w:left="170"/>
            </w:pPr>
            <w:r w:rsidRPr="002F3A26">
              <w:t>1.10</w:t>
            </w:r>
            <w:r w:rsidRPr="002F3A26">
              <w:rPr>
                <w:vertAlign w:val="superscript"/>
              </w:rPr>
              <w:t>**</w:t>
            </w:r>
          </w:p>
        </w:tc>
        <w:tc>
          <w:tcPr>
            <w:tcW w:w="1062" w:type="dxa"/>
          </w:tcPr>
          <w:p w14:paraId="49819805" w14:textId="48CBCD9D" w:rsidR="008B59E5" w:rsidRPr="002F3A26" w:rsidRDefault="008B59E5" w:rsidP="00BA6CBD">
            <w:pPr>
              <w:pStyle w:val="TableParagraph"/>
              <w:ind w:left="170"/>
            </w:pPr>
            <w:r w:rsidRPr="002F3A26">
              <w:t>0.93</w:t>
            </w:r>
            <w:r w:rsidRPr="002F3A26">
              <w:rPr>
                <w:vertAlign w:val="superscript"/>
              </w:rPr>
              <w:t>**</w:t>
            </w:r>
          </w:p>
        </w:tc>
        <w:tc>
          <w:tcPr>
            <w:tcW w:w="1062" w:type="dxa"/>
          </w:tcPr>
          <w:p w14:paraId="415479BA" w14:textId="73716995" w:rsidR="008B59E5" w:rsidRPr="002F3A26" w:rsidRDefault="008B59E5" w:rsidP="00BA6CBD">
            <w:pPr>
              <w:pStyle w:val="TableParagraph"/>
              <w:ind w:left="170"/>
            </w:pPr>
            <w:r w:rsidRPr="002F3A26">
              <w:t>0.87</w:t>
            </w:r>
            <w:r w:rsidRPr="002F3A26">
              <w:rPr>
                <w:vertAlign w:val="superscript"/>
              </w:rPr>
              <w:t>***</w:t>
            </w:r>
          </w:p>
        </w:tc>
        <w:tc>
          <w:tcPr>
            <w:tcW w:w="1062" w:type="dxa"/>
          </w:tcPr>
          <w:p w14:paraId="60CEB095" w14:textId="68D27C40" w:rsidR="008B59E5" w:rsidRPr="002F3A26" w:rsidRDefault="008B59E5" w:rsidP="00BA6CBD">
            <w:pPr>
              <w:pStyle w:val="TableParagraph"/>
              <w:ind w:left="170"/>
            </w:pPr>
            <w:r w:rsidRPr="002F3A26">
              <w:t>0.76</w:t>
            </w:r>
            <w:r w:rsidRPr="002F3A26">
              <w:rPr>
                <w:vertAlign w:val="superscript"/>
              </w:rPr>
              <w:t>*</w:t>
            </w:r>
          </w:p>
        </w:tc>
        <w:tc>
          <w:tcPr>
            <w:tcW w:w="1063" w:type="dxa"/>
          </w:tcPr>
          <w:p w14:paraId="74592010" w14:textId="00B52B89" w:rsidR="008B59E5" w:rsidRPr="002F3A26" w:rsidRDefault="008B59E5" w:rsidP="00BA6CBD">
            <w:pPr>
              <w:pStyle w:val="TableParagraph"/>
              <w:ind w:left="170"/>
            </w:pPr>
            <w:r w:rsidRPr="002F3A26">
              <w:t>0.88</w:t>
            </w:r>
            <w:r w:rsidRPr="002F3A26">
              <w:rPr>
                <w:vertAlign w:val="superscript"/>
              </w:rPr>
              <w:t>*</w:t>
            </w:r>
          </w:p>
        </w:tc>
      </w:tr>
      <w:tr w:rsidR="008B59E5" w:rsidRPr="002F3A26" w14:paraId="3858AD2D" w14:textId="77777777" w:rsidTr="00D17B28">
        <w:trPr>
          <w:trHeight w:val="218"/>
        </w:trPr>
        <w:tc>
          <w:tcPr>
            <w:tcW w:w="2264" w:type="dxa"/>
          </w:tcPr>
          <w:p w14:paraId="3EA8C188" w14:textId="4B358451" w:rsidR="008B59E5" w:rsidRPr="002F3A26" w:rsidRDefault="009F5FEC" w:rsidP="008B59E5">
            <w:pPr>
              <w:pStyle w:val="TableParagraph"/>
              <w:rPr>
                <w:rFonts w:cs="Arial"/>
              </w:rPr>
            </w:pPr>
            <w:r>
              <w:t>RR</w:t>
            </w:r>
          </w:p>
        </w:tc>
        <w:tc>
          <w:tcPr>
            <w:tcW w:w="1062" w:type="dxa"/>
          </w:tcPr>
          <w:p w14:paraId="6B15571E" w14:textId="1299747C" w:rsidR="008B59E5" w:rsidRPr="002F3A26" w:rsidRDefault="008B59E5" w:rsidP="00BA6CBD">
            <w:pPr>
              <w:pStyle w:val="TableParagraph"/>
              <w:ind w:left="170"/>
              <w:rPr>
                <w:rFonts w:cs="Arial"/>
              </w:rPr>
            </w:pPr>
            <w:r w:rsidRPr="002F3A26">
              <w:t>1.06</w:t>
            </w:r>
            <w:r w:rsidRPr="002F3A26">
              <w:rPr>
                <w:vertAlign w:val="superscript"/>
              </w:rPr>
              <w:t>*</w:t>
            </w:r>
          </w:p>
        </w:tc>
        <w:tc>
          <w:tcPr>
            <w:tcW w:w="1062" w:type="dxa"/>
          </w:tcPr>
          <w:p w14:paraId="2CBC1C80" w14:textId="0D0BAE4F" w:rsidR="008B59E5" w:rsidRPr="002F3A26" w:rsidRDefault="008B59E5" w:rsidP="00BA6CBD">
            <w:pPr>
              <w:pStyle w:val="TableParagraph"/>
              <w:ind w:left="170"/>
              <w:rPr>
                <w:rFonts w:cs="Arial"/>
              </w:rPr>
            </w:pPr>
            <w:r w:rsidRPr="002F3A26">
              <w:t>1.01</w:t>
            </w:r>
          </w:p>
        </w:tc>
        <w:tc>
          <w:tcPr>
            <w:tcW w:w="1062" w:type="dxa"/>
          </w:tcPr>
          <w:p w14:paraId="479E250E" w14:textId="490C99A5" w:rsidR="008B59E5" w:rsidRPr="002F3A26" w:rsidRDefault="008B59E5" w:rsidP="00BA6CBD">
            <w:pPr>
              <w:pStyle w:val="TableParagraph"/>
              <w:ind w:left="170"/>
              <w:rPr>
                <w:rFonts w:cs="Arial"/>
              </w:rPr>
            </w:pPr>
            <w:r w:rsidRPr="002F3A26">
              <w:t>1.35</w:t>
            </w:r>
            <w:r w:rsidRPr="002F3A26">
              <w:rPr>
                <w:vertAlign w:val="superscript"/>
              </w:rPr>
              <w:t>***</w:t>
            </w:r>
          </w:p>
        </w:tc>
        <w:tc>
          <w:tcPr>
            <w:tcW w:w="1062" w:type="dxa"/>
          </w:tcPr>
          <w:p w14:paraId="190059AA" w14:textId="5CCF578E" w:rsidR="008B59E5" w:rsidRPr="002F3A26" w:rsidRDefault="008B59E5" w:rsidP="00BA6CBD">
            <w:pPr>
              <w:pStyle w:val="TableParagraph"/>
              <w:ind w:left="170"/>
            </w:pPr>
            <w:r w:rsidRPr="002F3A26">
              <w:t>0.75</w:t>
            </w:r>
            <w:r w:rsidRPr="002F3A26">
              <w:rPr>
                <w:vertAlign w:val="superscript"/>
              </w:rPr>
              <w:t>***</w:t>
            </w:r>
          </w:p>
        </w:tc>
        <w:tc>
          <w:tcPr>
            <w:tcW w:w="1062" w:type="dxa"/>
          </w:tcPr>
          <w:p w14:paraId="3D7C7E7D" w14:textId="66C2217A" w:rsidR="008B59E5" w:rsidRPr="002F3A26" w:rsidRDefault="008B59E5" w:rsidP="00BA6CBD">
            <w:pPr>
              <w:pStyle w:val="TableParagraph"/>
              <w:ind w:left="170"/>
            </w:pPr>
            <w:r w:rsidRPr="002F3A26">
              <w:t>3.40</w:t>
            </w:r>
            <w:r w:rsidRPr="002F3A26">
              <w:rPr>
                <w:vertAlign w:val="superscript"/>
              </w:rPr>
              <w:t>***</w:t>
            </w:r>
          </w:p>
        </w:tc>
        <w:tc>
          <w:tcPr>
            <w:tcW w:w="1063" w:type="dxa"/>
          </w:tcPr>
          <w:p w14:paraId="6C0D4FEF" w14:textId="37D7AFCC" w:rsidR="008B59E5" w:rsidRPr="002F3A26" w:rsidRDefault="008B59E5" w:rsidP="00BA6CBD">
            <w:pPr>
              <w:pStyle w:val="TableParagraph"/>
              <w:ind w:left="170"/>
            </w:pPr>
            <w:r w:rsidRPr="002F3A26">
              <w:t>1.64</w:t>
            </w:r>
            <w:r w:rsidRPr="002F3A26">
              <w:rPr>
                <w:vertAlign w:val="superscript"/>
              </w:rPr>
              <w:t>***</w:t>
            </w:r>
          </w:p>
        </w:tc>
        <w:tc>
          <w:tcPr>
            <w:tcW w:w="1062" w:type="dxa"/>
          </w:tcPr>
          <w:p w14:paraId="55C06B73" w14:textId="0D5110E6" w:rsidR="008B59E5" w:rsidRPr="002F3A26" w:rsidRDefault="008B59E5" w:rsidP="00BA6CBD">
            <w:pPr>
              <w:pStyle w:val="TableParagraph"/>
              <w:ind w:left="170"/>
            </w:pPr>
            <w:r w:rsidRPr="002F3A26">
              <w:t>1.73</w:t>
            </w:r>
            <w:r w:rsidRPr="002F3A26">
              <w:rPr>
                <w:vertAlign w:val="superscript"/>
              </w:rPr>
              <w:t>***</w:t>
            </w:r>
          </w:p>
        </w:tc>
        <w:tc>
          <w:tcPr>
            <w:tcW w:w="1062" w:type="dxa"/>
          </w:tcPr>
          <w:p w14:paraId="51E6FCB5" w14:textId="38EE54BE" w:rsidR="008B59E5" w:rsidRPr="002F3A26" w:rsidRDefault="008B59E5" w:rsidP="00BA6CBD">
            <w:pPr>
              <w:pStyle w:val="TableParagraph"/>
              <w:ind w:left="170"/>
            </w:pPr>
            <w:r w:rsidRPr="002F3A26">
              <w:t>0.84</w:t>
            </w:r>
            <w:r w:rsidRPr="002F3A26">
              <w:rPr>
                <w:vertAlign w:val="superscript"/>
              </w:rPr>
              <w:t>***</w:t>
            </w:r>
          </w:p>
        </w:tc>
        <w:tc>
          <w:tcPr>
            <w:tcW w:w="1062" w:type="dxa"/>
          </w:tcPr>
          <w:p w14:paraId="4459EF1F" w14:textId="64AF3187" w:rsidR="008B59E5" w:rsidRPr="002F3A26" w:rsidRDefault="008B59E5" w:rsidP="00BA6CBD">
            <w:pPr>
              <w:pStyle w:val="TableParagraph"/>
              <w:ind w:left="170"/>
            </w:pPr>
            <w:r w:rsidRPr="002F3A26">
              <w:t>1.24</w:t>
            </w:r>
            <w:r w:rsidRPr="002F3A26">
              <w:rPr>
                <w:vertAlign w:val="superscript"/>
              </w:rPr>
              <w:t>***</w:t>
            </w:r>
          </w:p>
        </w:tc>
        <w:tc>
          <w:tcPr>
            <w:tcW w:w="1062" w:type="dxa"/>
          </w:tcPr>
          <w:p w14:paraId="49374896" w14:textId="57B0D58D" w:rsidR="008B59E5" w:rsidRPr="002F3A26" w:rsidRDefault="008B59E5" w:rsidP="00BA6CBD">
            <w:pPr>
              <w:pStyle w:val="TableParagraph"/>
              <w:ind w:left="170"/>
            </w:pPr>
            <w:r w:rsidRPr="002F3A26">
              <w:t>2.29</w:t>
            </w:r>
            <w:r w:rsidRPr="002F3A26">
              <w:rPr>
                <w:vertAlign w:val="superscript"/>
              </w:rPr>
              <w:t>***</w:t>
            </w:r>
          </w:p>
        </w:tc>
        <w:tc>
          <w:tcPr>
            <w:tcW w:w="1063" w:type="dxa"/>
          </w:tcPr>
          <w:p w14:paraId="68E8718A" w14:textId="5470FB98" w:rsidR="008B59E5" w:rsidRPr="002F3A26" w:rsidRDefault="008B59E5" w:rsidP="00BA6CBD">
            <w:pPr>
              <w:pStyle w:val="TableParagraph"/>
              <w:ind w:left="170"/>
            </w:pPr>
            <w:r w:rsidRPr="002F3A26">
              <w:t>1.34</w:t>
            </w:r>
            <w:r w:rsidRPr="002F3A26">
              <w:rPr>
                <w:vertAlign w:val="superscript"/>
              </w:rPr>
              <w:t>***</w:t>
            </w:r>
          </w:p>
        </w:tc>
      </w:tr>
      <w:tr w:rsidR="008B59E5" w:rsidRPr="002F3A26" w14:paraId="44A9F544" w14:textId="77777777" w:rsidTr="00D17B28">
        <w:trPr>
          <w:trHeight w:val="218"/>
        </w:trPr>
        <w:tc>
          <w:tcPr>
            <w:tcW w:w="2264" w:type="dxa"/>
          </w:tcPr>
          <w:p w14:paraId="3CF85C5B" w14:textId="080BF825" w:rsidR="008B59E5" w:rsidRPr="002F3A26" w:rsidRDefault="008B59E5" w:rsidP="008B59E5">
            <w:pPr>
              <w:pStyle w:val="TableParagraph"/>
              <w:rPr>
                <w:rFonts w:cs="Arial"/>
              </w:rPr>
            </w:pPr>
            <w:r w:rsidRPr="002F3A26">
              <w:t>Indigenous</w:t>
            </w:r>
          </w:p>
        </w:tc>
        <w:tc>
          <w:tcPr>
            <w:tcW w:w="1062" w:type="dxa"/>
          </w:tcPr>
          <w:p w14:paraId="1EFBF410" w14:textId="4BC3E11C" w:rsidR="008B59E5" w:rsidRPr="002F3A26" w:rsidRDefault="008B59E5" w:rsidP="00BA6CBD">
            <w:pPr>
              <w:pStyle w:val="TableParagraph"/>
              <w:ind w:left="170"/>
              <w:rPr>
                <w:rFonts w:cs="Arial"/>
              </w:rPr>
            </w:pPr>
            <w:r w:rsidRPr="002F3A26">
              <w:t>0.68</w:t>
            </w:r>
            <w:r w:rsidRPr="002F3A26">
              <w:rPr>
                <w:vertAlign w:val="superscript"/>
              </w:rPr>
              <w:t>***</w:t>
            </w:r>
          </w:p>
        </w:tc>
        <w:tc>
          <w:tcPr>
            <w:tcW w:w="1062" w:type="dxa"/>
          </w:tcPr>
          <w:p w14:paraId="42CEDDF5" w14:textId="71DDDF06" w:rsidR="008B59E5" w:rsidRPr="002F3A26" w:rsidRDefault="008B59E5" w:rsidP="00BA6CBD">
            <w:pPr>
              <w:pStyle w:val="TableParagraph"/>
              <w:ind w:left="170"/>
              <w:rPr>
                <w:rFonts w:cs="Arial"/>
              </w:rPr>
            </w:pPr>
            <w:r w:rsidRPr="002F3A26">
              <w:t>0.53</w:t>
            </w:r>
            <w:r w:rsidRPr="002F3A26">
              <w:rPr>
                <w:vertAlign w:val="superscript"/>
              </w:rPr>
              <w:t>***</w:t>
            </w:r>
          </w:p>
        </w:tc>
        <w:tc>
          <w:tcPr>
            <w:tcW w:w="1062" w:type="dxa"/>
          </w:tcPr>
          <w:p w14:paraId="1525D92C" w14:textId="158D817E" w:rsidR="008B59E5" w:rsidRPr="002F3A26" w:rsidRDefault="008B59E5" w:rsidP="00BA6CBD">
            <w:pPr>
              <w:pStyle w:val="TableParagraph"/>
              <w:ind w:left="170"/>
              <w:rPr>
                <w:rFonts w:cs="Arial"/>
              </w:rPr>
            </w:pPr>
            <w:r w:rsidRPr="002F3A26">
              <w:t>0.70</w:t>
            </w:r>
            <w:r w:rsidRPr="002F3A26">
              <w:rPr>
                <w:vertAlign w:val="superscript"/>
              </w:rPr>
              <w:t>***</w:t>
            </w:r>
          </w:p>
        </w:tc>
        <w:tc>
          <w:tcPr>
            <w:tcW w:w="1062" w:type="dxa"/>
          </w:tcPr>
          <w:p w14:paraId="6809264D" w14:textId="4918F204" w:rsidR="008B59E5" w:rsidRPr="002F3A26" w:rsidRDefault="008B59E5" w:rsidP="00BA6CBD">
            <w:pPr>
              <w:pStyle w:val="TableParagraph"/>
              <w:ind w:left="170"/>
            </w:pPr>
            <w:r w:rsidRPr="002F3A26">
              <w:t>0.59</w:t>
            </w:r>
            <w:r w:rsidRPr="002F3A26">
              <w:rPr>
                <w:vertAlign w:val="superscript"/>
              </w:rPr>
              <w:t>***</w:t>
            </w:r>
          </w:p>
        </w:tc>
        <w:tc>
          <w:tcPr>
            <w:tcW w:w="1062" w:type="dxa"/>
          </w:tcPr>
          <w:p w14:paraId="420F5674" w14:textId="4CAB8824" w:rsidR="008B59E5" w:rsidRPr="002F3A26" w:rsidRDefault="008B59E5" w:rsidP="00BA6CBD">
            <w:pPr>
              <w:pStyle w:val="TableParagraph"/>
              <w:ind w:left="170"/>
            </w:pPr>
            <w:r w:rsidRPr="002F3A26">
              <w:t>0.59</w:t>
            </w:r>
            <w:r w:rsidRPr="002F3A26">
              <w:rPr>
                <w:vertAlign w:val="superscript"/>
              </w:rPr>
              <w:t>*</w:t>
            </w:r>
          </w:p>
        </w:tc>
        <w:tc>
          <w:tcPr>
            <w:tcW w:w="1063" w:type="dxa"/>
          </w:tcPr>
          <w:p w14:paraId="61746AFE" w14:textId="736DDECD" w:rsidR="008B59E5" w:rsidRPr="002F3A26" w:rsidRDefault="008B59E5" w:rsidP="00BA6CBD">
            <w:pPr>
              <w:pStyle w:val="TableParagraph"/>
              <w:ind w:left="170"/>
            </w:pPr>
            <w:r w:rsidRPr="002F3A26">
              <w:t>0.83</w:t>
            </w:r>
            <w:r w:rsidRPr="002F3A26">
              <w:rPr>
                <w:vertAlign w:val="superscript"/>
              </w:rPr>
              <w:t>**</w:t>
            </w:r>
          </w:p>
        </w:tc>
        <w:tc>
          <w:tcPr>
            <w:tcW w:w="1062" w:type="dxa"/>
          </w:tcPr>
          <w:p w14:paraId="4A397DB8" w14:textId="54404A19" w:rsidR="008B59E5" w:rsidRPr="002F3A26" w:rsidRDefault="008B59E5" w:rsidP="00BA6CBD">
            <w:pPr>
              <w:pStyle w:val="TableParagraph"/>
              <w:ind w:left="170"/>
            </w:pPr>
            <w:r w:rsidRPr="002F3A26">
              <w:t>1.10</w:t>
            </w:r>
          </w:p>
        </w:tc>
        <w:tc>
          <w:tcPr>
            <w:tcW w:w="1062" w:type="dxa"/>
          </w:tcPr>
          <w:p w14:paraId="1A98E7D1" w14:textId="3BBDCC11" w:rsidR="008B59E5" w:rsidRPr="002F3A26" w:rsidRDefault="008B59E5" w:rsidP="00BA6CBD">
            <w:pPr>
              <w:pStyle w:val="TableParagraph"/>
              <w:ind w:left="170"/>
            </w:pPr>
            <w:r w:rsidRPr="002F3A26">
              <w:t>0.53</w:t>
            </w:r>
            <w:r w:rsidRPr="002F3A26">
              <w:rPr>
                <w:vertAlign w:val="superscript"/>
              </w:rPr>
              <w:t>***</w:t>
            </w:r>
          </w:p>
        </w:tc>
        <w:tc>
          <w:tcPr>
            <w:tcW w:w="1062" w:type="dxa"/>
          </w:tcPr>
          <w:p w14:paraId="24B79FD2" w14:textId="0AC21100" w:rsidR="008B59E5" w:rsidRPr="002F3A26" w:rsidRDefault="008B59E5" w:rsidP="00BA6CBD">
            <w:pPr>
              <w:pStyle w:val="TableParagraph"/>
              <w:ind w:left="170"/>
            </w:pPr>
            <w:r w:rsidRPr="002F3A26">
              <w:t>1.01</w:t>
            </w:r>
          </w:p>
        </w:tc>
        <w:tc>
          <w:tcPr>
            <w:tcW w:w="1062" w:type="dxa"/>
          </w:tcPr>
          <w:p w14:paraId="337AF12A" w14:textId="3B09452C" w:rsidR="008B59E5" w:rsidRPr="002F3A26" w:rsidRDefault="008B59E5" w:rsidP="00BA6CBD">
            <w:pPr>
              <w:pStyle w:val="TableParagraph"/>
              <w:ind w:left="170"/>
            </w:pPr>
            <w:r w:rsidRPr="002F3A26">
              <w:t>0.95</w:t>
            </w:r>
          </w:p>
        </w:tc>
        <w:tc>
          <w:tcPr>
            <w:tcW w:w="1063" w:type="dxa"/>
          </w:tcPr>
          <w:p w14:paraId="0E82A2BD" w14:textId="7F775EA0" w:rsidR="008B59E5" w:rsidRPr="002F3A26" w:rsidRDefault="008B59E5" w:rsidP="00BA6CBD">
            <w:pPr>
              <w:pStyle w:val="TableParagraph"/>
              <w:ind w:left="170"/>
            </w:pPr>
            <w:r w:rsidRPr="002F3A26">
              <w:t>1.16</w:t>
            </w:r>
          </w:p>
        </w:tc>
      </w:tr>
      <w:tr w:rsidR="008B59E5" w:rsidRPr="002F3A26" w14:paraId="0EE52B10" w14:textId="77777777" w:rsidTr="00D17B28">
        <w:trPr>
          <w:trHeight w:val="218"/>
        </w:trPr>
        <w:tc>
          <w:tcPr>
            <w:tcW w:w="2264" w:type="dxa"/>
          </w:tcPr>
          <w:p w14:paraId="47330BEB" w14:textId="56935AC2" w:rsidR="008B59E5" w:rsidRPr="002F3A26" w:rsidRDefault="008B59E5" w:rsidP="008B59E5">
            <w:pPr>
              <w:pStyle w:val="TableParagraph"/>
              <w:rPr>
                <w:rFonts w:cs="Arial"/>
              </w:rPr>
            </w:pPr>
            <w:r w:rsidRPr="002F3A26">
              <w:t>NESB</w:t>
            </w:r>
          </w:p>
        </w:tc>
        <w:tc>
          <w:tcPr>
            <w:tcW w:w="1062" w:type="dxa"/>
          </w:tcPr>
          <w:p w14:paraId="0C5D0486" w14:textId="5630B820" w:rsidR="008B59E5" w:rsidRPr="002F3A26" w:rsidRDefault="008B59E5" w:rsidP="00BA6CBD">
            <w:pPr>
              <w:pStyle w:val="TableParagraph"/>
              <w:ind w:left="170"/>
              <w:rPr>
                <w:rFonts w:cs="Arial"/>
              </w:rPr>
            </w:pPr>
            <w:r w:rsidRPr="002F3A26">
              <w:t>2.17</w:t>
            </w:r>
            <w:r w:rsidRPr="002F3A26">
              <w:rPr>
                <w:vertAlign w:val="superscript"/>
              </w:rPr>
              <w:t>***</w:t>
            </w:r>
          </w:p>
        </w:tc>
        <w:tc>
          <w:tcPr>
            <w:tcW w:w="1062" w:type="dxa"/>
          </w:tcPr>
          <w:p w14:paraId="67834D76" w14:textId="7D9F130F" w:rsidR="008B59E5" w:rsidRPr="002F3A26" w:rsidRDefault="008B59E5" w:rsidP="00BA6CBD">
            <w:pPr>
              <w:pStyle w:val="TableParagraph"/>
              <w:ind w:left="170"/>
              <w:rPr>
                <w:rFonts w:cs="Arial"/>
              </w:rPr>
            </w:pPr>
            <w:r w:rsidRPr="002F3A26">
              <w:t>2.00</w:t>
            </w:r>
            <w:r w:rsidRPr="002F3A26">
              <w:rPr>
                <w:vertAlign w:val="superscript"/>
              </w:rPr>
              <w:t>***</w:t>
            </w:r>
          </w:p>
        </w:tc>
        <w:tc>
          <w:tcPr>
            <w:tcW w:w="1062" w:type="dxa"/>
          </w:tcPr>
          <w:p w14:paraId="333F9E54" w14:textId="73278423" w:rsidR="008B59E5" w:rsidRPr="002F3A26" w:rsidRDefault="008B59E5" w:rsidP="00BA6CBD">
            <w:pPr>
              <w:pStyle w:val="TableParagraph"/>
              <w:ind w:left="170"/>
              <w:rPr>
                <w:rFonts w:cs="Arial"/>
              </w:rPr>
            </w:pPr>
            <w:r w:rsidRPr="002F3A26">
              <w:t>2.50</w:t>
            </w:r>
            <w:r w:rsidRPr="002F3A26">
              <w:rPr>
                <w:vertAlign w:val="superscript"/>
              </w:rPr>
              <w:t>***</w:t>
            </w:r>
          </w:p>
        </w:tc>
        <w:tc>
          <w:tcPr>
            <w:tcW w:w="1062" w:type="dxa"/>
          </w:tcPr>
          <w:p w14:paraId="2AA9DD06" w14:textId="396DC84F" w:rsidR="008B59E5" w:rsidRPr="002F3A26" w:rsidRDefault="008B59E5" w:rsidP="00BA6CBD">
            <w:pPr>
              <w:pStyle w:val="TableParagraph"/>
              <w:ind w:left="170"/>
            </w:pPr>
            <w:r w:rsidRPr="002F3A26">
              <w:t>1.79</w:t>
            </w:r>
            <w:r w:rsidRPr="002F3A26">
              <w:rPr>
                <w:vertAlign w:val="superscript"/>
              </w:rPr>
              <w:t>***</w:t>
            </w:r>
          </w:p>
        </w:tc>
        <w:tc>
          <w:tcPr>
            <w:tcW w:w="1062" w:type="dxa"/>
          </w:tcPr>
          <w:p w14:paraId="51910738" w14:textId="797DD304" w:rsidR="008B59E5" w:rsidRPr="002F3A26" w:rsidRDefault="008B59E5" w:rsidP="00BA6CBD">
            <w:pPr>
              <w:pStyle w:val="TableParagraph"/>
              <w:ind w:left="170"/>
            </w:pPr>
            <w:r w:rsidRPr="002F3A26">
              <w:t>0.57</w:t>
            </w:r>
            <w:r w:rsidRPr="002F3A26">
              <w:rPr>
                <w:vertAlign w:val="superscript"/>
              </w:rPr>
              <w:t>**</w:t>
            </w:r>
          </w:p>
        </w:tc>
        <w:tc>
          <w:tcPr>
            <w:tcW w:w="1063" w:type="dxa"/>
          </w:tcPr>
          <w:p w14:paraId="43CED998" w14:textId="29725DCD" w:rsidR="008B59E5" w:rsidRPr="002F3A26" w:rsidRDefault="008B59E5" w:rsidP="00BA6CBD">
            <w:pPr>
              <w:pStyle w:val="TableParagraph"/>
              <w:ind w:left="170"/>
            </w:pPr>
            <w:r w:rsidRPr="002F3A26">
              <w:t>1.41</w:t>
            </w:r>
            <w:r w:rsidRPr="002F3A26">
              <w:rPr>
                <w:vertAlign w:val="superscript"/>
              </w:rPr>
              <w:t>***</w:t>
            </w:r>
          </w:p>
        </w:tc>
        <w:tc>
          <w:tcPr>
            <w:tcW w:w="1062" w:type="dxa"/>
          </w:tcPr>
          <w:p w14:paraId="717E656C" w14:textId="49ABD02C" w:rsidR="008B59E5" w:rsidRPr="002F3A26" w:rsidRDefault="008B59E5" w:rsidP="00BA6CBD">
            <w:pPr>
              <w:pStyle w:val="TableParagraph"/>
              <w:ind w:left="170"/>
            </w:pPr>
            <w:r w:rsidRPr="002F3A26">
              <w:t>0.62</w:t>
            </w:r>
            <w:r w:rsidRPr="002F3A26">
              <w:rPr>
                <w:vertAlign w:val="superscript"/>
              </w:rPr>
              <w:t>***</w:t>
            </w:r>
          </w:p>
        </w:tc>
        <w:tc>
          <w:tcPr>
            <w:tcW w:w="1062" w:type="dxa"/>
          </w:tcPr>
          <w:p w14:paraId="1905CBD6" w14:textId="33CC5516" w:rsidR="008B59E5" w:rsidRPr="002F3A26" w:rsidRDefault="008B59E5" w:rsidP="00BA6CBD">
            <w:pPr>
              <w:pStyle w:val="TableParagraph"/>
              <w:ind w:left="170"/>
            </w:pPr>
            <w:r w:rsidRPr="002F3A26">
              <w:t>1.63</w:t>
            </w:r>
            <w:r w:rsidRPr="002F3A26">
              <w:rPr>
                <w:vertAlign w:val="superscript"/>
              </w:rPr>
              <w:t>***</w:t>
            </w:r>
          </w:p>
        </w:tc>
        <w:tc>
          <w:tcPr>
            <w:tcW w:w="1062" w:type="dxa"/>
          </w:tcPr>
          <w:p w14:paraId="0010B4E2" w14:textId="092CEAF6" w:rsidR="008B59E5" w:rsidRPr="002F3A26" w:rsidRDefault="008B59E5" w:rsidP="00BA6CBD">
            <w:pPr>
              <w:pStyle w:val="TableParagraph"/>
              <w:ind w:left="170"/>
            </w:pPr>
            <w:r w:rsidRPr="002F3A26">
              <w:t>0.71</w:t>
            </w:r>
            <w:r w:rsidRPr="002F3A26">
              <w:rPr>
                <w:vertAlign w:val="superscript"/>
              </w:rPr>
              <w:t>***</w:t>
            </w:r>
          </w:p>
        </w:tc>
        <w:tc>
          <w:tcPr>
            <w:tcW w:w="1062" w:type="dxa"/>
          </w:tcPr>
          <w:p w14:paraId="1BF7F608" w14:textId="4C09E954" w:rsidR="008B59E5" w:rsidRPr="002F3A26" w:rsidRDefault="008B59E5" w:rsidP="00BA6CBD">
            <w:pPr>
              <w:pStyle w:val="TableParagraph"/>
              <w:ind w:left="170"/>
            </w:pPr>
            <w:r w:rsidRPr="002F3A26">
              <w:t>1.93</w:t>
            </w:r>
            <w:r w:rsidRPr="002F3A26">
              <w:rPr>
                <w:vertAlign w:val="superscript"/>
              </w:rPr>
              <w:t>***</w:t>
            </w:r>
          </w:p>
        </w:tc>
        <w:tc>
          <w:tcPr>
            <w:tcW w:w="1063" w:type="dxa"/>
          </w:tcPr>
          <w:p w14:paraId="12A63FAA" w14:textId="15E7942E" w:rsidR="008B59E5" w:rsidRPr="002F3A26" w:rsidRDefault="008B59E5" w:rsidP="00BA6CBD">
            <w:pPr>
              <w:pStyle w:val="TableParagraph"/>
              <w:ind w:left="170"/>
            </w:pPr>
            <w:r w:rsidRPr="002F3A26">
              <w:t>1.23</w:t>
            </w:r>
            <w:r w:rsidRPr="002F3A26">
              <w:rPr>
                <w:vertAlign w:val="superscript"/>
              </w:rPr>
              <w:t>*</w:t>
            </w:r>
          </w:p>
        </w:tc>
      </w:tr>
      <w:tr w:rsidR="008B59E5" w:rsidRPr="002F3A26" w14:paraId="3637A2A6" w14:textId="77777777" w:rsidTr="00D17B28">
        <w:trPr>
          <w:trHeight w:val="218"/>
        </w:trPr>
        <w:tc>
          <w:tcPr>
            <w:tcW w:w="2264" w:type="dxa"/>
          </w:tcPr>
          <w:p w14:paraId="08B1B12C" w14:textId="1A404975" w:rsidR="008B59E5" w:rsidRPr="002F3A26" w:rsidRDefault="008B59E5" w:rsidP="008B59E5">
            <w:pPr>
              <w:pStyle w:val="TableParagraph"/>
              <w:rPr>
                <w:rFonts w:cs="Arial"/>
              </w:rPr>
            </w:pPr>
            <w:r w:rsidRPr="002F3A26">
              <w:t>Women</w:t>
            </w:r>
          </w:p>
        </w:tc>
        <w:tc>
          <w:tcPr>
            <w:tcW w:w="1062" w:type="dxa"/>
          </w:tcPr>
          <w:p w14:paraId="23E6ACD8" w14:textId="0758B135" w:rsidR="008B59E5" w:rsidRPr="002F3A26" w:rsidRDefault="008B59E5" w:rsidP="00BA6CBD">
            <w:pPr>
              <w:pStyle w:val="TableParagraph"/>
              <w:ind w:left="170"/>
              <w:rPr>
                <w:rFonts w:cs="Arial"/>
              </w:rPr>
            </w:pPr>
            <w:r w:rsidRPr="002F3A26">
              <w:t>0.55</w:t>
            </w:r>
            <w:r w:rsidRPr="002F3A26">
              <w:rPr>
                <w:vertAlign w:val="superscript"/>
              </w:rPr>
              <w:t>***</w:t>
            </w:r>
          </w:p>
        </w:tc>
        <w:tc>
          <w:tcPr>
            <w:tcW w:w="1062" w:type="dxa"/>
          </w:tcPr>
          <w:p w14:paraId="6381955C" w14:textId="500887D7" w:rsidR="008B59E5" w:rsidRPr="002F3A26" w:rsidRDefault="008B59E5" w:rsidP="00BA6CBD">
            <w:pPr>
              <w:pStyle w:val="TableParagraph"/>
              <w:ind w:left="170"/>
              <w:rPr>
                <w:rFonts w:cs="Arial"/>
              </w:rPr>
            </w:pPr>
            <w:r w:rsidRPr="002F3A26">
              <w:t>0.08</w:t>
            </w:r>
            <w:r w:rsidRPr="002F3A26">
              <w:rPr>
                <w:vertAlign w:val="superscript"/>
              </w:rPr>
              <w:t>***</w:t>
            </w:r>
          </w:p>
        </w:tc>
        <w:tc>
          <w:tcPr>
            <w:tcW w:w="1062" w:type="dxa"/>
          </w:tcPr>
          <w:p w14:paraId="7D4BE1C7" w14:textId="0496170F" w:rsidR="008B59E5" w:rsidRPr="002F3A26" w:rsidRDefault="008B59E5" w:rsidP="00BA6CBD">
            <w:pPr>
              <w:pStyle w:val="TableParagraph"/>
              <w:ind w:left="170"/>
              <w:rPr>
                <w:rFonts w:cs="Arial"/>
              </w:rPr>
            </w:pPr>
            <w:r w:rsidRPr="002F3A26">
              <w:t>0.11</w:t>
            </w:r>
            <w:r w:rsidRPr="002F3A26">
              <w:rPr>
                <w:vertAlign w:val="superscript"/>
              </w:rPr>
              <w:t>***</w:t>
            </w:r>
          </w:p>
        </w:tc>
        <w:tc>
          <w:tcPr>
            <w:tcW w:w="1062" w:type="dxa"/>
          </w:tcPr>
          <w:p w14:paraId="63219D0E" w14:textId="3854DAAB" w:rsidR="008B59E5" w:rsidRPr="002F3A26" w:rsidRDefault="008B59E5" w:rsidP="00BA6CBD">
            <w:pPr>
              <w:pStyle w:val="TableParagraph"/>
              <w:ind w:left="170"/>
            </w:pPr>
            <w:r w:rsidRPr="002F3A26">
              <w:t>0.33</w:t>
            </w:r>
            <w:r w:rsidRPr="002F3A26">
              <w:rPr>
                <w:vertAlign w:val="superscript"/>
              </w:rPr>
              <w:t>***</w:t>
            </w:r>
          </w:p>
        </w:tc>
        <w:tc>
          <w:tcPr>
            <w:tcW w:w="1062" w:type="dxa"/>
          </w:tcPr>
          <w:p w14:paraId="1B931567" w14:textId="32F51693" w:rsidR="008B59E5" w:rsidRPr="002F3A26" w:rsidRDefault="008B59E5" w:rsidP="00BA6CBD">
            <w:pPr>
              <w:pStyle w:val="TableParagraph"/>
              <w:ind w:left="170"/>
            </w:pPr>
            <w:r w:rsidRPr="002F3A26">
              <w:t>0.67</w:t>
            </w:r>
            <w:r w:rsidRPr="002F3A26">
              <w:rPr>
                <w:vertAlign w:val="superscript"/>
              </w:rPr>
              <w:t>***</w:t>
            </w:r>
          </w:p>
        </w:tc>
        <w:tc>
          <w:tcPr>
            <w:tcW w:w="1063" w:type="dxa"/>
          </w:tcPr>
          <w:p w14:paraId="74A8D8CC" w14:textId="02471A07" w:rsidR="008B59E5" w:rsidRPr="002F3A26" w:rsidRDefault="008B59E5" w:rsidP="00BA6CBD">
            <w:pPr>
              <w:pStyle w:val="TableParagraph"/>
              <w:ind w:left="170"/>
            </w:pPr>
            <w:r w:rsidRPr="002F3A26">
              <w:t>1.35</w:t>
            </w:r>
            <w:r w:rsidRPr="002F3A26">
              <w:rPr>
                <w:vertAlign w:val="superscript"/>
              </w:rPr>
              <w:t>***</w:t>
            </w:r>
          </w:p>
        </w:tc>
        <w:tc>
          <w:tcPr>
            <w:tcW w:w="1062" w:type="dxa"/>
          </w:tcPr>
          <w:p w14:paraId="0C91F5C9" w14:textId="63536A78" w:rsidR="008B59E5" w:rsidRPr="002F3A26" w:rsidRDefault="008B59E5" w:rsidP="00BA6CBD">
            <w:pPr>
              <w:pStyle w:val="TableParagraph"/>
              <w:ind w:left="170"/>
            </w:pPr>
            <w:r w:rsidRPr="002F3A26">
              <w:t>1.33</w:t>
            </w:r>
            <w:r w:rsidRPr="002F3A26">
              <w:rPr>
                <w:vertAlign w:val="superscript"/>
              </w:rPr>
              <w:t>***</w:t>
            </w:r>
          </w:p>
        </w:tc>
        <w:tc>
          <w:tcPr>
            <w:tcW w:w="1062" w:type="dxa"/>
          </w:tcPr>
          <w:p w14:paraId="568ED43E" w14:textId="4D6D3616" w:rsidR="008B59E5" w:rsidRPr="002F3A26" w:rsidRDefault="008B59E5" w:rsidP="00BA6CBD">
            <w:pPr>
              <w:pStyle w:val="TableParagraph"/>
              <w:ind w:left="170"/>
            </w:pPr>
            <w:r w:rsidRPr="002F3A26">
              <w:t>0.40</w:t>
            </w:r>
            <w:r w:rsidRPr="002F3A26">
              <w:rPr>
                <w:vertAlign w:val="superscript"/>
              </w:rPr>
              <w:t>***</w:t>
            </w:r>
          </w:p>
        </w:tc>
        <w:tc>
          <w:tcPr>
            <w:tcW w:w="1062" w:type="dxa"/>
          </w:tcPr>
          <w:p w14:paraId="539E817F" w14:textId="4D091256" w:rsidR="008B59E5" w:rsidRPr="002F3A26" w:rsidRDefault="008B59E5" w:rsidP="00BA6CBD">
            <w:pPr>
              <w:pStyle w:val="TableParagraph"/>
              <w:ind w:left="170"/>
            </w:pPr>
            <w:r w:rsidRPr="002F3A26">
              <w:t>0.75</w:t>
            </w:r>
            <w:r w:rsidRPr="002F3A26">
              <w:rPr>
                <w:vertAlign w:val="superscript"/>
              </w:rPr>
              <w:t>***</w:t>
            </w:r>
          </w:p>
        </w:tc>
        <w:tc>
          <w:tcPr>
            <w:tcW w:w="1062" w:type="dxa"/>
          </w:tcPr>
          <w:p w14:paraId="02DAB71D" w14:textId="62BB3878" w:rsidR="008B59E5" w:rsidRPr="002F3A26" w:rsidRDefault="008B59E5" w:rsidP="00BA6CBD">
            <w:pPr>
              <w:pStyle w:val="TableParagraph"/>
              <w:ind w:left="170"/>
            </w:pPr>
            <w:r w:rsidRPr="002F3A26">
              <w:t>0.65</w:t>
            </w:r>
            <w:r w:rsidRPr="002F3A26">
              <w:rPr>
                <w:vertAlign w:val="superscript"/>
              </w:rPr>
              <w:t>***</w:t>
            </w:r>
          </w:p>
        </w:tc>
        <w:tc>
          <w:tcPr>
            <w:tcW w:w="1063" w:type="dxa"/>
          </w:tcPr>
          <w:p w14:paraId="1BAF7C13" w14:textId="1302D66C" w:rsidR="008B59E5" w:rsidRPr="002F3A26" w:rsidRDefault="008B59E5" w:rsidP="00BA6CBD">
            <w:pPr>
              <w:pStyle w:val="TableParagraph"/>
              <w:ind w:left="170"/>
            </w:pPr>
            <w:r w:rsidRPr="002F3A26">
              <w:t>0.87</w:t>
            </w:r>
            <w:r w:rsidRPr="002F3A26">
              <w:rPr>
                <w:vertAlign w:val="superscript"/>
              </w:rPr>
              <w:t>***</w:t>
            </w:r>
          </w:p>
        </w:tc>
      </w:tr>
      <w:tr w:rsidR="008B59E5" w:rsidRPr="002F3A26" w14:paraId="3590FDB8" w14:textId="77777777" w:rsidTr="00D17B28">
        <w:trPr>
          <w:trHeight w:val="218"/>
        </w:trPr>
        <w:tc>
          <w:tcPr>
            <w:tcW w:w="2264" w:type="dxa"/>
          </w:tcPr>
          <w:p w14:paraId="0F677833" w14:textId="7ACFB48B" w:rsidR="008B59E5" w:rsidRPr="002F3A26" w:rsidRDefault="008B59E5" w:rsidP="008B59E5">
            <w:pPr>
              <w:pStyle w:val="TableParagraph"/>
              <w:rPr>
                <w:rFonts w:cs="Arial"/>
              </w:rPr>
            </w:pPr>
            <w:r w:rsidRPr="002F3A26">
              <w:t>Disability</w:t>
            </w:r>
          </w:p>
        </w:tc>
        <w:tc>
          <w:tcPr>
            <w:tcW w:w="1062" w:type="dxa"/>
          </w:tcPr>
          <w:p w14:paraId="0F7AF15B" w14:textId="1071D35D" w:rsidR="008B59E5" w:rsidRPr="002F3A26" w:rsidRDefault="008B59E5" w:rsidP="00BA6CBD">
            <w:pPr>
              <w:pStyle w:val="TableParagraph"/>
              <w:ind w:left="170"/>
              <w:rPr>
                <w:rFonts w:cs="Arial"/>
              </w:rPr>
            </w:pPr>
            <w:r w:rsidRPr="002F3A26">
              <w:t>0.81</w:t>
            </w:r>
            <w:r w:rsidRPr="002F3A26">
              <w:rPr>
                <w:vertAlign w:val="superscript"/>
              </w:rPr>
              <w:t>*</w:t>
            </w:r>
          </w:p>
        </w:tc>
        <w:tc>
          <w:tcPr>
            <w:tcW w:w="1062" w:type="dxa"/>
          </w:tcPr>
          <w:p w14:paraId="7A89E5B4" w14:textId="46F09FF4" w:rsidR="008B59E5" w:rsidRPr="002F3A26" w:rsidRDefault="008B59E5" w:rsidP="00BA6CBD">
            <w:pPr>
              <w:pStyle w:val="TableParagraph"/>
              <w:ind w:left="170"/>
              <w:rPr>
                <w:rFonts w:cs="Arial"/>
              </w:rPr>
            </w:pPr>
            <w:r w:rsidRPr="002F3A26">
              <w:t>1.28</w:t>
            </w:r>
            <w:r w:rsidRPr="002F3A26">
              <w:rPr>
                <w:vertAlign w:val="superscript"/>
              </w:rPr>
              <w:t>*</w:t>
            </w:r>
          </w:p>
        </w:tc>
        <w:tc>
          <w:tcPr>
            <w:tcW w:w="1062" w:type="dxa"/>
          </w:tcPr>
          <w:p w14:paraId="173E2CB2" w14:textId="48D433BD" w:rsidR="008B59E5" w:rsidRPr="002F3A26" w:rsidRDefault="008B59E5" w:rsidP="00BA6CBD">
            <w:pPr>
              <w:pStyle w:val="TableParagraph"/>
              <w:ind w:left="170"/>
              <w:rPr>
                <w:rFonts w:cs="Arial"/>
              </w:rPr>
            </w:pPr>
            <w:r w:rsidRPr="002F3A26">
              <w:t>0.54</w:t>
            </w:r>
            <w:r w:rsidRPr="002F3A26">
              <w:rPr>
                <w:vertAlign w:val="superscript"/>
              </w:rPr>
              <w:t>***</w:t>
            </w:r>
          </w:p>
        </w:tc>
        <w:tc>
          <w:tcPr>
            <w:tcW w:w="1062" w:type="dxa"/>
          </w:tcPr>
          <w:p w14:paraId="47455758" w14:textId="7A504DA3" w:rsidR="008B59E5" w:rsidRPr="002F3A26" w:rsidRDefault="008B59E5" w:rsidP="00BA6CBD">
            <w:pPr>
              <w:pStyle w:val="TableParagraph"/>
              <w:ind w:left="170"/>
            </w:pPr>
            <w:r w:rsidRPr="002F3A26">
              <w:t>0.53</w:t>
            </w:r>
            <w:r w:rsidRPr="002F3A26">
              <w:rPr>
                <w:vertAlign w:val="superscript"/>
              </w:rPr>
              <w:t>**</w:t>
            </w:r>
          </w:p>
        </w:tc>
        <w:tc>
          <w:tcPr>
            <w:tcW w:w="1062" w:type="dxa"/>
          </w:tcPr>
          <w:p w14:paraId="4A34AB07" w14:textId="471A1309" w:rsidR="008B59E5" w:rsidRPr="002F3A26" w:rsidRDefault="008B59E5" w:rsidP="00BA6CBD">
            <w:pPr>
              <w:pStyle w:val="TableParagraph"/>
              <w:ind w:left="170"/>
            </w:pPr>
            <w:r w:rsidRPr="002F3A26">
              <w:t>0.62</w:t>
            </w:r>
          </w:p>
        </w:tc>
        <w:tc>
          <w:tcPr>
            <w:tcW w:w="1063" w:type="dxa"/>
          </w:tcPr>
          <w:p w14:paraId="61920023" w14:textId="4DA15AF2" w:rsidR="008B59E5" w:rsidRPr="002F3A26" w:rsidRDefault="008B59E5" w:rsidP="00BA6CBD">
            <w:pPr>
              <w:pStyle w:val="TableParagraph"/>
              <w:ind w:left="170"/>
            </w:pPr>
            <w:r w:rsidRPr="002F3A26">
              <w:t>0.63</w:t>
            </w:r>
            <w:r w:rsidRPr="002F3A26">
              <w:rPr>
                <w:vertAlign w:val="superscript"/>
              </w:rPr>
              <w:t>***</w:t>
            </w:r>
          </w:p>
        </w:tc>
        <w:tc>
          <w:tcPr>
            <w:tcW w:w="1062" w:type="dxa"/>
          </w:tcPr>
          <w:p w14:paraId="391C1B54" w14:textId="7D65C852" w:rsidR="008B59E5" w:rsidRPr="002F3A26" w:rsidRDefault="008B59E5" w:rsidP="00BA6CBD">
            <w:pPr>
              <w:pStyle w:val="TableParagraph"/>
              <w:ind w:left="170"/>
            </w:pPr>
            <w:r w:rsidRPr="002F3A26">
              <w:t>0.63</w:t>
            </w:r>
            <w:r w:rsidRPr="002F3A26">
              <w:rPr>
                <w:vertAlign w:val="superscript"/>
              </w:rPr>
              <w:t>***</w:t>
            </w:r>
          </w:p>
        </w:tc>
        <w:tc>
          <w:tcPr>
            <w:tcW w:w="1062" w:type="dxa"/>
          </w:tcPr>
          <w:p w14:paraId="06512C7A" w14:textId="03240D8C" w:rsidR="008B59E5" w:rsidRPr="002F3A26" w:rsidRDefault="008B59E5" w:rsidP="00BA6CBD">
            <w:pPr>
              <w:pStyle w:val="TableParagraph"/>
              <w:ind w:left="170"/>
            </w:pPr>
            <w:r w:rsidRPr="002F3A26">
              <w:t>0.50</w:t>
            </w:r>
            <w:r w:rsidRPr="002F3A26">
              <w:rPr>
                <w:vertAlign w:val="superscript"/>
              </w:rPr>
              <w:t>***</w:t>
            </w:r>
          </w:p>
        </w:tc>
        <w:tc>
          <w:tcPr>
            <w:tcW w:w="1062" w:type="dxa"/>
          </w:tcPr>
          <w:p w14:paraId="45FA3DE0" w14:textId="73FE26E5" w:rsidR="008B59E5" w:rsidRPr="002F3A26" w:rsidRDefault="008B59E5" w:rsidP="00BA6CBD">
            <w:pPr>
              <w:pStyle w:val="TableParagraph"/>
              <w:ind w:left="170"/>
            </w:pPr>
            <w:r w:rsidRPr="002F3A26">
              <w:t>1.16</w:t>
            </w:r>
          </w:p>
        </w:tc>
        <w:tc>
          <w:tcPr>
            <w:tcW w:w="1062" w:type="dxa"/>
          </w:tcPr>
          <w:p w14:paraId="2C249D5B" w14:textId="10C0EDDF" w:rsidR="008B59E5" w:rsidRPr="002F3A26" w:rsidRDefault="008B59E5" w:rsidP="00BA6CBD">
            <w:pPr>
              <w:pStyle w:val="TableParagraph"/>
              <w:ind w:left="170"/>
            </w:pPr>
            <w:r w:rsidRPr="002F3A26">
              <w:t>0.55</w:t>
            </w:r>
          </w:p>
        </w:tc>
        <w:tc>
          <w:tcPr>
            <w:tcW w:w="1063" w:type="dxa"/>
          </w:tcPr>
          <w:p w14:paraId="13B583E1" w14:textId="3E0F3957" w:rsidR="008B59E5" w:rsidRPr="002F3A26" w:rsidRDefault="008B59E5" w:rsidP="00BA6CBD">
            <w:pPr>
              <w:pStyle w:val="TableParagraph"/>
              <w:ind w:left="170"/>
            </w:pPr>
            <w:r w:rsidRPr="002F3A26">
              <w:t>0.67</w:t>
            </w:r>
          </w:p>
        </w:tc>
      </w:tr>
      <w:tr w:rsidR="008B59E5" w:rsidRPr="002F3A26" w14:paraId="10B5EB12" w14:textId="77777777" w:rsidTr="00D17B28">
        <w:trPr>
          <w:trHeight w:val="218"/>
        </w:trPr>
        <w:tc>
          <w:tcPr>
            <w:tcW w:w="2264" w:type="dxa"/>
          </w:tcPr>
          <w:p w14:paraId="1662516A" w14:textId="0B3E4FA9" w:rsidR="008B59E5" w:rsidRPr="002F3A26" w:rsidRDefault="008B59E5" w:rsidP="008B59E5">
            <w:pPr>
              <w:pStyle w:val="TableParagraph"/>
              <w:rPr>
                <w:rFonts w:cs="Arial"/>
              </w:rPr>
            </w:pPr>
            <w:r w:rsidRPr="002F3A26">
              <w:t>Father: not manager/professional</w:t>
            </w:r>
          </w:p>
        </w:tc>
        <w:tc>
          <w:tcPr>
            <w:tcW w:w="1062" w:type="dxa"/>
          </w:tcPr>
          <w:p w14:paraId="54DA139E" w14:textId="1D58EB10" w:rsidR="008B59E5" w:rsidRPr="002F3A26" w:rsidRDefault="008B59E5" w:rsidP="00BA6CBD">
            <w:pPr>
              <w:pStyle w:val="TableParagraph"/>
              <w:ind w:left="170"/>
              <w:rPr>
                <w:rFonts w:cs="Arial"/>
              </w:rPr>
            </w:pPr>
            <w:r w:rsidRPr="002F3A26">
              <w:t>0.96</w:t>
            </w:r>
          </w:p>
        </w:tc>
        <w:tc>
          <w:tcPr>
            <w:tcW w:w="1062" w:type="dxa"/>
          </w:tcPr>
          <w:p w14:paraId="4D2F7282" w14:textId="36E94EE5" w:rsidR="008B59E5" w:rsidRPr="002F3A26" w:rsidRDefault="008B59E5" w:rsidP="00BA6CBD">
            <w:pPr>
              <w:pStyle w:val="TableParagraph"/>
              <w:ind w:left="170"/>
              <w:rPr>
                <w:rFonts w:cs="Arial"/>
              </w:rPr>
            </w:pPr>
            <w:r w:rsidRPr="002F3A26">
              <w:t>1.09</w:t>
            </w:r>
            <w:r w:rsidRPr="002F3A26">
              <w:rPr>
                <w:vertAlign w:val="superscript"/>
              </w:rPr>
              <w:t>*</w:t>
            </w:r>
          </w:p>
        </w:tc>
        <w:tc>
          <w:tcPr>
            <w:tcW w:w="1062" w:type="dxa"/>
          </w:tcPr>
          <w:p w14:paraId="3048C476" w14:textId="07D5B2E9" w:rsidR="008B59E5" w:rsidRPr="002F3A26" w:rsidRDefault="008B59E5" w:rsidP="00BA6CBD">
            <w:pPr>
              <w:pStyle w:val="TableParagraph"/>
              <w:ind w:left="170"/>
              <w:rPr>
                <w:rFonts w:cs="Arial"/>
              </w:rPr>
            </w:pPr>
            <w:r w:rsidRPr="002F3A26">
              <w:t>1.00</w:t>
            </w:r>
          </w:p>
        </w:tc>
        <w:tc>
          <w:tcPr>
            <w:tcW w:w="1062" w:type="dxa"/>
          </w:tcPr>
          <w:p w14:paraId="72A5B789" w14:textId="48380596" w:rsidR="008B59E5" w:rsidRPr="002F3A26" w:rsidRDefault="008B59E5" w:rsidP="00BA6CBD">
            <w:pPr>
              <w:pStyle w:val="TableParagraph"/>
              <w:ind w:left="170"/>
            </w:pPr>
            <w:r w:rsidRPr="002F3A26">
              <w:t>0.94</w:t>
            </w:r>
          </w:p>
        </w:tc>
        <w:tc>
          <w:tcPr>
            <w:tcW w:w="1062" w:type="dxa"/>
          </w:tcPr>
          <w:p w14:paraId="5A7EE659" w14:textId="7FB243F2" w:rsidR="008B59E5" w:rsidRPr="002F3A26" w:rsidRDefault="008B59E5" w:rsidP="00BA6CBD">
            <w:pPr>
              <w:pStyle w:val="TableParagraph"/>
              <w:ind w:left="170"/>
            </w:pPr>
            <w:r w:rsidRPr="002F3A26">
              <w:t>0.75</w:t>
            </w:r>
            <w:r w:rsidRPr="002F3A26">
              <w:rPr>
                <w:vertAlign w:val="superscript"/>
              </w:rPr>
              <w:t>***</w:t>
            </w:r>
          </w:p>
        </w:tc>
        <w:tc>
          <w:tcPr>
            <w:tcW w:w="1063" w:type="dxa"/>
          </w:tcPr>
          <w:p w14:paraId="5157CD9B" w14:textId="256BB771" w:rsidR="008B59E5" w:rsidRPr="002F3A26" w:rsidRDefault="008B59E5" w:rsidP="00BA6CBD">
            <w:pPr>
              <w:pStyle w:val="TableParagraph"/>
              <w:ind w:left="170"/>
            </w:pPr>
            <w:r w:rsidRPr="002F3A26">
              <w:t>1.12</w:t>
            </w:r>
            <w:r w:rsidRPr="002F3A26">
              <w:rPr>
                <w:vertAlign w:val="superscript"/>
              </w:rPr>
              <w:t>***</w:t>
            </w:r>
          </w:p>
        </w:tc>
        <w:tc>
          <w:tcPr>
            <w:tcW w:w="1062" w:type="dxa"/>
          </w:tcPr>
          <w:p w14:paraId="30779504" w14:textId="510257A3" w:rsidR="008B59E5" w:rsidRPr="002F3A26" w:rsidRDefault="008B59E5" w:rsidP="00BA6CBD">
            <w:pPr>
              <w:pStyle w:val="TableParagraph"/>
              <w:ind w:left="170"/>
            </w:pPr>
            <w:r w:rsidRPr="002F3A26">
              <w:t>1.14</w:t>
            </w:r>
            <w:r w:rsidRPr="002F3A26">
              <w:rPr>
                <w:vertAlign w:val="superscript"/>
              </w:rPr>
              <w:t>***</w:t>
            </w:r>
          </w:p>
        </w:tc>
        <w:tc>
          <w:tcPr>
            <w:tcW w:w="1062" w:type="dxa"/>
          </w:tcPr>
          <w:p w14:paraId="769C8EE5" w14:textId="40A7A891" w:rsidR="008B59E5" w:rsidRPr="002F3A26" w:rsidRDefault="008B59E5" w:rsidP="00BA6CBD">
            <w:pPr>
              <w:pStyle w:val="TableParagraph"/>
              <w:ind w:left="170"/>
            </w:pPr>
            <w:r w:rsidRPr="002F3A26">
              <w:t>0.95</w:t>
            </w:r>
            <w:r w:rsidRPr="002F3A26">
              <w:rPr>
                <w:vertAlign w:val="superscript"/>
              </w:rPr>
              <w:t>*</w:t>
            </w:r>
          </w:p>
        </w:tc>
        <w:tc>
          <w:tcPr>
            <w:tcW w:w="1062" w:type="dxa"/>
          </w:tcPr>
          <w:p w14:paraId="276792A2" w14:textId="62907DA5" w:rsidR="008B59E5" w:rsidRPr="002F3A26" w:rsidRDefault="008B59E5" w:rsidP="00BA6CBD">
            <w:pPr>
              <w:pStyle w:val="TableParagraph"/>
              <w:ind w:left="170"/>
            </w:pPr>
            <w:r w:rsidRPr="002F3A26">
              <w:t>0.92</w:t>
            </w:r>
            <w:r w:rsidRPr="002F3A26">
              <w:rPr>
                <w:vertAlign w:val="superscript"/>
              </w:rPr>
              <w:t>***</w:t>
            </w:r>
          </w:p>
        </w:tc>
        <w:tc>
          <w:tcPr>
            <w:tcW w:w="1062" w:type="dxa"/>
          </w:tcPr>
          <w:p w14:paraId="4B712A8A" w14:textId="5E6CC411" w:rsidR="008B59E5" w:rsidRPr="002F3A26" w:rsidRDefault="008B59E5" w:rsidP="00BA6CBD">
            <w:pPr>
              <w:pStyle w:val="TableParagraph"/>
              <w:ind w:left="170"/>
            </w:pPr>
            <w:r w:rsidRPr="002F3A26">
              <w:t>0.62</w:t>
            </w:r>
            <w:r w:rsidRPr="002F3A26">
              <w:rPr>
                <w:vertAlign w:val="superscript"/>
              </w:rPr>
              <w:t>***</w:t>
            </w:r>
          </w:p>
        </w:tc>
        <w:tc>
          <w:tcPr>
            <w:tcW w:w="1063" w:type="dxa"/>
          </w:tcPr>
          <w:p w14:paraId="4F79DA3B" w14:textId="66C36787" w:rsidR="008B59E5" w:rsidRPr="002F3A26" w:rsidRDefault="008B59E5" w:rsidP="00BA6CBD">
            <w:pPr>
              <w:pStyle w:val="TableParagraph"/>
              <w:ind w:left="170"/>
            </w:pPr>
            <w:r w:rsidRPr="002F3A26">
              <w:t>0.87</w:t>
            </w:r>
            <w:r w:rsidRPr="002F3A26">
              <w:rPr>
                <w:vertAlign w:val="superscript"/>
              </w:rPr>
              <w:t>***</w:t>
            </w:r>
          </w:p>
        </w:tc>
      </w:tr>
      <w:tr w:rsidR="008B59E5" w:rsidRPr="002F3A26" w14:paraId="39240651" w14:textId="77777777" w:rsidTr="00D17B28">
        <w:trPr>
          <w:trHeight w:val="218"/>
        </w:trPr>
        <w:tc>
          <w:tcPr>
            <w:tcW w:w="2264" w:type="dxa"/>
          </w:tcPr>
          <w:p w14:paraId="2E07B8A7" w14:textId="6149DB62" w:rsidR="008B59E5" w:rsidRPr="002F3A26" w:rsidRDefault="008B59E5" w:rsidP="008B59E5">
            <w:pPr>
              <w:pStyle w:val="TableParagraph"/>
              <w:rPr>
                <w:rFonts w:cs="Arial"/>
              </w:rPr>
            </w:pPr>
            <w:r w:rsidRPr="002F3A26">
              <w:t>Mother: not manager/professional</w:t>
            </w:r>
          </w:p>
        </w:tc>
        <w:tc>
          <w:tcPr>
            <w:tcW w:w="1062" w:type="dxa"/>
          </w:tcPr>
          <w:p w14:paraId="7943B176" w14:textId="3AD7FFF4" w:rsidR="008B59E5" w:rsidRPr="002F3A26" w:rsidRDefault="008B59E5" w:rsidP="00BA6CBD">
            <w:pPr>
              <w:pStyle w:val="TableParagraph"/>
              <w:ind w:left="170"/>
              <w:rPr>
                <w:rFonts w:cs="Arial"/>
              </w:rPr>
            </w:pPr>
            <w:r w:rsidRPr="002F3A26">
              <w:t>1.10</w:t>
            </w:r>
            <w:r w:rsidRPr="002F3A26">
              <w:rPr>
                <w:vertAlign w:val="superscript"/>
              </w:rPr>
              <w:t>***</w:t>
            </w:r>
          </w:p>
        </w:tc>
        <w:tc>
          <w:tcPr>
            <w:tcW w:w="1062" w:type="dxa"/>
          </w:tcPr>
          <w:p w14:paraId="34FBF10E" w14:textId="3EFC2A18" w:rsidR="008B59E5" w:rsidRPr="002F3A26" w:rsidRDefault="008B59E5" w:rsidP="00BA6CBD">
            <w:pPr>
              <w:pStyle w:val="TableParagraph"/>
              <w:ind w:left="170"/>
              <w:rPr>
                <w:rFonts w:cs="Arial"/>
              </w:rPr>
            </w:pPr>
            <w:r w:rsidRPr="002F3A26">
              <w:t>1.29</w:t>
            </w:r>
            <w:r w:rsidRPr="002F3A26">
              <w:rPr>
                <w:vertAlign w:val="superscript"/>
              </w:rPr>
              <w:t>***</w:t>
            </w:r>
          </w:p>
        </w:tc>
        <w:tc>
          <w:tcPr>
            <w:tcW w:w="1062" w:type="dxa"/>
          </w:tcPr>
          <w:p w14:paraId="405B8339" w14:textId="57D28EEE" w:rsidR="008B59E5" w:rsidRPr="002F3A26" w:rsidRDefault="008B59E5" w:rsidP="00BA6CBD">
            <w:pPr>
              <w:pStyle w:val="TableParagraph"/>
              <w:ind w:left="170"/>
              <w:rPr>
                <w:rFonts w:cs="Arial"/>
              </w:rPr>
            </w:pPr>
            <w:r w:rsidRPr="002F3A26">
              <w:t>1.14</w:t>
            </w:r>
            <w:r w:rsidRPr="002F3A26">
              <w:rPr>
                <w:vertAlign w:val="superscript"/>
              </w:rPr>
              <w:t>***</w:t>
            </w:r>
          </w:p>
        </w:tc>
        <w:tc>
          <w:tcPr>
            <w:tcW w:w="1062" w:type="dxa"/>
          </w:tcPr>
          <w:p w14:paraId="11C5F315" w14:textId="07529AD7" w:rsidR="008B59E5" w:rsidRPr="002F3A26" w:rsidRDefault="008B59E5" w:rsidP="00BA6CBD">
            <w:pPr>
              <w:pStyle w:val="TableParagraph"/>
              <w:ind w:left="170"/>
            </w:pPr>
            <w:r w:rsidRPr="002F3A26">
              <w:t>1.09</w:t>
            </w:r>
            <w:r w:rsidRPr="002F3A26">
              <w:rPr>
                <w:vertAlign w:val="superscript"/>
              </w:rPr>
              <w:t>**</w:t>
            </w:r>
          </w:p>
        </w:tc>
        <w:tc>
          <w:tcPr>
            <w:tcW w:w="1062" w:type="dxa"/>
          </w:tcPr>
          <w:p w14:paraId="720B2A24" w14:textId="4692F26C" w:rsidR="008B59E5" w:rsidRPr="002F3A26" w:rsidRDefault="008B59E5" w:rsidP="00BA6CBD">
            <w:pPr>
              <w:pStyle w:val="TableParagraph"/>
              <w:ind w:left="170"/>
            </w:pPr>
            <w:r w:rsidRPr="002F3A26">
              <w:t>0.81</w:t>
            </w:r>
            <w:r w:rsidRPr="002F3A26">
              <w:rPr>
                <w:vertAlign w:val="superscript"/>
              </w:rPr>
              <w:t>***</w:t>
            </w:r>
          </w:p>
        </w:tc>
        <w:tc>
          <w:tcPr>
            <w:tcW w:w="1063" w:type="dxa"/>
          </w:tcPr>
          <w:p w14:paraId="315CAC27" w14:textId="37F631D5" w:rsidR="008B59E5" w:rsidRPr="002F3A26" w:rsidRDefault="008B59E5" w:rsidP="00BA6CBD">
            <w:pPr>
              <w:pStyle w:val="TableParagraph"/>
              <w:ind w:left="170"/>
            </w:pPr>
            <w:r w:rsidRPr="002F3A26">
              <w:t>1.05</w:t>
            </w:r>
            <w:r w:rsidRPr="002F3A26">
              <w:rPr>
                <w:vertAlign w:val="superscript"/>
              </w:rPr>
              <w:t>**</w:t>
            </w:r>
          </w:p>
        </w:tc>
        <w:tc>
          <w:tcPr>
            <w:tcW w:w="1062" w:type="dxa"/>
          </w:tcPr>
          <w:p w14:paraId="4B451E6C" w14:textId="623B3290" w:rsidR="008B59E5" w:rsidRPr="002F3A26" w:rsidRDefault="008B59E5" w:rsidP="00BA6CBD">
            <w:pPr>
              <w:pStyle w:val="TableParagraph"/>
              <w:ind w:left="170"/>
            </w:pPr>
            <w:r w:rsidRPr="002F3A26">
              <w:t>0.99</w:t>
            </w:r>
          </w:p>
        </w:tc>
        <w:tc>
          <w:tcPr>
            <w:tcW w:w="1062" w:type="dxa"/>
          </w:tcPr>
          <w:p w14:paraId="35ACEF4D" w14:textId="39FE6BC8" w:rsidR="008B59E5" w:rsidRPr="002F3A26" w:rsidRDefault="008B59E5" w:rsidP="00BA6CBD">
            <w:pPr>
              <w:pStyle w:val="TableParagraph"/>
              <w:ind w:left="170"/>
            </w:pPr>
            <w:r w:rsidRPr="002F3A26">
              <w:t>1.19</w:t>
            </w:r>
            <w:r w:rsidRPr="002F3A26">
              <w:rPr>
                <w:vertAlign w:val="superscript"/>
              </w:rPr>
              <w:t>***</w:t>
            </w:r>
          </w:p>
        </w:tc>
        <w:tc>
          <w:tcPr>
            <w:tcW w:w="1062" w:type="dxa"/>
          </w:tcPr>
          <w:p w14:paraId="301D8777" w14:textId="6C03B400" w:rsidR="008B59E5" w:rsidRPr="002F3A26" w:rsidRDefault="008B59E5" w:rsidP="00BA6CBD">
            <w:pPr>
              <w:pStyle w:val="TableParagraph"/>
              <w:ind w:left="170"/>
            </w:pPr>
            <w:r w:rsidRPr="002F3A26">
              <w:t>1.00</w:t>
            </w:r>
          </w:p>
        </w:tc>
        <w:tc>
          <w:tcPr>
            <w:tcW w:w="1062" w:type="dxa"/>
          </w:tcPr>
          <w:p w14:paraId="77E2AF94" w14:textId="31440B8A" w:rsidR="008B59E5" w:rsidRPr="002F3A26" w:rsidRDefault="008B59E5" w:rsidP="00BA6CBD">
            <w:pPr>
              <w:pStyle w:val="TableParagraph"/>
              <w:ind w:left="170"/>
            </w:pPr>
            <w:r w:rsidRPr="002F3A26">
              <w:t>0.87</w:t>
            </w:r>
            <w:r w:rsidRPr="002F3A26">
              <w:rPr>
                <w:vertAlign w:val="superscript"/>
              </w:rPr>
              <w:t>*</w:t>
            </w:r>
          </w:p>
        </w:tc>
        <w:tc>
          <w:tcPr>
            <w:tcW w:w="1063" w:type="dxa"/>
          </w:tcPr>
          <w:p w14:paraId="4E76A851" w14:textId="0D2A1056" w:rsidR="008B59E5" w:rsidRPr="002F3A26" w:rsidRDefault="008B59E5" w:rsidP="00BA6CBD">
            <w:pPr>
              <w:pStyle w:val="TableParagraph"/>
              <w:ind w:left="170"/>
            </w:pPr>
            <w:r w:rsidRPr="002F3A26">
              <w:t>0.98</w:t>
            </w:r>
          </w:p>
        </w:tc>
      </w:tr>
      <w:tr w:rsidR="008B59E5" w:rsidRPr="002F3A26" w14:paraId="0FCB5373" w14:textId="77777777" w:rsidTr="00D17B28">
        <w:trPr>
          <w:trHeight w:val="218"/>
        </w:trPr>
        <w:tc>
          <w:tcPr>
            <w:tcW w:w="2264" w:type="dxa"/>
          </w:tcPr>
          <w:p w14:paraId="36131191" w14:textId="5965759E" w:rsidR="008B59E5" w:rsidRPr="002F3A26" w:rsidRDefault="008B59E5" w:rsidP="008B59E5">
            <w:pPr>
              <w:pStyle w:val="TableParagraph"/>
              <w:rPr>
                <w:rFonts w:cs="Arial"/>
              </w:rPr>
            </w:pPr>
            <w:r w:rsidRPr="002F3A26">
              <w:t>Single parent</w:t>
            </w:r>
          </w:p>
        </w:tc>
        <w:tc>
          <w:tcPr>
            <w:tcW w:w="1062" w:type="dxa"/>
          </w:tcPr>
          <w:p w14:paraId="1495ADBD" w14:textId="239DB1D3" w:rsidR="008B59E5" w:rsidRPr="002F3A26" w:rsidRDefault="008B59E5" w:rsidP="00BA6CBD">
            <w:pPr>
              <w:pStyle w:val="TableParagraph"/>
              <w:ind w:left="170"/>
              <w:rPr>
                <w:rFonts w:cs="Arial"/>
              </w:rPr>
            </w:pPr>
            <w:r w:rsidRPr="002F3A26">
              <w:t>0.78</w:t>
            </w:r>
            <w:r w:rsidRPr="002F3A26">
              <w:rPr>
                <w:vertAlign w:val="superscript"/>
              </w:rPr>
              <w:t>***</w:t>
            </w:r>
          </w:p>
        </w:tc>
        <w:tc>
          <w:tcPr>
            <w:tcW w:w="1062" w:type="dxa"/>
          </w:tcPr>
          <w:p w14:paraId="4D36D8C4" w14:textId="7FF9E4FA" w:rsidR="008B59E5" w:rsidRPr="002F3A26" w:rsidRDefault="008B59E5" w:rsidP="00BA6CBD">
            <w:pPr>
              <w:pStyle w:val="TableParagraph"/>
              <w:ind w:left="170"/>
              <w:rPr>
                <w:rFonts w:cs="Arial"/>
              </w:rPr>
            </w:pPr>
            <w:r w:rsidRPr="002F3A26">
              <w:t>0.75</w:t>
            </w:r>
            <w:r w:rsidRPr="002F3A26">
              <w:rPr>
                <w:vertAlign w:val="superscript"/>
              </w:rPr>
              <w:t>***</w:t>
            </w:r>
          </w:p>
        </w:tc>
        <w:tc>
          <w:tcPr>
            <w:tcW w:w="1062" w:type="dxa"/>
          </w:tcPr>
          <w:p w14:paraId="4C26BE61" w14:textId="0C3F11D4" w:rsidR="008B59E5" w:rsidRPr="002F3A26" w:rsidRDefault="008B59E5" w:rsidP="00BA6CBD">
            <w:pPr>
              <w:pStyle w:val="TableParagraph"/>
              <w:ind w:left="170"/>
              <w:rPr>
                <w:rFonts w:cs="Arial"/>
              </w:rPr>
            </w:pPr>
            <w:r w:rsidRPr="002F3A26">
              <w:t>0.69</w:t>
            </w:r>
            <w:r w:rsidRPr="002F3A26">
              <w:rPr>
                <w:vertAlign w:val="superscript"/>
              </w:rPr>
              <w:t>***</w:t>
            </w:r>
          </w:p>
        </w:tc>
        <w:tc>
          <w:tcPr>
            <w:tcW w:w="1062" w:type="dxa"/>
          </w:tcPr>
          <w:p w14:paraId="05626DA7" w14:textId="731CA26E" w:rsidR="008B59E5" w:rsidRPr="002F3A26" w:rsidRDefault="008B59E5" w:rsidP="00BA6CBD">
            <w:pPr>
              <w:pStyle w:val="TableParagraph"/>
              <w:ind w:left="170"/>
            </w:pPr>
            <w:r w:rsidRPr="002F3A26">
              <w:t>0.66</w:t>
            </w:r>
            <w:r w:rsidRPr="002F3A26">
              <w:rPr>
                <w:vertAlign w:val="superscript"/>
              </w:rPr>
              <w:t>***</w:t>
            </w:r>
          </w:p>
        </w:tc>
        <w:tc>
          <w:tcPr>
            <w:tcW w:w="1062" w:type="dxa"/>
          </w:tcPr>
          <w:p w14:paraId="2C154E0D" w14:textId="36C24C64" w:rsidR="008B59E5" w:rsidRPr="002F3A26" w:rsidRDefault="008B59E5" w:rsidP="00BA6CBD">
            <w:pPr>
              <w:pStyle w:val="TableParagraph"/>
              <w:ind w:left="170"/>
            </w:pPr>
            <w:r w:rsidRPr="002F3A26">
              <w:t>0.95</w:t>
            </w:r>
          </w:p>
        </w:tc>
        <w:tc>
          <w:tcPr>
            <w:tcW w:w="1063" w:type="dxa"/>
          </w:tcPr>
          <w:p w14:paraId="48600CE8" w14:textId="37AF6F0C" w:rsidR="008B59E5" w:rsidRPr="002F3A26" w:rsidRDefault="008B59E5" w:rsidP="00BA6CBD">
            <w:pPr>
              <w:pStyle w:val="TableParagraph"/>
              <w:ind w:left="170"/>
            </w:pPr>
            <w:r w:rsidRPr="002F3A26">
              <w:t>0.73</w:t>
            </w:r>
            <w:r w:rsidRPr="002F3A26">
              <w:rPr>
                <w:vertAlign w:val="superscript"/>
              </w:rPr>
              <w:t>***</w:t>
            </w:r>
          </w:p>
        </w:tc>
        <w:tc>
          <w:tcPr>
            <w:tcW w:w="1062" w:type="dxa"/>
          </w:tcPr>
          <w:p w14:paraId="27DC055C" w14:textId="2AE14985" w:rsidR="008B59E5" w:rsidRPr="002F3A26" w:rsidRDefault="008B59E5" w:rsidP="00BA6CBD">
            <w:pPr>
              <w:pStyle w:val="TableParagraph"/>
              <w:ind w:left="170"/>
            </w:pPr>
            <w:r w:rsidRPr="002F3A26">
              <w:t>0.72</w:t>
            </w:r>
            <w:r w:rsidRPr="002F3A26">
              <w:rPr>
                <w:vertAlign w:val="superscript"/>
              </w:rPr>
              <w:t>***</w:t>
            </w:r>
          </w:p>
        </w:tc>
        <w:tc>
          <w:tcPr>
            <w:tcW w:w="1062" w:type="dxa"/>
          </w:tcPr>
          <w:p w14:paraId="3EC67589" w14:textId="461A043B" w:rsidR="008B59E5" w:rsidRPr="002F3A26" w:rsidRDefault="008B59E5" w:rsidP="00BA6CBD">
            <w:pPr>
              <w:pStyle w:val="TableParagraph"/>
              <w:ind w:left="170"/>
            </w:pPr>
            <w:r w:rsidRPr="002F3A26">
              <w:t>0.84</w:t>
            </w:r>
            <w:r w:rsidRPr="002F3A26">
              <w:rPr>
                <w:vertAlign w:val="superscript"/>
              </w:rPr>
              <w:t>***</w:t>
            </w:r>
          </w:p>
        </w:tc>
        <w:tc>
          <w:tcPr>
            <w:tcW w:w="1062" w:type="dxa"/>
          </w:tcPr>
          <w:p w14:paraId="032554A0" w14:textId="4DB90376" w:rsidR="008B59E5" w:rsidRPr="002F3A26" w:rsidRDefault="008B59E5" w:rsidP="00BA6CBD">
            <w:pPr>
              <w:pStyle w:val="TableParagraph"/>
              <w:ind w:left="170"/>
            </w:pPr>
            <w:r w:rsidRPr="002F3A26">
              <w:t>0.98</w:t>
            </w:r>
          </w:p>
        </w:tc>
        <w:tc>
          <w:tcPr>
            <w:tcW w:w="1062" w:type="dxa"/>
          </w:tcPr>
          <w:p w14:paraId="4A2C2C5B" w14:textId="572BFCF6" w:rsidR="008B59E5" w:rsidRPr="002F3A26" w:rsidRDefault="008B59E5" w:rsidP="00BA6CBD">
            <w:pPr>
              <w:pStyle w:val="TableParagraph"/>
              <w:ind w:left="170"/>
            </w:pPr>
            <w:r w:rsidRPr="002F3A26">
              <w:t>0.68</w:t>
            </w:r>
            <w:r w:rsidRPr="002F3A26">
              <w:rPr>
                <w:vertAlign w:val="superscript"/>
              </w:rPr>
              <w:t>***</w:t>
            </w:r>
          </w:p>
        </w:tc>
        <w:tc>
          <w:tcPr>
            <w:tcW w:w="1063" w:type="dxa"/>
          </w:tcPr>
          <w:p w14:paraId="1BAE7BAD" w14:textId="4C5614C1" w:rsidR="008B59E5" w:rsidRPr="002F3A26" w:rsidRDefault="008B59E5" w:rsidP="00BA6CBD">
            <w:pPr>
              <w:pStyle w:val="TableParagraph"/>
              <w:ind w:left="170"/>
            </w:pPr>
            <w:r w:rsidRPr="002F3A26">
              <w:t>1.05</w:t>
            </w:r>
          </w:p>
        </w:tc>
      </w:tr>
      <w:tr w:rsidR="008B59E5" w:rsidRPr="002F3A26" w14:paraId="093B8E24" w14:textId="77777777" w:rsidTr="00D17B28">
        <w:trPr>
          <w:trHeight w:val="218"/>
        </w:trPr>
        <w:tc>
          <w:tcPr>
            <w:tcW w:w="2264" w:type="dxa"/>
          </w:tcPr>
          <w:p w14:paraId="5B5D2CD7" w14:textId="245E17F9" w:rsidR="008B59E5" w:rsidRPr="002F3A26" w:rsidRDefault="008B59E5" w:rsidP="008B59E5">
            <w:pPr>
              <w:pStyle w:val="TableParagraph"/>
            </w:pPr>
            <w:r w:rsidRPr="002F3A26">
              <w:t>Family income (ref. $3,000 or more)</w:t>
            </w:r>
          </w:p>
        </w:tc>
        <w:tc>
          <w:tcPr>
            <w:tcW w:w="1062" w:type="dxa"/>
          </w:tcPr>
          <w:p w14:paraId="208E1AE9" w14:textId="77777777" w:rsidR="008B59E5" w:rsidRPr="002F3A26" w:rsidRDefault="008B59E5" w:rsidP="00BA6CBD">
            <w:pPr>
              <w:pStyle w:val="TableParagraph"/>
              <w:ind w:left="170"/>
            </w:pPr>
          </w:p>
        </w:tc>
        <w:tc>
          <w:tcPr>
            <w:tcW w:w="1062" w:type="dxa"/>
          </w:tcPr>
          <w:p w14:paraId="06AB1837" w14:textId="77777777" w:rsidR="008B59E5" w:rsidRPr="002F3A26" w:rsidRDefault="008B59E5" w:rsidP="00BA6CBD">
            <w:pPr>
              <w:pStyle w:val="TableParagraph"/>
              <w:ind w:left="170"/>
            </w:pPr>
          </w:p>
        </w:tc>
        <w:tc>
          <w:tcPr>
            <w:tcW w:w="1062" w:type="dxa"/>
          </w:tcPr>
          <w:p w14:paraId="6CCCB8F7" w14:textId="77777777" w:rsidR="008B59E5" w:rsidRPr="002F3A26" w:rsidRDefault="008B59E5" w:rsidP="00BA6CBD">
            <w:pPr>
              <w:pStyle w:val="TableParagraph"/>
              <w:ind w:left="170"/>
            </w:pPr>
          </w:p>
        </w:tc>
        <w:tc>
          <w:tcPr>
            <w:tcW w:w="1062" w:type="dxa"/>
          </w:tcPr>
          <w:p w14:paraId="04E0C469" w14:textId="77777777" w:rsidR="008B59E5" w:rsidRPr="002F3A26" w:rsidRDefault="008B59E5" w:rsidP="00BA6CBD">
            <w:pPr>
              <w:pStyle w:val="TableParagraph"/>
              <w:ind w:left="170"/>
            </w:pPr>
          </w:p>
        </w:tc>
        <w:tc>
          <w:tcPr>
            <w:tcW w:w="1062" w:type="dxa"/>
          </w:tcPr>
          <w:p w14:paraId="3DDB9A2E" w14:textId="77777777" w:rsidR="008B59E5" w:rsidRPr="002F3A26" w:rsidRDefault="008B59E5" w:rsidP="00BA6CBD">
            <w:pPr>
              <w:pStyle w:val="TableParagraph"/>
              <w:ind w:left="170"/>
            </w:pPr>
          </w:p>
        </w:tc>
        <w:tc>
          <w:tcPr>
            <w:tcW w:w="1063" w:type="dxa"/>
          </w:tcPr>
          <w:p w14:paraId="2CB6ACBB" w14:textId="77777777" w:rsidR="008B59E5" w:rsidRPr="002F3A26" w:rsidRDefault="008B59E5" w:rsidP="00BA6CBD">
            <w:pPr>
              <w:pStyle w:val="TableParagraph"/>
              <w:ind w:left="170"/>
            </w:pPr>
          </w:p>
        </w:tc>
        <w:tc>
          <w:tcPr>
            <w:tcW w:w="1062" w:type="dxa"/>
          </w:tcPr>
          <w:p w14:paraId="770D497D" w14:textId="77777777" w:rsidR="008B59E5" w:rsidRPr="002F3A26" w:rsidRDefault="008B59E5" w:rsidP="00BA6CBD">
            <w:pPr>
              <w:pStyle w:val="TableParagraph"/>
              <w:ind w:left="170"/>
            </w:pPr>
          </w:p>
        </w:tc>
        <w:tc>
          <w:tcPr>
            <w:tcW w:w="1062" w:type="dxa"/>
          </w:tcPr>
          <w:p w14:paraId="53C92C28" w14:textId="77777777" w:rsidR="008B59E5" w:rsidRPr="002F3A26" w:rsidRDefault="008B59E5" w:rsidP="00BA6CBD">
            <w:pPr>
              <w:pStyle w:val="TableParagraph"/>
              <w:ind w:left="170"/>
            </w:pPr>
          </w:p>
        </w:tc>
        <w:tc>
          <w:tcPr>
            <w:tcW w:w="1062" w:type="dxa"/>
          </w:tcPr>
          <w:p w14:paraId="67AFDC03" w14:textId="77777777" w:rsidR="008B59E5" w:rsidRPr="002F3A26" w:rsidRDefault="008B59E5" w:rsidP="00BA6CBD">
            <w:pPr>
              <w:pStyle w:val="TableParagraph"/>
              <w:ind w:left="170"/>
            </w:pPr>
          </w:p>
        </w:tc>
        <w:tc>
          <w:tcPr>
            <w:tcW w:w="1062" w:type="dxa"/>
          </w:tcPr>
          <w:p w14:paraId="609844FE" w14:textId="77777777" w:rsidR="008B59E5" w:rsidRPr="002F3A26" w:rsidRDefault="008B59E5" w:rsidP="00BA6CBD">
            <w:pPr>
              <w:pStyle w:val="TableParagraph"/>
              <w:ind w:left="170"/>
            </w:pPr>
          </w:p>
        </w:tc>
        <w:tc>
          <w:tcPr>
            <w:tcW w:w="1063" w:type="dxa"/>
          </w:tcPr>
          <w:p w14:paraId="4C9B9F50" w14:textId="77777777" w:rsidR="008B59E5" w:rsidRPr="002F3A26" w:rsidRDefault="008B59E5" w:rsidP="00BA6CBD">
            <w:pPr>
              <w:pStyle w:val="TableParagraph"/>
              <w:ind w:left="170"/>
            </w:pPr>
          </w:p>
        </w:tc>
      </w:tr>
      <w:tr w:rsidR="008B59E5" w:rsidRPr="002F3A26" w14:paraId="2D2C7F97" w14:textId="77777777" w:rsidTr="00D17B28">
        <w:trPr>
          <w:trHeight w:val="218"/>
        </w:trPr>
        <w:tc>
          <w:tcPr>
            <w:tcW w:w="2264" w:type="dxa"/>
          </w:tcPr>
          <w:p w14:paraId="064D0DB7" w14:textId="1C03EACF" w:rsidR="008B59E5" w:rsidRPr="002F3A26" w:rsidRDefault="008B59E5" w:rsidP="008B59E5">
            <w:pPr>
              <w:pStyle w:val="TableParagraph"/>
              <w:rPr>
                <w:rFonts w:cs="Arial"/>
              </w:rPr>
            </w:pPr>
            <w:r w:rsidRPr="002F3A26">
              <w:t>$1,249 or less</w:t>
            </w:r>
          </w:p>
        </w:tc>
        <w:tc>
          <w:tcPr>
            <w:tcW w:w="1062" w:type="dxa"/>
          </w:tcPr>
          <w:p w14:paraId="5513DC07" w14:textId="03F98D55" w:rsidR="008B59E5" w:rsidRPr="002F3A26" w:rsidRDefault="008B59E5" w:rsidP="00BA6CBD">
            <w:pPr>
              <w:pStyle w:val="TableParagraph"/>
              <w:ind w:left="170"/>
              <w:rPr>
                <w:rFonts w:cs="Arial"/>
              </w:rPr>
            </w:pPr>
            <w:r w:rsidRPr="002F3A26">
              <w:t>1.22</w:t>
            </w:r>
            <w:r w:rsidRPr="002F3A26">
              <w:rPr>
                <w:vertAlign w:val="superscript"/>
              </w:rPr>
              <w:t>***</w:t>
            </w:r>
          </w:p>
        </w:tc>
        <w:tc>
          <w:tcPr>
            <w:tcW w:w="1062" w:type="dxa"/>
          </w:tcPr>
          <w:p w14:paraId="75ECDB5F" w14:textId="49CA10AD" w:rsidR="008B59E5" w:rsidRPr="002F3A26" w:rsidRDefault="008B59E5" w:rsidP="00BA6CBD">
            <w:pPr>
              <w:pStyle w:val="TableParagraph"/>
              <w:ind w:left="170"/>
              <w:rPr>
                <w:rFonts w:cs="Arial"/>
              </w:rPr>
            </w:pPr>
            <w:r w:rsidRPr="002F3A26">
              <w:t>1.42</w:t>
            </w:r>
            <w:r w:rsidRPr="002F3A26">
              <w:rPr>
                <w:vertAlign w:val="superscript"/>
              </w:rPr>
              <w:t>***</w:t>
            </w:r>
          </w:p>
        </w:tc>
        <w:tc>
          <w:tcPr>
            <w:tcW w:w="1062" w:type="dxa"/>
          </w:tcPr>
          <w:p w14:paraId="1AA8BBC2" w14:textId="49C99092" w:rsidR="008B59E5" w:rsidRPr="002F3A26" w:rsidRDefault="008B59E5" w:rsidP="00BA6CBD">
            <w:pPr>
              <w:pStyle w:val="TableParagraph"/>
              <w:ind w:left="170"/>
              <w:rPr>
                <w:rFonts w:cs="Arial"/>
              </w:rPr>
            </w:pPr>
            <w:r w:rsidRPr="002F3A26">
              <w:t>1.10</w:t>
            </w:r>
            <w:r w:rsidRPr="002F3A26">
              <w:rPr>
                <w:vertAlign w:val="superscript"/>
              </w:rPr>
              <w:t>*</w:t>
            </w:r>
          </w:p>
        </w:tc>
        <w:tc>
          <w:tcPr>
            <w:tcW w:w="1062" w:type="dxa"/>
          </w:tcPr>
          <w:p w14:paraId="5637B8B3" w14:textId="4E2ADDB3" w:rsidR="008B59E5" w:rsidRPr="002F3A26" w:rsidRDefault="008B59E5" w:rsidP="00BA6CBD">
            <w:pPr>
              <w:pStyle w:val="TableParagraph"/>
              <w:ind w:left="170"/>
            </w:pPr>
            <w:r w:rsidRPr="002F3A26">
              <w:t>1.12</w:t>
            </w:r>
            <w:r w:rsidRPr="002F3A26">
              <w:rPr>
                <w:vertAlign w:val="superscript"/>
              </w:rPr>
              <w:t>*</w:t>
            </w:r>
          </w:p>
        </w:tc>
        <w:tc>
          <w:tcPr>
            <w:tcW w:w="1062" w:type="dxa"/>
          </w:tcPr>
          <w:p w14:paraId="32B57FD9" w14:textId="47656F7D" w:rsidR="008B59E5" w:rsidRPr="002F3A26" w:rsidRDefault="008B59E5" w:rsidP="00BA6CBD">
            <w:pPr>
              <w:pStyle w:val="TableParagraph"/>
              <w:ind w:left="170"/>
            </w:pPr>
            <w:r w:rsidRPr="002F3A26">
              <w:t>1.01</w:t>
            </w:r>
          </w:p>
        </w:tc>
        <w:tc>
          <w:tcPr>
            <w:tcW w:w="1063" w:type="dxa"/>
          </w:tcPr>
          <w:p w14:paraId="77F672FB" w14:textId="67B4F763" w:rsidR="008B59E5" w:rsidRPr="002F3A26" w:rsidRDefault="008B59E5" w:rsidP="00BA6CBD">
            <w:pPr>
              <w:pStyle w:val="TableParagraph"/>
              <w:ind w:left="170"/>
            </w:pPr>
            <w:r w:rsidRPr="002F3A26">
              <w:t>0.90</w:t>
            </w:r>
            <w:r w:rsidRPr="002F3A26">
              <w:rPr>
                <w:vertAlign w:val="superscript"/>
              </w:rPr>
              <w:t>***</w:t>
            </w:r>
          </w:p>
        </w:tc>
        <w:tc>
          <w:tcPr>
            <w:tcW w:w="1062" w:type="dxa"/>
          </w:tcPr>
          <w:p w14:paraId="44A60E81" w14:textId="62B61AB6" w:rsidR="008B59E5" w:rsidRPr="002F3A26" w:rsidRDefault="008B59E5" w:rsidP="00BA6CBD">
            <w:pPr>
              <w:pStyle w:val="TableParagraph"/>
              <w:ind w:left="170"/>
            </w:pPr>
            <w:r w:rsidRPr="002F3A26">
              <w:t>0.89</w:t>
            </w:r>
            <w:r w:rsidRPr="002F3A26">
              <w:rPr>
                <w:vertAlign w:val="superscript"/>
              </w:rPr>
              <w:t>**</w:t>
            </w:r>
          </w:p>
        </w:tc>
        <w:tc>
          <w:tcPr>
            <w:tcW w:w="1062" w:type="dxa"/>
          </w:tcPr>
          <w:p w14:paraId="3187465A" w14:textId="46D2E6EF" w:rsidR="008B59E5" w:rsidRPr="002F3A26" w:rsidRDefault="008B59E5" w:rsidP="00BA6CBD">
            <w:pPr>
              <w:pStyle w:val="TableParagraph"/>
              <w:ind w:left="170"/>
            </w:pPr>
            <w:r w:rsidRPr="002F3A26">
              <w:t>0.92</w:t>
            </w:r>
            <w:r w:rsidRPr="002F3A26">
              <w:rPr>
                <w:vertAlign w:val="superscript"/>
              </w:rPr>
              <w:t>**</w:t>
            </w:r>
          </w:p>
        </w:tc>
        <w:tc>
          <w:tcPr>
            <w:tcW w:w="1062" w:type="dxa"/>
          </w:tcPr>
          <w:p w14:paraId="571B7BCC" w14:textId="3EF1CC28" w:rsidR="008B59E5" w:rsidRPr="002F3A26" w:rsidRDefault="008B59E5" w:rsidP="00BA6CBD">
            <w:pPr>
              <w:pStyle w:val="TableParagraph"/>
              <w:ind w:left="170"/>
            </w:pPr>
            <w:r w:rsidRPr="002F3A26">
              <w:t>1.02</w:t>
            </w:r>
          </w:p>
        </w:tc>
        <w:tc>
          <w:tcPr>
            <w:tcW w:w="1062" w:type="dxa"/>
          </w:tcPr>
          <w:p w14:paraId="54691793" w14:textId="5F08C2BC" w:rsidR="008B59E5" w:rsidRPr="002F3A26" w:rsidRDefault="008B59E5" w:rsidP="00BA6CBD">
            <w:pPr>
              <w:pStyle w:val="TableParagraph"/>
              <w:ind w:left="170"/>
            </w:pPr>
            <w:r w:rsidRPr="002F3A26">
              <w:t>1.30</w:t>
            </w:r>
            <w:r w:rsidRPr="002F3A26">
              <w:rPr>
                <w:vertAlign w:val="superscript"/>
              </w:rPr>
              <w:t>**</w:t>
            </w:r>
          </w:p>
        </w:tc>
        <w:tc>
          <w:tcPr>
            <w:tcW w:w="1063" w:type="dxa"/>
          </w:tcPr>
          <w:p w14:paraId="5EBA53C4" w14:textId="67361F80" w:rsidR="008B59E5" w:rsidRPr="002F3A26" w:rsidRDefault="008B59E5" w:rsidP="00BA6CBD">
            <w:pPr>
              <w:pStyle w:val="TableParagraph"/>
              <w:ind w:left="170"/>
            </w:pPr>
            <w:r w:rsidRPr="002F3A26">
              <w:t>0.93</w:t>
            </w:r>
          </w:p>
        </w:tc>
      </w:tr>
      <w:tr w:rsidR="008B59E5" w:rsidRPr="002F3A26" w14:paraId="6581F7A0" w14:textId="77777777" w:rsidTr="00D17B28">
        <w:trPr>
          <w:trHeight w:val="218"/>
        </w:trPr>
        <w:tc>
          <w:tcPr>
            <w:tcW w:w="2264" w:type="dxa"/>
          </w:tcPr>
          <w:p w14:paraId="1F278139" w14:textId="747A3EFC" w:rsidR="008B59E5" w:rsidRPr="002F3A26" w:rsidRDefault="008B59E5" w:rsidP="008B59E5">
            <w:pPr>
              <w:pStyle w:val="TableParagraph"/>
              <w:rPr>
                <w:rFonts w:cs="Arial"/>
              </w:rPr>
            </w:pPr>
            <w:r w:rsidRPr="002F3A26">
              <w:t>$1,250-$1,999</w:t>
            </w:r>
          </w:p>
        </w:tc>
        <w:tc>
          <w:tcPr>
            <w:tcW w:w="1062" w:type="dxa"/>
          </w:tcPr>
          <w:p w14:paraId="4995387B" w14:textId="481C140B" w:rsidR="008B59E5" w:rsidRPr="002F3A26" w:rsidRDefault="008B59E5" w:rsidP="00BA6CBD">
            <w:pPr>
              <w:pStyle w:val="TableParagraph"/>
              <w:ind w:left="170"/>
              <w:rPr>
                <w:rFonts w:cs="Arial"/>
              </w:rPr>
            </w:pPr>
            <w:r w:rsidRPr="002F3A26">
              <w:t>1.11</w:t>
            </w:r>
            <w:r w:rsidRPr="002F3A26">
              <w:rPr>
                <w:vertAlign w:val="superscript"/>
              </w:rPr>
              <w:t>***</w:t>
            </w:r>
          </w:p>
        </w:tc>
        <w:tc>
          <w:tcPr>
            <w:tcW w:w="1062" w:type="dxa"/>
          </w:tcPr>
          <w:p w14:paraId="7CA4992D" w14:textId="5909D235" w:rsidR="008B59E5" w:rsidRPr="002F3A26" w:rsidRDefault="008B59E5" w:rsidP="00BA6CBD">
            <w:pPr>
              <w:pStyle w:val="TableParagraph"/>
              <w:ind w:left="170"/>
              <w:rPr>
                <w:rFonts w:cs="Arial"/>
              </w:rPr>
            </w:pPr>
            <w:r w:rsidRPr="002F3A26">
              <w:t>1.37</w:t>
            </w:r>
            <w:r w:rsidRPr="002F3A26">
              <w:rPr>
                <w:vertAlign w:val="superscript"/>
              </w:rPr>
              <w:t>***</w:t>
            </w:r>
          </w:p>
        </w:tc>
        <w:tc>
          <w:tcPr>
            <w:tcW w:w="1062" w:type="dxa"/>
          </w:tcPr>
          <w:p w14:paraId="51955306" w14:textId="62D59978" w:rsidR="008B59E5" w:rsidRPr="002F3A26" w:rsidRDefault="008B59E5" w:rsidP="00BA6CBD">
            <w:pPr>
              <w:pStyle w:val="TableParagraph"/>
              <w:ind w:left="170"/>
              <w:rPr>
                <w:rFonts w:cs="Arial"/>
              </w:rPr>
            </w:pPr>
            <w:r w:rsidRPr="002F3A26">
              <w:t>1.09</w:t>
            </w:r>
            <w:r w:rsidRPr="002F3A26">
              <w:rPr>
                <w:vertAlign w:val="superscript"/>
              </w:rPr>
              <w:t>*</w:t>
            </w:r>
          </w:p>
        </w:tc>
        <w:tc>
          <w:tcPr>
            <w:tcW w:w="1062" w:type="dxa"/>
          </w:tcPr>
          <w:p w14:paraId="689EFACC" w14:textId="7E9B5355" w:rsidR="008B59E5" w:rsidRPr="002F3A26" w:rsidRDefault="008B59E5" w:rsidP="00BA6CBD">
            <w:pPr>
              <w:pStyle w:val="TableParagraph"/>
              <w:ind w:left="170"/>
            </w:pPr>
            <w:r w:rsidRPr="002F3A26">
              <w:t>1.06</w:t>
            </w:r>
          </w:p>
        </w:tc>
        <w:tc>
          <w:tcPr>
            <w:tcW w:w="1062" w:type="dxa"/>
          </w:tcPr>
          <w:p w14:paraId="36085A59" w14:textId="47D7FE2F" w:rsidR="008B59E5" w:rsidRPr="002F3A26" w:rsidRDefault="008B59E5" w:rsidP="00BA6CBD">
            <w:pPr>
              <w:pStyle w:val="TableParagraph"/>
              <w:ind w:left="170"/>
            </w:pPr>
            <w:r w:rsidRPr="002F3A26">
              <w:t>1.27</w:t>
            </w:r>
            <w:r w:rsidRPr="002F3A26">
              <w:rPr>
                <w:vertAlign w:val="superscript"/>
              </w:rPr>
              <w:t>**</w:t>
            </w:r>
          </w:p>
        </w:tc>
        <w:tc>
          <w:tcPr>
            <w:tcW w:w="1063" w:type="dxa"/>
          </w:tcPr>
          <w:p w14:paraId="797ED3EE" w14:textId="47977695" w:rsidR="008B59E5" w:rsidRPr="002F3A26" w:rsidRDefault="008B59E5" w:rsidP="00BA6CBD">
            <w:pPr>
              <w:pStyle w:val="TableParagraph"/>
              <w:ind w:left="170"/>
            </w:pPr>
            <w:r w:rsidRPr="002F3A26">
              <w:t>1.02</w:t>
            </w:r>
          </w:p>
        </w:tc>
        <w:tc>
          <w:tcPr>
            <w:tcW w:w="1062" w:type="dxa"/>
          </w:tcPr>
          <w:p w14:paraId="11955C3B" w14:textId="434C0846" w:rsidR="008B59E5" w:rsidRPr="002F3A26" w:rsidRDefault="008B59E5" w:rsidP="00BA6CBD">
            <w:pPr>
              <w:pStyle w:val="TableParagraph"/>
              <w:ind w:left="170"/>
            </w:pPr>
            <w:r w:rsidRPr="002F3A26">
              <w:t>1.10</w:t>
            </w:r>
            <w:r w:rsidRPr="002F3A26">
              <w:rPr>
                <w:vertAlign w:val="superscript"/>
              </w:rPr>
              <w:t>**</w:t>
            </w:r>
          </w:p>
        </w:tc>
        <w:tc>
          <w:tcPr>
            <w:tcW w:w="1062" w:type="dxa"/>
          </w:tcPr>
          <w:p w14:paraId="2A000632" w14:textId="57F10470" w:rsidR="008B59E5" w:rsidRPr="002F3A26" w:rsidRDefault="008B59E5" w:rsidP="00BA6CBD">
            <w:pPr>
              <w:pStyle w:val="TableParagraph"/>
              <w:ind w:left="170"/>
            </w:pPr>
            <w:r w:rsidRPr="002F3A26">
              <w:t>0.93</w:t>
            </w:r>
            <w:r w:rsidRPr="002F3A26">
              <w:rPr>
                <w:vertAlign w:val="superscript"/>
              </w:rPr>
              <w:t>**</w:t>
            </w:r>
          </w:p>
        </w:tc>
        <w:tc>
          <w:tcPr>
            <w:tcW w:w="1062" w:type="dxa"/>
          </w:tcPr>
          <w:p w14:paraId="6E0AD082" w14:textId="689548C0" w:rsidR="008B59E5" w:rsidRPr="002F3A26" w:rsidRDefault="008B59E5" w:rsidP="00BA6CBD">
            <w:pPr>
              <w:pStyle w:val="TableParagraph"/>
              <w:ind w:left="170"/>
            </w:pPr>
            <w:r w:rsidRPr="002F3A26">
              <w:t>1.10</w:t>
            </w:r>
            <w:r w:rsidRPr="002F3A26">
              <w:rPr>
                <w:vertAlign w:val="superscript"/>
              </w:rPr>
              <w:t>**</w:t>
            </w:r>
          </w:p>
        </w:tc>
        <w:tc>
          <w:tcPr>
            <w:tcW w:w="1062" w:type="dxa"/>
          </w:tcPr>
          <w:p w14:paraId="2FEDFF84" w14:textId="3727A4C1" w:rsidR="008B59E5" w:rsidRPr="002F3A26" w:rsidRDefault="008B59E5" w:rsidP="00BA6CBD">
            <w:pPr>
              <w:pStyle w:val="TableParagraph"/>
              <w:ind w:left="170"/>
            </w:pPr>
            <w:r w:rsidRPr="002F3A26">
              <w:t>0.86</w:t>
            </w:r>
          </w:p>
        </w:tc>
        <w:tc>
          <w:tcPr>
            <w:tcW w:w="1063" w:type="dxa"/>
          </w:tcPr>
          <w:p w14:paraId="58704132" w14:textId="19D5A291" w:rsidR="008B59E5" w:rsidRPr="002F3A26" w:rsidRDefault="008B59E5" w:rsidP="00BA6CBD">
            <w:pPr>
              <w:pStyle w:val="TableParagraph"/>
              <w:ind w:left="170"/>
            </w:pPr>
            <w:r w:rsidRPr="002F3A26">
              <w:t>1.02</w:t>
            </w:r>
          </w:p>
        </w:tc>
      </w:tr>
      <w:tr w:rsidR="008B59E5" w:rsidRPr="002F3A26" w14:paraId="3721E7CA" w14:textId="77777777" w:rsidTr="00D17B28">
        <w:trPr>
          <w:trHeight w:val="218"/>
        </w:trPr>
        <w:tc>
          <w:tcPr>
            <w:tcW w:w="2264" w:type="dxa"/>
          </w:tcPr>
          <w:p w14:paraId="46059482" w14:textId="7A6A06A3" w:rsidR="008B59E5" w:rsidRPr="002F3A26" w:rsidRDefault="008B59E5" w:rsidP="008B59E5">
            <w:pPr>
              <w:pStyle w:val="TableParagraph"/>
              <w:rPr>
                <w:rFonts w:cs="Arial"/>
              </w:rPr>
            </w:pPr>
            <w:r w:rsidRPr="002F3A26">
              <w:t>$2,000-$2,999</w:t>
            </w:r>
          </w:p>
        </w:tc>
        <w:tc>
          <w:tcPr>
            <w:tcW w:w="1062" w:type="dxa"/>
          </w:tcPr>
          <w:p w14:paraId="5F1F21D5" w14:textId="619DAF08" w:rsidR="008B59E5" w:rsidRPr="002F3A26" w:rsidRDefault="008B59E5" w:rsidP="00BA6CBD">
            <w:pPr>
              <w:pStyle w:val="TableParagraph"/>
              <w:ind w:left="170"/>
              <w:rPr>
                <w:rFonts w:cs="Arial"/>
              </w:rPr>
            </w:pPr>
            <w:r w:rsidRPr="002F3A26">
              <w:t>1.04</w:t>
            </w:r>
          </w:p>
        </w:tc>
        <w:tc>
          <w:tcPr>
            <w:tcW w:w="1062" w:type="dxa"/>
          </w:tcPr>
          <w:p w14:paraId="4861C3B7" w14:textId="2A6E161D" w:rsidR="008B59E5" w:rsidRPr="002F3A26" w:rsidRDefault="008B59E5" w:rsidP="00BA6CBD">
            <w:pPr>
              <w:pStyle w:val="TableParagraph"/>
              <w:ind w:left="170"/>
              <w:rPr>
                <w:rFonts w:cs="Arial"/>
              </w:rPr>
            </w:pPr>
            <w:r w:rsidRPr="002F3A26">
              <w:t>1.22</w:t>
            </w:r>
            <w:r w:rsidRPr="002F3A26">
              <w:rPr>
                <w:vertAlign w:val="superscript"/>
              </w:rPr>
              <w:t>***</w:t>
            </w:r>
          </w:p>
        </w:tc>
        <w:tc>
          <w:tcPr>
            <w:tcW w:w="1062" w:type="dxa"/>
          </w:tcPr>
          <w:p w14:paraId="699E2D6D" w14:textId="7BC78353" w:rsidR="008B59E5" w:rsidRPr="002F3A26" w:rsidRDefault="008B59E5" w:rsidP="00BA6CBD">
            <w:pPr>
              <w:pStyle w:val="TableParagraph"/>
              <w:ind w:left="170"/>
              <w:rPr>
                <w:rFonts w:cs="Arial"/>
              </w:rPr>
            </w:pPr>
            <w:r w:rsidRPr="002F3A26">
              <w:t>1.05</w:t>
            </w:r>
          </w:p>
        </w:tc>
        <w:tc>
          <w:tcPr>
            <w:tcW w:w="1062" w:type="dxa"/>
          </w:tcPr>
          <w:p w14:paraId="7441A8A7" w14:textId="6FC59D4A" w:rsidR="008B59E5" w:rsidRPr="002F3A26" w:rsidRDefault="008B59E5" w:rsidP="00BA6CBD">
            <w:pPr>
              <w:pStyle w:val="TableParagraph"/>
              <w:ind w:left="170"/>
            </w:pPr>
            <w:r w:rsidRPr="002F3A26">
              <w:t>0.94</w:t>
            </w:r>
          </w:p>
        </w:tc>
        <w:tc>
          <w:tcPr>
            <w:tcW w:w="1062" w:type="dxa"/>
          </w:tcPr>
          <w:p w14:paraId="15F00AC1" w14:textId="4E5A7409" w:rsidR="008B59E5" w:rsidRPr="002F3A26" w:rsidRDefault="008B59E5" w:rsidP="00BA6CBD">
            <w:pPr>
              <w:pStyle w:val="TableParagraph"/>
              <w:ind w:left="170"/>
            </w:pPr>
            <w:r w:rsidRPr="002F3A26">
              <w:t>1.38</w:t>
            </w:r>
            <w:r w:rsidRPr="002F3A26">
              <w:rPr>
                <w:vertAlign w:val="superscript"/>
              </w:rPr>
              <w:t>***</w:t>
            </w:r>
          </w:p>
        </w:tc>
        <w:tc>
          <w:tcPr>
            <w:tcW w:w="1063" w:type="dxa"/>
          </w:tcPr>
          <w:p w14:paraId="34D939CC" w14:textId="66BED8F3" w:rsidR="008B59E5" w:rsidRPr="002F3A26" w:rsidRDefault="008B59E5" w:rsidP="00BA6CBD">
            <w:pPr>
              <w:pStyle w:val="TableParagraph"/>
              <w:ind w:left="170"/>
            </w:pPr>
            <w:r w:rsidRPr="002F3A26">
              <w:t>1.06</w:t>
            </w:r>
            <w:r w:rsidRPr="002F3A26">
              <w:rPr>
                <w:vertAlign w:val="superscript"/>
              </w:rPr>
              <w:t>*</w:t>
            </w:r>
          </w:p>
        </w:tc>
        <w:tc>
          <w:tcPr>
            <w:tcW w:w="1062" w:type="dxa"/>
          </w:tcPr>
          <w:p w14:paraId="0C8B1CFB" w14:textId="08557A6F" w:rsidR="008B59E5" w:rsidRPr="002F3A26" w:rsidRDefault="008B59E5" w:rsidP="00BA6CBD">
            <w:pPr>
              <w:pStyle w:val="TableParagraph"/>
              <w:ind w:left="170"/>
            </w:pPr>
            <w:r w:rsidRPr="002F3A26">
              <w:t>1.19</w:t>
            </w:r>
            <w:r w:rsidRPr="002F3A26">
              <w:rPr>
                <w:vertAlign w:val="superscript"/>
              </w:rPr>
              <w:t>***</w:t>
            </w:r>
          </w:p>
        </w:tc>
        <w:tc>
          <w:tcPr>
            <w:tcW w:w="1062" w:type="dxa"/>
          </w:tcPr>
          <w:p w14:paraId="4FE382CE" w14:textId="797E0DB7" w:rsidR="008B59E5" w:rsidRPr="002F3A26" w:rsidRDefault="008B59E5" w:rsidP="00BA6CBD">
            <w:pPr>
              <w:pStyle w:val="TableParagraph"/>
              <w:ind w:left="170"/>
            </w:pPr>
            <w:r w:rsidRPr="002F3A26">
              <w:t>0.89</w:t>
            </w:r>
            <w:r w:rsidRPr="002F3A26">
              <w:rPr>
                <w:vertAlign w:val="superscript"/>
              </w:rPr>
              <w:t>***</w:t>
            </w:r>
          </w:p>
        </w:tc>
        <w:tc>
          <w:tcPr>
            <w:tcW w:w="1062" w:type="dxa"/>
          </w:tcPr>
          <w:p w14:paraId="241F1D9A" w14:textId="38B97B54" w:rsidR="008B59E5" w:rsidRPr="002F3A26" w:rsidRDefault="008B59E5" w:rsidP="00BA6CBD">
            <w:pPr>
              <w:pStyle w:val="TableParagraph"/>
              <w:ind w:left="170"/>
            </w:pPr>
            <w:r w:rsidRPr="002F3A26">
              <w:t>1.11</w:t>
            </w:r>
            <w:r w:rsidRPr="002F3A26">
              <w:rPr>
                <w:vertAlign w:val="superscript"/>
              </w:rPr>
              <w:t>***</w:t>
            </w:r>
          </w:p>
        </w:tc>
        <w:tc>
          <w:tcPr>
            <w:tcW w:w="1062" w:type="dxa"/>
          </w:tcPr>
          <w:p w14:paraId="58BF6387" w14:textId="774F0467" w:rsidR="008B59E5" w:rsidRPr="002F3A26" w:rsidRDefault="008B59E5" w:rsidP="00BA6CBD">
            <w:pPr>
              <w:pStyle w:val="TableParagraph"/>
              <w:ind w:left="170"/>
            </w:pPr>
            <w:r w:rsidRPr="002F3A26">
              <w:t>0.87</w:t>
            </w:r>
          </w:p>
        </w:tc>
        <w:tc>
          <w:tcPr>
            <w:tcW w:w="1063" w:type="dxa"/>
          </w:tcPr>
          <w:p w14:paraId="415A0FEE" w14:textId="29283C95" w:rsidR="008B59E5" w:rsidRPr="002F3A26" w:rsidRDefault="008B59E5" w:rsidP="00BA6CBD">
            <w:pPr>
              <w:pStyle w:val="TableParagraph"/>
              <w:ind w:left="170"/>
            </w:pPr>
            <w:r w:rsidRPr="002F3A26">
              <w:t>0.98</w:t>
            </w:r>
          </w:p>
        </w:tc>
      </w:tr>
      <w:tr w:rsidR="008B59E5" w:rsidRPr="002F3A26" w14:paraId="265A55D0" w14:textId="77777777" w:rsidTr="00D17B28">
        <w:trPr>
          <w:trHeight w:val="218"/>
        </w:trPr>
        <w:tc>
          <w:tcPr>
            <w:tcW w:w="2264" w:type="dxa"/>
          </w:tcPr>
          <w:p w14:paraId="2AC6116B" w14:textId="608AEC54" w:rsidR="008B59E5" w:rsidRPr="002F3A26" w:rsidRDefault="008B59E5" w:rsidP="008B59E5">
            <w:pPr>
              <w:pStyle w:val="TableParagraph"/>
              <w:rPr>
                <w:rFonts w:cs="Arial"/>
              </w:rPr>
            </w:pPr>
            <w:r w:rsidRPr="002F3A26">
              <w:t>Partial/no information</w:t>
            </w:r>
          </w:p>
        </w:tc>
        <w:tc>
          <w:tcPr>
            <w:tcW w:w="1062" w:type="dxa"/>
          </w:tcPr>
          <w:p w14:paraId="0B96F1F8" w14:textId="674179C6" w:rsidR="008B59E5" w:rsidRPr="002F3A26" w:rsidRDefault="008B59E5" w:rsidP="00BA6CBD">
            <w:pPr>
              <w:pStyle w:val="TableParagraph"/>
              <w:ind w:left="170"/>
              <w:rPr>
                <w:rFonts w:cs="Arial"/>
              </w:rPr>
            </w:pPr>
            <w:r w:rsidRPr="002F3A26">
              <w:t>1.09</w:t>
            </w:r>
            <w:r w:rsidRPr="002F3A26">
              <w:rPr>
                <w:vertAlign w:val="superscript"/>
              </w:rPr>
              <w:t>**</w:t>
            </w:r>
          </w:p>
        </w:tc>
        <w:tc>
          <w:tcPr>
            <w:tcW w:w="1062" w:type="dxa"/>
          </w:tcPr>
          <w:p w14:paraId="38CD5E22" w14:textId="7C2E25AC" w:rsidR="008B59E5" w:rsidRPr="002F3A26" w:rsidRDefault="008B59E5" w:rsidP="00BA6CBD">
            <w:pPr>
              <w:pStyle w:val="TableParagraph"/>
              <w:ind w:left="170"/>
              <w:rPr>
                <w:rFonts w:cs="Arial"/>
              </w:rPr>
            </w:pPr>
            <w:r w:rsidRPr="002F3A26">
              <w:t>0.95</w:t>
            </w:r>
          </w:p>
        </w:tc>
        <w:tc>
          <w:tcPr>
            <w:tcW w:w="1062" w:type="dxa"/>
          </w:tcPr>
          <w:p w14:paraId="39A10A2E" w14:textId="62FFB135" w:rsidR="008B59E5" w:rsidRPr="002F3A26" w:rsidRDefault="008B59E5" w:rsidP="00BA6CBD">
            <w:pPr>
              <w:pStyle w:val="TableParagraph"/>
              <w:ind w:left="170"/>
              <w:rPr>
                <w:rFonts w:cs="Arial"/>
              </w:rPr>
            </w:pPr>
            <w:r w:rsidRPr="002F3A26">
              <w:t>0.98</w:t>
            </w:r>
          </w:p>
        </w:tc>
        <w:tc>
          <w:tcPr>
            <w:tcW w:w="1062" w:type="dxa"/>
          </w:tcPr>
          <w:p w14:paraId="721059A7" w14:textId="196B28A8" w:rsidR="008B59E5" w:rsidRPr="002F3A26" w:rsidRDefault="008B59E5" w:rsidP="00BA6CBD">
            <w:pPr>
              <w:pStyle w:val="TableParagraph"/>
              <w:ind w:left="170"/>
            </w:pPr>
            <w:r w:rsidRPr="002F3A26">
              <w:t>1.08</w:t>
            </w:r>
          </w:p>
        </w:tc>
        <w:tc>
          <w:tcPr>
            <w:tcW w:w="1062" w:type="dxa"/>
          </w:tcPr>
          <w:p w14:paraId="784C5ECA" w14:textId="0450CC6C" w:rsidR="008B59E5" w:rsidRPr="002F3A26" w:rsidRDefault="008B59E5" w:rsidP="00BA6CBD">
            <w:pPr>
              <w:pStyle w:val="TableParagraph"/>
              <w:ind w:left="170"/>
            </w:pPr>
            <w:r w:rsidRPr="002F3A26">
              <w:t>1.30</w:t>
            </w:r>
            <w:r w:rsidRPr="002F3A26">
              <w:rPr>
                <w:vertAlign w:val="superscript"/>
              </w:rPr>
              <w:t>**</w:t>
            </w:r>
          </w:p>
        </w:tc>
        <w:tc>
          <w:tcPr>
            <w:tcW w:w="1063" w:type="dxa"/>
          </w:tcPr>
          <w:p w14:paraId="24DD66A4" w14:textId="7E57E59A" w:rsidR="008B59E5" w:rsidRPr="002F3A26" w:rsidRDefault="008B59E5" w:rsidP="00BA6CBD">
            <w:pPr>
              <w:pStyle w:val="TableParagraph"/>
              <w:ind w:left="170"/>
            </w:pPr>
            <w:r w:rsidRPr="002F3A26">
              <w:t>0.96</w:t>
            </w:r>
          </w:p>
        </w:tc>
        <w:tc>
          <w:tcPr>
            <w:tcW w:w="1062" w:type="dxa"/>
          </w:tcPr>
          <w:p w14:paraId="5CB773C6" w14:textId="43A6FB12" w:rsidR="008B59E5" w:rsidRPr="002F3A26" w:rsidRDefault="008B59E5" w:rsidP="00BA6CBD">
            <w:pPr>
              <w:pStyle w:val="TableParagraph"/>
              <w:ind w:left="170"/>
            </w:pPr>
            <w:r w:rsidRPr="002F3A26">
              <w:t>0.89</w:t>
            </w:r>
            <w:r w:rsidRPr="002F3A26">
              <w:rPr>
                <w:vertAlign w:val="superscript"/>
              </w:rPr>
              <w:t>**</w:t>
            </w:r>
          </w:p>
        </w:tc>
        <w:tc>
          <w:tcPr>
            <w:tcW w:w="1062" w:type="dxa"/>
          </w:tcPr>
          <w:p w14:paraId="04E156BD" w14:textId="6BA24B00" w:rsidR="008B59E5" w:rsidRPr="002F3A26" w:rsidRDefault="008B59E5" w:rsidP="00BA6CBD">
            <w:pPr>
              <w:pStyle w:val="TableParagraph"/>
              <w:ind w:left="170"/>
            </w:pPr>
            <w:r w:rsidRPr="002F3A26">
              <w:t>0.90</w:t>
            </w:r>
            <w:r w:rsidRPr="002F3A26">
              <w:rPr>
                <w:vertAlign w:val="superscript"/>
              </w:rPr>
              <w:t>***</w:t>
            </w:r>
          </w:p>
        </w:tc>
        <w:tc>
          <w:tcPr>
            <w:tcW w:w="1062" w:type="dxa"/>
          </w:tcPr>
          <w:p w14:paraId="6AF74801" w14:textId="180FDA8A" w:rsidR="008B59E5" w:rsidRPr="002F3A26" w:rsidRDefault="008B59E5" w:rsidP="00BA6CBD">
            <w:pPr>
              <w:pStyle w:val="TableParagraph"/>
              <w:ind w:left="170"/>
            </w:pPr>
            <w:r w:rsidRPr="002F3A26">
              <w:t>1.01</w:t>
            </w:r>
          </w:p>
        </w:tc>
        <w:tc>
          <w:tcPr>
            <w:tcW w:w="1062" w:type="dxa"/>
          </w:tcPr>
          <w:p w14:paraId="2B924E6B" w14:textId="2D7E0643" w:rsidR="008B59E5" w:rsidRPr="002F3A26" w:rsidRDefault="008B59E5" w:rsidP="00BA6CBD">
            <w:pPr>
              <w:pStyle w:val="TableParagraph"/>
              <w:ind w:left="170"/>
            </w:pPr>
            <w:r w:rsidRPr="002F3A26">
              <w:t>1.06</w:t>
            </w:r>
          </w:p>
        </w:tc>
        <w:tc>
          <w:tcPr>
            <w:tcW w:w="1063" w:type="dxa"/>
          </w:tcPr>
          <w:p w14:paraId="26D722AF" w14:textId="1210BDBE" w:rsidR="008B59E5" w:rsidRPr="002F3A26" w:rsidRDefault="008B59E5" w:rsidP="00BA6CBD">
            <w:pPr>
              <w:pStyle w:val="TableParagraph"/>
              <w:ind w:left="170"/>
            </w:pPr>
            <w:r w:rsidRPr="002F3A26">
              <w:t>1.03</w:t>
            </w:r>
          </w:p>
        </w:tc>
      </w:tr>
      <w:tr w:rsidR="008B59E5" w:rsidRPr="002F3A26" w14:paraId="209FFFB7" w14:textId="77777777" w:rsidTr="00D17B28">
        <w:trPr>
          <w:trHeight w:val="218"/>
        </w:trPr>
        <w:tc>
          <w:tcPr>
            <w:tcW w:w="2264" w:type="dxa"/>
          </w:tcPr>
          <w:p w14:paraId="729AD5EA" w14:textId="305D9626" w:rsidR="008B59E5" w:rsidRPr="002F3A26" w:rsidRDefault="008B59E5" w:rsidP="008B59E5">
            <w:pPr>
              <w:pStyle w:val="TableParagraph"/>
              <w:rPr>
                <w:rFonts w:cs="Arial"/>
              </w:rPr>
            </w:pPr>
            <w:r w:rsidRPr="002F3A26">
              <w:t>Observations</w:t>
            </w:r>
          </w:p>
        </w:tc>
        <w:tc>
          <w:tcPr>
            <w:tcW w:w="1062" w:type="dxa"/>
          </w:tcPr>
          <w:p w14:paraId="390D6B8B" w14:textId="47E43DD4" w:rsidR="008B59E5" w:rsidRPr="002F3A26" w:rsidRDefault="008B59E5" w:rsidP="00BA6CBD">
            <w:pPr>
              <w:pStyle w:val="TableParagraph"/>
              <w:ind w:left="170"/>
              <w:rPr>
                <w:rFonts w:cs="Arial"/>
              </w:rPr>
            </w:pPr>
            <w:r w:rsidRPr="002F3A26">
              <w:t>192995</w:t>
            </w:r>
          </w:p>
        </w:tc>
        <w:tc>
          <w:tcPr>
            <w:tcW w:w="1062" w:type="dxa"/>
          </w:tcPr>
          <w:p w14:paraId="52E37ECC" w14:textId="1A24CBAE" w:rsidR="008B59E5" w:rsidRPr="002F3A26" w:rsidRDefault="008B59E5" w:rsidP="00BA6CBD">
            <w:pPr>
              <w:pStyle w:val="TableParagraph"/>
              <w:ind w:left="170"/>
              <w:rPr>
                <w:rFonts w:cs="Arial"/>
              </w:rPr>
            </w:pPr>
          </w:p>
        </w:tc>
        <w:tc>
          <w:tcPr>
            <w:tcW w:w="1062" w:type="dxa"/>
          </w:tcPr>
          <w:p w14:paraId="7C844700" w14:textId="10A687A3" w:rsidR="008B59E5" w:rsidRPr="002F3A26" w:rsidRDefault="008B59E5" w:rsidP="00BA6CBD">
            <w:pPr>
              <w:pStyle w:val="TableParagraph"/>
              <w:ind w:left="170"/>
              <w:rPr>
                <w:rFonts w:cs="Arial"/>
              </w:rPr>
            </w:pPr>
          </w:p>
        </w:tc>
        <w:tc>
          <w:tcPr>
            <w:tcW w:w="1062" w:type="dxa"/>
          </w:tcPr>
          <w:p w14:paraId="79A4C49B" w14:textId="5FAE3F3F" w:rsidR="008B59E5" w:rsidRPr="002F3A26" w:rsidRDefault="008B59E5" w:rsidP="00BA6CBD">
            <w:pPr>
              <w:pStyle w:val="TableParagraph"/>
              <w:ind w:left="170"/>
            </w:pPr>
          </w:p>
        </w:tc>
        <w:tc>
          <w:tcPr>
            <w:tcW w:w="1062" w:type="dxa"/>
          </w:tcPr>
          <w:p w14:paraId="41176705" w14:textId="3ABD3538" w:rsidR="008B59E5" w:rsidRPr="002F3A26" w:rsidRDefault="008B59E5" w:rsidP="00BA6CBD">
            <w:pPr>
              <w:pStyle w:val="TableParagraph"/>
              <w:ind w:left="170"/>
            </w:pPr>
          </w:p>
        </w:tc>
        <w:tc>
          <w:tcPr>
            <w:tcW w:w="1063" w:type="dxa"/>
          </w:tcPr>
          <w:p w14:paraId="39D7F645" w14:textId="07AF7D50" w:rsidR="008B59E5" w:rsidRPr="002F3A26" w:rsidRDefault="008B59E5" w:rsidP="00BA6CBD">
            <w:pPr>
              <w:pStyle w:val="TableParagraph"/>
              <w:ind w:left="170"/>
            </w:pPr>
          </w:p>
        </w:tc>
        <w:tc>
          <w:tcPr>
            <w:tcW w:w="1062" w:type="dxa"/>
          </w:tcPr>
          <w:p w14:paraId="2D0F8B89" w14:textId="726722FA" w:rsidR="008B59E5" w:rsidRPr="002F3A26" w:rsidRDefault="008B59E5" w:rsidP="00BA6CBD">
            <w:pPr>
              <w:pStyle w:val="TableParagraph"/>
              <w:ind w:left="170"/>
            </w:pPr>
          </w:p>
        </w:tc>
        <w:tc>
          <w:tcPr>
            <w:tcW w:w="1062" w:type="dxa"/>
          </w:tcPr>
          <w:p w14:paraId="4868D1C6" w14:textId="79B5C482" w:rsidR="008B59E5" w:rsidRPr="002F3A26" w:rsidRDefault="008B59E5" w:rsidP="00BA6CBD">
            <w:pPr>
              <w:pStyle w:val="TableParagraph"/>
              <w:ind w:left="170"/>
            </w:pPr>
          </w:p>
        </w:tc>
        <w:tc>
          <w:tcPr>
            <w:tcW w:w="1062" w:type="dxa"/>
          </w:tcPr>
          <w:p w14:paraId="73EE2D01" w14:textId="427204EB" w:rsidR="008B59E5" w:rsidRPr="002F3A26" w:rsidRDefault="008B59E5" w:rsidP="00BA6CBD">
            <w:pPr>
              <w:pStyle w:val="TableParagraph"/>
              <w:ind w:left="170"/>
            </w:pPr>
          </w:p>
        </w:tc>
        <w:tc>
          <w:tcPr>
            <w:tcW w:w="1062" w:type="dxa"/>
          </w:tcPr>
          <w:p w14:paraId="13417694" w14:textId="2B338EBA" w:rsidR="008B59E5" w:rsidRPr="002F3A26" w:rsidRDefault="008B59E5" w:rsidP="00BA6CBD">
            <w:pPr>
              <w:pStyle w:val="TableParagraph"/>
              <w:ind w:left="170"/>
            </w:pPr>
          </w:p>
        </w:tc>
        <w:tc>
          <w:tcPr>
            <w:tcW w:w="1063" w:type="dxa"/>
          </w:tcPr>
          <w:p w14:paraId="516EBEF1" w14:textId="73F749DD" w:rsidR="008B59E5" w:rsidRPr="002F3A26" w:rsidRDefault="008B59E5" w:rsidP="00BA6CBD">
            <w:pPr>
              <w:pStyle w:val="TableParagraph"/>
              <w:ind w:left="170"/>
            </w:pPr>
          </w:p>
        </w:tc>
      </w:tr>
      <w:tr w:rsidR="008B59E5" w:rsidRPr="002F3A26" w14:paraId="208C115B" w14:textId="77777777" w:rsidTr="00D17B28">
        <w:trPr>
          <w:trHeight w:val="218"/>
        </w:trPr>
        <w:tc>
          <w:tcPr>
            <w:tcW w:w="2264" w:type="dxa"/>
          </w:tcPr>
          <w:p w14:paraId="3521D2FE" w14:textId="28DD1D3B" w:rsidR="008B59E5" w:rsidRPr="002F3A26" w:rsidRDefault="008B59E5" w:rsidP="008B59E5">
            <w:pPr>
              <w:pStyle w:val="TableParagraph"/>
              <w:rPr>
                <w:rFonts w:cs="Arial"/>
              </w:rPr>
            </w:pPr>
            <w:r w:rsidRPr="002F3A26">
              <w:t xml:space="preserve">Pseudo </w:t>
            </w:r>
            <w:r w:rsidRPr="002F3A26">
              <w:rPr>
                <w:i/>
                <w:iCs/>
              </w:rPr>
              <w:t>R</w:t>
            </w:r>
            <w:r w:rsidRPr="002F3A26">
              <w:rPr>
                <w:vertAlign w:val="superscript"/>
              </w:rPr>
              <w:t>2</w:t>
            </w:r>
          </w:p>
        </w:tc>
        <w:tc>
          <w:tcPr>
            <w:tcW w:w="1062" w:type="dxa"/>
          </w:tcPr>
          <w:p w14:paraId="6DA826FF" w14:textId="5D5400FC" w:rsidR="008B59E5" w:rsidRPr="002F3A26" w:rsidRDefault="008B59E5" w:rsidP="00BA6CBD">
            <w:pPr>
              <w:pStyle w:val="TableParagraph"/>
              <w:ind w:left="170"/>
              <w:rPr>
                <w:rFonts w:cs="Arial"/>
              </w:rPr>
            </w:pPr>
            <w:r w:rsidRPr="002F3A26">
              <w:t>0.038</w:t>
            </w:r>
          </w:p>
        </w:tc>
        <w:tc>
          <w:tcPr>
            <w:tcW w:w="1062" w:type="dxa"/>
          </w:tcPr>
          <w:p w14:paraId="66ED04D6" w14:textId="7AB6A806" w:rsidR="008B59E5" w:rsidRPr="002F3A26" w:rsidRDefault="008B59E5" w:rsidP="00BA6CBD">
            <w:pPr>
              <w:pStyle w:val="TableParagraph"/>
              <w:ind w:left="170"/>
              <w:rPr>
                <w:rFonts w:cs="Arial"/>
              </w:rPr>
            </w:pPr>
          </w:p>
        </w:tc>
        <w:tc>
          <w:tcPr>
            <w:tcW w:w="1062" w:type="dxa"/>
          </w:tcPr>
          <w:p w14:paraId="2DDF7DDB" w14:textId="4C58DE46" w:rsidR="008B59E5" w:rsidRPr="002F3A26" w:rsidRDefault="008B59E5" w:rsidP="00BA6CBD">
            <w:pPr>
              <w:pStyle w:val="TableParagraph"/>
              <w:ind w:left="170"/>
              <w:rPr>
                <w:rFonts w:cs="Arial"/>
              </w:rPr>
            </w:pPr>
          </w:p>
        </w:tc>
        <w:tc>
          <w:tcPr>
            <w:tcW w:w="1062" w:type="dxa"/>
          </w:tcPr>
          <w:p w14:paraId="71EBF48D" w14:textId="0853F315" w:rsidR="008B59E5" w:rsidRPr="002F3A26" w:rsidRDefault="008B59E5" w:rsidP="00BA6CBD">
            <w:pPr>
              <w:pStyle w:val="TableParagraph"/>
              <w:ind w:left="170"/>
            </w:pPr>
          </w:p>
        </w:tc>
        <w:tc>
          <w:tcPr>
            <w:tcW w:w="1062" w:type="dxa"/>
          </w:tcPr>
          <w:p w14:paraId="0411B5B2" w14:textId="17A12354" w:rsidR="008B59E5" w:rsidRPr="002F3A26" w:rsidRDefault="008B59E5" w:rsidP="00BA6CBD">
            <w:pPr>
              <w:pStyle w:val="TableParagraph"/>
              <w:ind w:left="170"/>
            </w:pPr>
          </w:p>
        </w:tc>
        <w:tc>
          <w:tcPr>
            <w:tcW w:w="1063" w:type="dxa"/>
          </w:tcPr>
          <w:p w14:paraId="36741381" w14:textId="1BD517EC" w:rsidR="008B59E5" w:rsidRPr="002F3A26" w:rsidRDefault="008B59E5" w:rsidP="00BA6CBD">
            <w:pPr>
              <w:pStyle w:val="TableParagraph"/>
              <w:ind w:left="170"/>
            </w:pPr>
          </w:p>
        </w:tc>
        <w:tc>
          <w:tcPr>
            <w:tcW w:w="1062" w:type="dxa"/>
          </w:tcPr>
          <w:p w14:paraId="1E1D0B4A" w14:textId="59037A5F" w:rsidR="008B59E5" w:rsidRPr="002F3A26" w:rsidRDefault="008B59E5" w:rsidP="00BA6CBD">
            <w:pPr>
              <w:pStyle w:val="TableParagraph"/>
              <w:ind w:left="170"/>
            </w:pPr>
          </w:p>
        </w:tc>
        <w:tc>
          <w:tcPr>
            <w:tcW w:w="1062" w:type="dxa"/>
          </w:tcPr>
          <w:p w14:paraId="5B46DE0A" w14:textId="757A6CD8" w:rsidR="008B59E5" w:rsidRPr="002F3A26" w:rsidRDefault="008B59E5" w:rsidP="00BA6CBD">
            <w:pPr>
              <w:pStyle w:val="TableParagraph"/>
              <w:ind w:left="170"/>
            </w:pPr>
          </w:p>
        </w:tc>
        <w:tc>
          <w:tcPr>
            <w:tcW w:w="1062" w:type="dxa"/>
          </w:tcPr>
          <w:p w14:paraId="2E9FBBEF" w14:textId="67A1BEFA" w:rsidR="008B59E5" w:rsidRPr="002F3A26" w:rsidRDefault="008B59E5" w:rsidP="00BA6CBD">
            <w:pPr>
              <w:pStyle w:val="TableParagraph"/>
              <w:ind w:left="170"/>
            </w:pPr>
          </w:p>
        </w:tc>
        <w:tc>
          <w:tcPr>
            <w:tcW w:w="1062" w:type="dxa"/>
          </w:tcPr>
          <w:p w14:paraId="40F9825C" w14:textId="43286199" w:rsidR="008B59E5" w:rsidRPr="002F3A26" w:rsidRDefault="008B59E5" w:rsidP="00BA6CBD">
            <w:pPr>
              <w:pStyle w:val="TableParagraph"/>
              <w:ind w:left="170"/>
            </w:pPr>
          </w:p>
        </w:tc>
        <w:tc>
          <w:tcPr>
            <w:tcW w:w="1063" w:type="dxa"/>
          </w:tcPr>
          <w:p w14:paraId="3F0AE8A6" w14:textId="7F35102E" w:rsidR="008B59E5" w:rsidRPr="002F3A26" w:rsidRDefault="008B59E5" w:rsidP="00BA6CBD">
            <w:pPr>
              <w:pStyle w:val="TableParagraph"/>
              <w:ind w:left="170"/>
            </w:pPr>
          </w:p>
        </w:tc>
      </w:tr>
    </w:tbl>
    <w:p w14:paraId="0EA33631" w14:textId="6FF38269" w:rsidR="00500DF0" w:rsidRPr="002F3A26" w:rsidRDefault="00500DF0" w:rsidP="00500DF0">
      <w:pPr>
        <w:pStyle w:val="Notes"/>
      </w:pPr>
      <w:r w:rsidRPr="002F3A26">
        <w:t xml:space="preserve">Notes: Data from PLIDA.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Statistical significance: * p &lt; 0.05, ** p &lt; 0.01, *** p &lt; 0.001.</w:t>
      </w:r>
    </w:p>
    <w:p w14:paraId="5BEF4C0F" w14:textId="65DBA0FC" w:rsidR="007F7595" w:rsidRPr="002F3A26" w:rsidRDefault="00500DF0" w:rsidP="00D23949">
      <w:pPr>
        <w:pStyle w:val="Caption"/>
      </w:pPr>
      <w:bookmarkStart w:id="90" w:name="_Ref191531901"/>
      <w:bookmarkStart w:id="91" w:name="_Ref191531881"/>
      <w:r>
        <w:lastRenderedPageBreak/>
        <w:t xml:space="preserve">Table </w:t>
      </w:r>
      <w:fldSimple w:instr=" STYLEREF 7 \s ">
        <w:r w:rsidR="00627572">
          <w:rPr>
            <w:noProof/>
          </w:rPr>
          <w:t>B</w:t>
        </w:r>
      </w:fldSimple>
      <w:r>
        <w:noBreakHyphen/>
      </w:r>
      <w:fldSimple w:instr=" SEQ Table_ap \* ARABIC \s 7 ">
        <w:r w:rsidR="00627572">
          <w:rPr>
            <w:noProof/>
          </w:rPr>
          <w:t>6</w:t>
        </w:r>
      </w:fldSimple>
      <w:bookmarkEnd w:id="90"/>
      <w:r w:rsidR="006D4F66">
        <w:rPr>
          <w:noProof/>
        </w:rPr>
        <w:t>:</w:t>
      </w:r>
      <w:r w:rsidR="00D17B28">
        <w:t xml:space="preserve"> M</w:t>
      </w:r>
      <w:r w:rsidR="00D17B28" w:rsidRPr="002F3A26">
        <w:t>odel coefficients (</w:t>
      </w:r>
      <w:r w:rsidR="009F5FEC">
        <w:t>RR</w:t>
      </w:r>
      <w:r w:rsidR="00D17B28" w:rsidRPr="002F3A26">
        <w:t xml:space="preserve">) from </w:t>
      </w:r>
      <w:r w:rsidR="006D4F66">
        <w:t>M</w:t>
      </w:r>
      <w:r w:rsidR="00D17B28">
        <w:t>odel</w:t>
      </w:r>
      <w:r w:rsidR="008B34E2">
        <w:t xml:space="preserve"> IX,</w:t>
      </w:r>
      <w:r w:rsidR="00D17B28">
        <w:t xml:space="preserve"> multinomial </w:t>
      </w:r>
      <w:r w:rsidR="00D17B28" w:rsidRPr="002F3A26">
        <w:t xml:space="preserve">logistic regression models of </w:t>
      </w:r>
      <w:r w:rsidR="00D17B28">
        <w:t>field of study</w:t>
      </w:r>
      <w:bookmarkEnd w:id="91"/>
    </w:p>
    <w:tbl>
      <w:tblPr>
        <w:tblStyle w:val="ACSEStable"/>
        <w:tblW w:w="0" w:type="auto"/>
        <w:tblCellMar>
          <w:top w:w="28" w:type="dxa"/>
          <w:left w:w="68" w:type="dxa"/>
          <w:bottom w:w="28" w:type="dxa"/>
          <w:right w:w="68" w:type="dxa"/>
        </w:tblCellMar>
        <w:tblLook w:val="04A0" w:firstRow="1" w:lastRow="0" w:firstColumn="1" w:lastColumn="0" w:noHBand="0" w:noVBand="1"/>
      </w:tblPr>
      <w:tblGrid>
        <w:gridCol w:w="2264"/>
        <w:gridCol w:w="1062"/>
        <w:gridCol w:w="1062"/>
        <w:gridCol w:w="1062"/>
        <w:gridCol w:w="1062"/>
        <w:gridCol w:w="1062"/>
        <w:gridCol w:w="1063"/>
        <w:gridCol w:w="1062"/>
        <w:gridCol w:w="1062"/>
        <w:gridCol w:w="1062"/>
        <w:gridCol w:w="1062"/>
        <w:gridCol w:w="1063"/>
      </w:tblGrid>
      <w:tr w:rsidR="00FB6FA8" w:rsidRPr="002F3A26" w14:paraId="7D4F7855" w14:textId="59698824" w:rsidTr="00D17B28">
        <w:trPr>
          <w:cnfStyle w:val="100000000000" w:firstRow="1" w:lastRow="0" w:firstColumn="0" w:lastColumn="0" w:oddVBand="0" w:evenVBand="0" w:oddHBand="0" w:evenHBand="0" w:firstRowFirstColumn="0" w:firstRowLastColumn="0" w:lastRowFirstColumn="0" w:lastRowLastColumn="0"/>
          <w:trHeight w:val="1683"/>
        </w:trPr>
        <w:tc>
          <w:tcPr>
            <w:tcW w:w="2264" w:type="dxa"/>
          </w:tcPr>
          <w:p w14:paraId="0531A90F" w14:textId="3162D5B0" w:rsidR="00634F39" w:rsidRPr="002F3A26" w:rsidRDefault="00634F39" w:rsidP="00634F39">
            <w:pPr>
              <w:pStyle w:val="TOCHeading"/>
            </w:pPr>
            <w:r w:rsidRPr="002F3A26">
              <w:rPr>
                <w:b/>
                <w:bCs/>
              </w:rPr>
              <w:t>Outcome (ref. Society &amp; Culture)</w:t>
            </w:r>
          </w:p>
        </w:tc>
        <w:tc>
          <w:tcPr>
            <w:tcW w:w="1062" w:type="dxa"/>
            <w:textDirection w:val="btLr"/>
            <w:vAlign w:val="center"/>
          </w:tcPr>
          <w:p w14:paraId="5D2F451E" w14:textId="72C920D3" w:rsidR="00634F39" w:rsidRPr="002F3A26" w:rsidRDefault="00634F39" w:rsidP="00634F39">
            <w:pPr>
              <w:pStyle w:val="TOCHeading"/>
              <w:jc w:val="center"/>
            </w:pPr>
            <w:r w:rsidRPr="002F3A26">
              <w:rPr>
                <w:b/>
                <w:bCs/>
              </w:rPr>
              <w:t>Natural &amp; Physical Sciences</w:t>
            </w:r>
          </w:p>
        </w:tc>
        <w:tc>
          <w:tcPr>
            <w:tcW w:w="1062" w:type="dxa"/>
            <w:textDirection w:val="btLr"/>
            <w:vAlign w:val="center"/>
          </w:tcPr>
          <w:p w14:paraId="797B713A" w14:textId="16726888" w:rsidR="00634F39" w:rsidRPr="002F3A26" w:rsidRDefault="00634F39" w:rsidP="00634F39">
            <w:pPr>
              <w:pStyle w:val="TOCHeading"/>
              <w:jc w:val="center"/>
            </w:pPr>
            <w:r w:rsidRPr="002F3A26">
              <w:rPr>
                <w:b/>
                <w:bCs/>
              </w:rPr>
              <w:t>Information Technology</w:t>
            </w:r>
          </w:p>
        </w:tc>
        <w:tc>
          <w:tcPr>
            <w:tcW w:w="1062" w:type="dxa"/>
            <w:textDirection w:val="btLr"/>
            <w:vAlign w:val="center"/>
          </w:tcPr>
          <w:p w14:paraId="0FB3BC67" w14:textId="10CBD8FD" w:rsidR="00634F39" w:rsidRPr="002F3A26" w:rsidRDefault="00634F39" w:rsidP="00634F39">
            <w:pPr>
              <w:pStyle w:val="TOCHeading"/>
              <w:jc w:val="center"/>
            </w:pPr>
            <w:r w:rsidRPr="002F3A26">
              <w:rPr>
                <w:b/>
                <w:bCs/>
              </w:rPr>
              <w:t>Engineering &amp; Related Technology</w:t>
            </w:r>
          </w:p>
        </w:tc>
        <w:tc>
          <w:tcPr>
            <w:tcW w:w="1062" w:type="dxa"/>
            <w:textDirection w:val="btLr"/>
            <w:vAlign w:val="center"/>
          </w:tcPr>
          <w:p w14:paraId="35D51190" w14:textId="56D8628F" w:rsidR="00634F39" w:rsidRPr="002F3A26" w:rsidRDefault="00634F39" w:rsidP="00634F39">
            <w:pPr>
              <w:pStyle w:val="TOCHeading"/>
              <w:jc w:val="center"/>
            </w:pPr>
            <w:r w:rsidRPr="002F3A26">
              <w:rPr>
                <w:b/>
                <w:bCs/>
              </w:rPr>
              <w:t>Architecture &amp; Building</w:t>
            </w:r>
          </w:p>
        </w:tc>
        <w:tc>
          <w:tcPr>
            <w:tcW w:w="1062" w:type="dxa"/>
            <w:textDirection w:val="btLr"/>
            <w:vAlign w:val="center"/>
          </w:tcPr>
          <w:p w14:paraId="4A0F8EB7" w14:textId="1B1197F0" w:rsidR="00634F39" w:rsidRPr="002F3A26" w:rsidRDefault="00634F39" w:rsidP="00634F39">
            <w:pPr>
              <w:pStyle w:val="TOCHeading"/>
              <w:jc w:val="center"/>
            </w:pPr>
            <w:r w:rsidRPr="002F3A26">
              <w:rPr>
                <w:b/>
                <w:bCs/>
              </w:rPr>
              <w:t>Agriculture Environmental &amp; Rel. Studies</w:t>
            </w:r>
          </w:p>
        </w:tc>
        <w:tc>
          <w:tcPr>
            <w:tcW w:w="1063" w:type="dxa"/>
            <w:textDirection w:val="btLr"/>
            <w:vAlign w:val="center"/>
          </w:tcPr>
          <w:p w14:paraId="51E2CE4F" w14:textId="1C910E77" w:rsidR="00634F39" w:rsidRPr="002F3A26" w:rsidRDefault="00634F39" w:rsidP="00634F39">
            <w:pPr>
              <w:pStyle w:val="TOCHeading"/>
              <w:jc w:val="center"/>
            </w:pPr>
            <w:r w:rsidRPr="002F3A26">
              <w:rPr>
                <w:b/>
                <w:bCs/>
              </w:rPr>
              <w:t>Other Health</w:t>
            </w:r>
          </w:p>
        </w:tc>
        <w:tc>
          <w:tcPr>
            <w:tcW w:w="1062" w:type="dxa"/>
            <w:textDirection w:val="btLr"/>
            <w:vAlign w:val="center"/>
          </w:tcPr>
          <w:p w14:paraId="49C53EDF" w14:textId="76E27DD1" w:rsidR="00634F39" w:rsidRPr="002F3A26" w:rsidRDefault="00634F39" w:rsidP="00634F39">
            <w:pPr>
              <w:pStyle w:val="TOCHeading"/>
              <w:jc w:val="center"/>
            </w:pPr>
            <w:r w:rsidRPr="002F3A26">
              <w:rPr>
                <w:b/>
                <w:bCs/>
              </w:rPr>
              <w:t>Education</w:t>
            </w:r>
          </w:p>
        </w:tc>
        <w:tc>
          <w:tcPr>
            <w:tcW w:w="1062" w:type="dxa"/>
            <w:textDirection w:val="btLr"/>
            <w:vAlign w:val="center"/>
          </w:tcPr>
          <w:p w14:paraId="2F09DD49" w14:textId="5DD6C55B" w:rsidR="00634F39" w:rsidRPr="002F3A26" w:rsidRDefault="00634F39" w:rsidP="00634F39">
            <w:pPr>
              <w:pStyle w:val="TOCHeading"/>
              <w:jc w:val="center"/>
            </w:pPr>
            <w:r w:rsidRPr="002F3A26">
              <w:rPr>
                <w:b/>
                <w:bCs/>
              </w:rPr>
              <w:t>Management &amp; Commerce</w:t>
            </w:r>
          </w:p>
        </w:tc>
        <w:tc>
          <w:tcPr>
            <w:tcW w:w="1062" w:type="dxa"/>
            <w:textDirection w:val="btLr"/>
            <w:vAlign w:val="center"/>
          </w:tcPr>
          <w:p w14:paraId="4098AEC9" w14:textId="1DF3F7F0" w:rsidR="00634F39" w:rsidRPr="002F3A26" w:rsidRDefault="00634F39" w:rsidP="00634F39">
            <w:pPr>
              <w:pStyle w:val="TOCHeading"/>
              <w:jc w:val="center"/>
            </w:pPr>
            <w:r w:rsidRPr="002F3A26">
              <w:rPr>
                <w:b/>
                <w:bCs/>
              </w:rPr>
              <w:t>Creative Arts</w:t>
            </w:r>
          </w:p>
        </w:tc>
        <w:tc>
          <w:tcPr>
            <w:tcW w:w="1062" w:type="dxa"/>
            <w:textDirection w:val="btLr"/>
            <w:vAlign w:val="center"/>
          </w:tcPr>
          <w:p w14:paraId="3C762977" w14:textId="24EBA366" w:rsidR="00634F39" w:rsidRPr="002F3A26" w:rsidRDefault="00634F39" w:rsidP="00634F39">
            <w:pPr>
              <w:pStyle w:val="TOCHeading"/>
              <w:jc w:val="center"/>
            </w:pPr>
            <w:r w:rsidRPr="002F3A26">
              <w:rPr>
                <w:b/>
                <w:bCs/>
              </w:rPr>
              <w:t>Medical Studies</w:t>
            </w:r>
          </w:p>
        </w:tc>
        <w:tc>
          <w:tcPr>
            <w:tcW w:w="1063" w:type="dxa"/>
            <w:textDirection w:val="btLr"/>
            <w:vAlign w:val="center"/>
          </w:tcPr>
          <w:p w14:paraId="1C2188E8" w14:textId="30973157" w:rsidR="00634F39" w:rsidRPr="002F3A26" w:rsidRDefault="00634F39" w:rsidP="00634F39">
            <w:pPr>
              <w:pStyle w:val="TOCHeading"/>
              <w:jc w:val="center"/>
            </w:pPr>
            <w:r w:rsidRPr="002F3A26">
              <w:rPr>
                <w:b/>
                <w:bCs/>
              </w:rPr>
              <w:t>Law</w:t>
            </w:r>
          </w:p>
        </w:tc>
      </w:tr>
      <w:tr w:rsidR="008B59E5" w:rsidRPr="002F3A26" w14:paraId="4A97231C" w14:textId="4D8DFB7B" w:rsidTr="00D17B28">
        <w:trPr>
          <w:trHeight w:val="230"/>
        </w:trPr>
        <w:tc>
          <w:tcPr>
            <w:tcW w:w="2264" w:type="dxa"/>
          </w:tcPr>
          <w:p w14:paraId="6CC84891" w14:textId="39C4BFF6" w:rsidR="008B59E5" w:rsidRPr="002F3A26" w:rsidRDefault="008B59E5" w:rsidP="008B59E5">
            <w:pPr>
              <w:pStyle w:val="TableParagraph"/>
            </w:pPr>
            <w:r w:rsidRPr="002F3A26">
              <w:t>FiF</w:t>
            </w:r>
          </w:p>
        </w:tc>
        <w:tc>
          <w:tcPr>
            <w:tcW w:w="1062" w:type="dxa"/>
          </w:tcPr>
          <w:p w14:paraId="5A94CDE6" w14:textId="576BA902" w:rsidR="008B59E5" w:rsidRPr="002F3A26" w:rsidRDefault="008B59E5" w:rsidP="008B59E5">
            <w:pPr>
              <w:pStyle w:val="TableParagraph"/>
              <w:ind w:left="170"/>
            </w:pPr>
            <w:r w:rsidRPr="002F3A26">
              <w:t>0.83</w:t>
            </w:r>
            <w:r w:rsidRPr="002F3A26">
              <w:rPr>
                <w:vertAlign w:val="superscript"/>
              </w:rPr>
              <w:t>***</w:t>
            </w:r>
          </w:p>
        </w:tc>
        <w:tc>
          <w:tcPr>
            <w:tcW w:w="1062" w:type="dxa"/>
          </w:tcPr>
          <w:p w14:paraId="19ABC7B3" w14:textId="18DA0B5A" w:rsidR="008B59E5" w:rsidRPr="002F3A26" w:rsidRDefault="008B59E5" w:rsidP="008B59E5">
            <w:pPr>
              <w:pStyle w:val="TableParagraph"/>
              <w:ind w:left="170"/>
            </w:pPr>
            <w:r w:rsidRPr="002F3A26">
              <w:t>1.05</w:t>
            </w:r>
          </w:p>
        </w:tc>
        <w:tc>
          <w:tcPr>
            <w:tcW w:w="1062" w:type="dxa"/>
          </w:tcPr>
          <w:p w14:paraId="6E18DB04" w14:textId="08F73D70" w:rsidR="008B59E5" w:rsidRPr="002F3A26" w:rsidRDefault="008B59E5" w:rsidP="008B59E5">
            <w:pPr>
              <w:pStyle w:val="TableParagraph"/>
              <w:ind w:left="170"/>
            </w:pPr>
            <w:r w:rsidRPr="002F3A26">
              <w:t>0.86</w:t>
            </w:r>
            <w:r w:rsidRPr="002F3A26">
              <w:rPr>
                <w:vertAlign w:val="superscript"/>
              </w:rPr>
              <w:t>***</w:t>
            </w:r>
          </w:p>
        </w:tc>
        <w:tc>
          <w:tcPr>
            <w:tcW w:w="1062" w:type="dxa"/>
          </w:tcPr>
          <w:p w14:paraId="0B5AB9B5" w14:textId="683CA63E" w:rsidR="008B59E5" w:rsidRPr="002F3A26" w:rsidRDefault="008B59E5" w:rsidP="008B59E5">
            <w:pPr>
              <w:pStyle w:val="TableParagraph"/>
              <w:ind w:left="170"/>
            </w:pPr>
            <w:r w:rsidRPr="002F3A26">
              <w:t>1.36</w:t>
            </w:r>
            <w:r w:rsidRPr="002F3A26">
              <w:rPr>
                <w:vertAlign w:val="superscript"/>
              </w:rPr>
              <w:t>***</w:t>
            </w:r>
          </w:p>
        </w:tc>
        <w:tc>
          <w:tcPr>
            <w:tcW w:w="1062" w:type="dxa"/>
          </w:tcPr>
          <w:p w14:paraId="32930349" w14:textId="34B85F4D" w:rsidR="008B59E5" w:rsidRPr="002F3A26" w:rsidRDefault="008B59E5" w:rsidP="008B59E5">
            <w:pPr>
              <w:pStyle w:val="TableParagraph"/>
              <w:ind w:left="170"/>
            </w:pPr>
            <w:r w:rsidRPr="002F3A26">
              <w:t>1.01</w:t>
            </w:r>
          </w:p>
        </w:tc>
        <w:tc>
          <w:tcPr>
            <w:tcW w:w="1063" w:type="dxa"/>
          </w:tcPr>
          <w:p w14:paraId="4CF1D9A4" w14:textId="74FE9279" w:rsidR="008B59E5" w:rsidRPr="002F3A26" w:rsidRDefault="008B59E5" w:rsidP="008B59E5">
            <w:pPr>
              <w:pStyle w:val="TableParagraph"/>
              <w:ind w:left="170"/>
            </w:pPr>
            <w:r w:rsidRPr="002F3A26">
              <w:t>1.14</w:t>
            </w:r>
            <w:r w:rsidRPr="002F3A26">
              <w:rPr>
                <w:vertAlign w:val="superscript"/>
              </w:rPr>
              <w:t>***</w:t>
            </w:r>
          </w:p>
        </w:tc>
        <w:tc>
          <w:tcPr>
            <w:tcW w:w="1062" w:type="dxa"/>
          </w:tcPr>
          <w:p w14:paraId="7CDB93BC" w14:textId="501EB262" w:rsidR="008B59E5" w:rsidRPr="002F3A26" w:rsidRDefault="008B59E5" w:rsidP="008B59E5">
            <w:pPr>
              <w:pStyle w:val="TableParagraph"/>
              <w:ind w:left="170"/>
            </w:pPr>
            <w:r w:rsidRPr="002F3A26">
              <w:t>1.67</w:t>
            </w:r>
            <w:r w:rsidRPr="002F3A26">
              <w:rPr>
                <w:vertAlign w:val="superscript"/>
              </w:rPr>
              <w:t>***</w:t>
            </w:r>
          </w:p>
        </w:tc>
        <w:tc>
          <w:tcPr>
            <w:tcW w:w="1062" w:type="dxa"/>
          </w:tcPr>
          <w:p w14:paraId="0EBF9573" w14:textId="69B62AB2" w:rsidR="008B59E5" w:rsidRPr="002F3A26" w:rsidRDefault="008B59E5" w:rsidP="008B59E5">
            <w:pPr>
              <w:pStyle w:val="TableParagraph"/>
              <w:ind w:left="170"/>
            </w:pPr>
            <w:r w:rsidRPr="002F3A26">
              <w:t>0.99</w:t>
            </w:r>
          </w:p>
        </w:tc>
        <w:tc>
          <w:tcPr>
            <w:tcW w:w="1062" w:type="dxa"/>
          </w:tcPr>
          <w:p w14:paraId="5AF5774C" w14:textId="07068DC6" w:rsidR="008B59E5" w:rsidRPr="002F3A26" w:rsidRDefault="008B59E5" w:rsidP="008B59E5">
            <w:pPr>
              <w:pStyle w:val="TableParagraph"/>
              <w:ind w:left="170"/>
            </w:pPr>
            <w:r w:rsidRPr="002F3A26">
              <w:t>1.11</w:t>
            </w:r>
            <w:r w:rsidRPr="002F3A26">
              <w:rPr>
                <w:vertAlign w:val="superscript"/>
              </w:rPr>
              <w:t>**</w:t>
            </w:r>
          </w:p>
        </w:tc>
        <w:tc>
          <w:tcPr>
            <w:tcW w:w="1062" w:type="dxa"/>
          </w:tcPr>
          <w:p w14:paraId="15EE81BE" w14:textId="51349B50" w:rsidR="008B59E5" w:rsidRPr="002F3A26" w:rsidRDefault="008B59E5" w:rsidP="008B59E5">
            <w:pPr>
              <w:pStyle w:val="TableParagraph"/>
              <w:ind w:left="170"/>
            </w:pPr>
            <w:r w:rsidRPr="002F3A26">
              <w:t>0.30</w:t>
            </w:r>
            <w:r w:rsidRPr="002F3A26">
              <w:rPr>
                <w:vertAlign w:val="superscript"/>
              </w:rPr>
              <w:t>***</w:t>
            </w:r>
          </w:p>
        </w:tc>
        <w:tc>
          <w:tcPr>
            <w:tcW w:w="1063" w:type="dxa"/>
          </w:tcPr>
          <w:p w14:paraId="79F41569" w14:textId="63E07C1E" w:rsidR="008B59E5" w:rsidRPr="002F3A26" w:rsidRDefault="008B59E5" w:rsidP="008B59E5">
            <w:pPr>
              <w:pStyle w:val="TableParagraph"/>
              <w:ind w:left="170"/>
            </w:pPr>
            <w:r w:rsidRPr="002F3A26">
              <w:t>0.84</w:t>
            </w:r>
            <w:r w:rsidRPr="002F3A26">
              <w:rPr>
                <w:vertAlign w:val="superscript"/>
              </w:rPr>
              <w:t>**</w:t>
            </w:r>
          </w:p>
        </w:tc>
      </w:tr>
      <w:tr w:rsidR="008B59E5" w:rsidRPr="002F3A26" w14:paraId="506978D4" w14:textId="23E6509C" w:rsidTr="00D17B28">
        <w:trPr>
          <w:trHeight w:val="218"/>
        </w:trPr>
        <w:tc>
          <w:tcPr>
            <w:tcW w:w="2264" w:type="dxa"/>
          </w:tcPr>
          <w:p w14:paraId="232AD05A" w14:textId="7C01A6F5" w:rsidR="008B59E5" w:rsidRPr="002F3A26" w:rsidRDefault="008B59E5" w:rsidP="008B59E5">
            <w:pPr>
              <w:pStyle w:val="TableParagraph"/>
              <w:rPr>
                <w:rFonts w:cs="Arial"/>
              </w:rPr>
            </w:pPr>
            <w:r w:rsidRPr="002F3A26">
              <w:t>Low SES</w:t>
            </w:r>
          </w:p>
        </w:tc>
        <w:tc>
          <w:tcPr>
            <w:tcW w:w="1062" w:type="dxa"/>
          </w:tcPr>
          <w:p w14:paraId="3C87C4BE" w14:textId="3252CA4B" w:rsidR="008B59E5" w:rsidRPr="002F3A26" w:rsidRDefault="008B59E5" w:rsidP="008B59E5">
            <w:pPr>
              <w:pStyle w:val="TableParagraph"/>
              <w:ind w:left="170"/>
              <w:rPr>
                <w:rFonts w:cs="Arial"/>
              </w:rPr>
            </w:pPr>
            <w:r w:rsidRPr="002F3A26">
              <w:t>1.03</w:t>
            </w:r>
          </w:p>
        </w:tc>
        <w:tc>
          <w:tcPr>
            <w:tcW w:w="1062" w:type="dxa"/>
          </w:tcPr>
          <w:p w14:paraId="3F9381C5" w14:textId="5CE7637A" w:rsidR="008B59E5" w:rsidRPr="002F3A26" w:rsidRDefault="008B59E5" w:rsidP="008B59E5">
            <w:pPr>
              <w:pStyle w:val="TableParagraph"/>
              <w:ind w:left="170"/>
              <w:rPr>
                <w:rFonts w:cs="Arial"/>
              </w:rPr>
            </w:pPr>
            <w:r w:rsidRPr="002F3A26">
              <w:t>1.31</w:t>
            </w:r>
            <w:r w:rsidRPr="002F3A26">
              <w:rPr>
                <w:vertAlign w:val="superscript"/>
              </w:rPr>
              <w:t>***</w:t>
            </w:r>
          </w:p>
        </w:tc>
        <w:tc>
          <w:tcPr>
            <w:tcW w:w="1062" w:type="dxa"/>
          </w:tcPr>
          <w:p w14:paraId="18E626C1" w14:textId="36ED0EAC" w:rsidR="008B59E5" w:rsidRPr="002F3A26" w:rsidRDefault="008B59E5" w:rsidP="008B59E5">
            <w:pPr>
              <w:pStyle w:val="TableParagraph"/>
              <w:ind w:left="170"/>
              <w:rPr>
                <w:rFonts w:cs="Arial"/>
              </w:rPr>
            </w:pPr>
            <w:r w:rsidRPr="002F3A26">
              <w:t>1.14</w:t>
            </w:r>
            <w:r w:rsidRPr="002F3A26">
              <w:rPr>
                <w:vertAlign w:val="superscript"/>
              </w:rPr>
              <w:t>*</w:t>
            </w:r>
          </w:p>
        </w:tc>
        <w:tc>
          <w:tcPr>
            <w:tcW w:w="1062" w:type="dxa"/>
          </w:tcPr>
          <w:p w14:paraId="646ECF5E" w14:textId="46D93C89" w:rsidR="008B59E5" w:rsidRPr="002F3A26" w:rsidRDefault="008B59E5" w:rsidP="008B59E5">
            <w:pPr>
              <w:pStyle w:val="TableParagraph"/>
              <w:ind w:left="170"/>
            </w:pPr>
            <w:r w:rsidRPr="002F3A26">
              <w:t>0.88</w:t>
            </w:r>
          </w:p>
        </w:tc>
        <w:tc>
          <w:tcPr>
            <w:tcW w:w="1062" w:type="dxa"/>
          </w:tcPr>
          <w:p w14:paraId="0A163D84" w14:textId="2F951635" w:rsidR="008B59E5" w:rsidRPr="002F3A26" w:rsidRDefault="008B59E5" w:rsidP="008B59E5">
            <w:pPr>
              <w:pStyle w:val="TableParagraph"/>
              <w:ind w:left="170"/>
            </w:pPr>
            <w:r w:rsidRPr="002F3A26">
              <w:t>0.93</w:t>
            </w:r>
          </w:p>
        </w:tc>
        <w:tc>
          <w:tcPr>
            <w:tcW w:w="1063" w:type="dxa"/>
          </w:tcPr>
          <w:p w14:paraId="1242A7CE" w14:textId="5F1DAE9D" w:rsidR="008B59E5" w:rsidRPr="002F3A26" w:rsidRDefault="008B59E5" w:rsidP="008B59E5">
            <w:pPr>
              <w:pStyle w:val="TableParagraph"/>
              <w:ind w:left="170"/>
            </w:pPr>
            <w:r w:rsidRPr="002F3A26">
              <w:t>1.18</w:t>
            </w:r>
            <w:r w:rsidRPr="002F3A26">
              <w:rPr>
                <w:vertAlign w:val="superscript"/>
              </w:rPr>
              <w:t>***</w:t>
            </w:r>
          </w:p>
        </w:tc>
        <w:tc>
          <w:tcPr>
            <w:tcW w:w="1062" w:type="dxa"/>
          </w:tcPr>
          <w:p w14:paraId="21ADAC44" w14:textId="4962CA49" w:rsidR="008B59E5" w:rsidRPr="002F3A26" w:rsidRDefault="008B59E5" w:rsidP="008B59E5">
            <w:pPr>
              <w:pStyle w:val="TableParagraph"/>
              <w:ind w:left="170"/>
            </w:pPr>
            <w:r w:rsidRPr="002F3A26">
              <w:t>1.44</w:t>
            </w:r>
            <w:r w:rsidRPr="002F3A26">
              <w:rPr>
                <w:vertAlign w:val="superscript"/>
              </w:rPr>
              <w:t>***</w:t>
            </w:r>
          </w:p>
        </w:tc>
        <w:tc>
          <w:tcPr>
            <w:tcW w:w="1062" w:type="dxa"/>
          </w:tcPr>
          <w:p w14:paraId="1EB669FF" w14:textId="3EE651AA" w:rsidR="008B59E5" w:rsidRPr="002F3A26" w:rsidRDefault="008B59E5" w:rsidP="008B59E5">
            <w:pPr>
              <w:pStyle w:val="TableParagraph"/>
              <w:ind w:left="170"/>
            </w:pPr>
            <w:r w:rsidRPr="002F3A26">
              <w:t>0.91</w:t>
            </w:r>
          </w:p>
        </w:tc>
        <w:tc>
          <w:tcPr>
            <w:tcW w:w="1062" w:type="dxa"/>
          </w:tcPr>
          <w:p w14:paraId="55AF4710" w14:textId="13129040" w:rsidR="008B59E5" w:rsidRPr="002F3A26" w:rsidRDefault="008B59E5" w:rsidP="008B59E5">
            <w:pPr>
              <w:pStyle w:val="TableParagraph"/>
              <w:ind w:left="170"/>
            </w:pPr>
            <w:r w:rsidRPr="002F3A26">
              <w:t>0.88</w:t>
            </w:r>
            <w:r w:rsidRPr="002F3A26">
              <w:rPr>
                <w:vertAlign w:val="superscript"/>
              </w:rPr>
              <w:t>*</w:t>
            </w:r>
          </w:p>
        </w:tc>
        <w:tc>
          <w:tcPr>
            <w:tcW w:w="1062" w:type="dxa"/>
          </w:tcPr>
          <w:p w14:paraId="40461B36" w14:textId="62315FEF" w:rsidR="008B59E5" w:rsidRPr="002F3A26" w:rsidRDefault="008B59E5" w:rsidP="008B59E5">
            <w:pPr>
              <w:pStyle w:val="TableParagraph"/>
              <w:ind w:left="170"/>
            </w:pPr>
            <w:r w:rsidRPr="002F3A26">
              <w:t>0.84</w:t>
            </w:r>
          </w:p>
        </w:tc>
        <w:tc>
          <w:tcPr>
            <w:tcW w:w="1063" w:type="dxa"/>
          </w:tcPr>
          <w:p w14:paraId="5C8EBDC2" w14:textId="25C51897" w:rsidR="008B59E5" w:rsidRPr="002F3A26" w:rsidRDefault="008B59E5" w:rsidP="008B59E5">
            <w:pPr>
              <w:pStyle w:val="TableParagraph"/>
              <w:ind w:left="170"/>
            </w:pPr>
            <w:r w:rsidRPr="002F3A26">
              <w:t>0.83</w:t>
            </w:r>
          </w:p>
        </w:tc>
      </w:tr>
      <w:tr w:rsidR="008B59E5" w:rsidRPr="002F3A26" w14:paraId="6944EBA7" w14:textId="6B129ED4" w:rsidTr="00D17B28">
        <w:trPr>
          <w:trHeight w:val="218"/>
        </w:trPr>
        <w:tc>
          <w:tcPr>
            <w:tcW w:w="2264" w:type="dxa"/>
          </w:tcPr>
          <w:p w14:paraId="794D3820" w14:textId="25658699" w:rsidR="008B59E5" w:rsidRPr="002F3A26" w:rsidRDefault="009F5FEC" w:rsidP="008B59E5">
            <w:pPr>
              <w:pStyle w:val="TableParagraph"/>
              <w:rPr>
                <w:rFonts w:cs="Arial"/>
              </w:rPr>
            </w:pPr>
            <w:r>
              <w:t>RR</w:t>
            </w:r>
          </w:p>
        </w:tc>
        <w:tc>
          <w:tcPr>
            <w:tcW w:w="1062" w:type="dxa"/>
          </w:tcPr>
          <w:p w14:paraId="226F1F09" w14:textId="4B2924A8" w:rsidR="008B59E5" w:rsidRPr="002F3A26" w:rsidRDefault="008B59E5" w:rsidP="008B59E5">
            <w:pPr>
              <w:pStyle w:val="TableParagraph"/>
              <w:ind w:left="170"/>
              <w:rPr>
                <w:rFonts w:cs="Arial"/>
              </w:rPr>
            </w:pPr>
            <w:r w:rsidRPr="002F3A26">
              <w:t>1.00</w:t>
            </w:r>
          </w:p>
        </w:tc>
        <w:tc>
          <w:tcPr>
            <w:tcW w:w="1062" w:type="dxa"/>
          </w:tcPr>
          <w:p w14:paraId="1C06560B" w14:textId="5EB7ACAB" w:rsidR="008B59E5" w:rsidRPr="002F3A26" w:rsidRDefault="008B59E5" w:rsidP="008B59E5">
            <w:pPr>
              <w:pStyle w:val="TableParagraph"/>
              <w:ind w:left="170"/>
              <w:rPr>
                <w:rFonts w:cs="Arial"/>
              </w:rPr>
            </w:pPr>
            <w:r w:rsidRPr="002F3A26">
              <w:t>0.96</w:t>
            </w:r>
          </w:p>
        </w:tc>
        <w:tc>
          <w:tcPr>
            <w:tcW w:w="1062" w:type="dxa"/>
          </w:tcPr>
          <w:p w14:paraId="3A1F9932" w14:textId="7E8F5F48" w:rsidR="008B59E5" w:rsidRPr="002F3A26" w:rsidRDefault="008B59E5" w:rsidP="008B59E5">
            <w:pPr>
              <w:pStyle w:val="TableParagraph"/>
              <w:ind w:left="170"/>
              <w:rPr>
                <w:rFonts w:cs="Arial"/>
              </w:rPr>
            </w:pPr>
            <w:r w:rsidRPr="002F3A26">
              <w:t>1.28</w:t>
            </w:r>
            <w:r w:rsidRPr="002F3A26">
              <w:rPr>
                <w:vertAlign w:val="superscript"/>
              </w:rPr>
              <w:t>***</w:t>
            </w:r>
          </w:p>
        </w:tc>
        <w:tc>
          <w:tcPr>
            <w:tcW w:w="1062" w:type="dxa"/>
          </w:tcPr>
          <w:p w14:paraId="15FF7A53" w14:textId="108155DA" w:rsidR="008B59E5" w:rsidRPr="002F3A26" w:rsidRDefault="008B59E5" w:rsidP="008B59E5">
            <w:pPr>
              <w:pStyle w:val="TableParagraph"/>
              <w:ind w:left="170"/>
            </w:pPr>
            <w:r w:rsidRPr="002F3A26">
              <w:t>0.88</w:t>
            </w:r>
            <w:r w:rsidRPr="002F3A26">
              <w:rPr>
                <w:vertAlign w:val="superscript"/>
              </w:rPr>
              <w:t>*</w:t>
            </w:r>
          </w:p>
        </w:tc>
        <w:tc>
          <w:tcPr>
            <w:tcW w:w="1062" w:type="dxa"/>
          </w:tcPr>
          <w:p w14:paraId="05047AE1" w14:textId="1307D97A" w:rsidR="008B59E5" w:rsidRPr="002F3A26" w:rsidRDefault="008B59E5" w:rsidP="008B59E5">
            <w:pPr>
              <w:pStyle w:val="TableParagraph"/>
              <w:ind w:left="170"/>
            </w:pPr>
            <w:r w:rsidRPr="002F3A26">
              <w:t>3.01</w:t>
            </w:r>
            <w:r w:rsidRPr="002F3A26">
              <w:rPr>
                <w:vertAlign w:val="superscript"/>
              </w:rPr>
              <w:t>***</w:t>
            </w:r>
          </w:p>
        </w:tc>
        <w:tc>
          <w:tcPr>
            <w:tcW w:w="1063" w:type="dxa"/>
          </w:tcPr>
          <w:p w14:paraId="17EAAA1C" w14:textId="3573EC99" w:rsidR="008B59E5" w:rsidRPr="002F3A26" w:rsidRDefault="008B59E5" w:rsidP="008B59E5">
            <w:pPr>
              <w:pStyle w:val="TableParagraph"/>
              <w:ind w:left="170"/>
            </w:pPr>
            <w:r w:rsidRPr="002F3A26">
              <w:t>1.61</w:t>
            </w:r>
            <w:r w:rsidRPr="002F3A26">
              <w:rPr>
                <w:vertAlign w:val="superscript"/>
              </w:rPr>
              <w:t>***</w:t>
            </w:r>
          </w:p>
        </w:tc>
        <w:tc>
          <w:tcPr>
            <w:tcW w:w="1062" w:type="dxa"/>
          </w:tcPr>
          <w:p w14:paraId="08D81711" w14:textId="64AD9D05" w:rsidR="008B59E5" w:rsidRPr="002F3A26" w:rsidRDefault="008B59E5" w:rsidP="008B59E5">
            <w:pPr>
              <w:pStyle w:val="TableParagraph"/>
              <w:ind w:left="170"/>
            </w:pPr>
            <w:r w:rsidRPr="002F3A26">
              <w:t>1.88</w:t>
            </w:r>
            <w:r w:rsidRPr="002F3A26">
              <w:rPr>
                <w:vertAlign w:val="superscript"/>
              </w:rPr>
              <w:t>***</w:t>
            </w:r>
          </w:p>
        </w:tc>
        <w:tc>
          <w:tcPr>
            <w:tcW w:w="1062" w:type="dxa"/>
          </w:tcPr>
          <w:p w14:paraId="64F98B97" w14:textId="54BA4284" w:rsidR="008B59E5" w:rsidRPr="002F3A26" w:rsidRDefault="008B59E5" w:rsidP="008B59E5">
            <w:pPr>
              <w:pStyle w:val="TableParagraph"/>
              <w:ind w:left="170"/>
            </w:pPr>
            <w:r w:rsidRPr="002F3A26">
              <w:t>0.79</w:t>
            </w:r>
            <w:r w:rsidRPr="002F3A26">
              <w:rPr>
                <w:vertAlign w:val="superscript"/>
              </w:rPr>
              <w:t>***</w:t>
            </w:r>
          </w:p>
        </w:tc>
        <w:tc>
          <w:tcPr>
            <w:tcW w:w="1062" w:type="dxa"/>
          </w:tcPr>
          <w:p w14:paraId="446425AC" w14:textId="762ABC89" w:rsidR="008B59E5" w:rsidRPr="002F3A26" w:rsidRDefault="008B59E5" w:rsidP="008B59E5">
            <w:pPr>
              <w:pStyle w:val="TableParagraph"/>
              <w:ind w:left="170"/>
            </w:pPr>
            <w:r w:rsidRPr="002F3A26">
              <w:t>1.30</w:t>
            </w:r>
            <w:r w:rsidRPr="002F3A26">
              <w:rPr>
                <w:vertAlign w:val="superscript"/>
              </w:rPr>
              <w:t>***</w:t>
            </w:r>
          </w:p>
        </w:tc>
        <w:tc>
          <w:tcPr>
            <w:tcW w:w="1062" w:type="dxa"/>
          </w:tcPr>
          <w:p w14:paraId="51061EA9" w14:textId="062EA6F4" w:rsidR="008B59E5" w:rsidRPr="002F3A26" w:rsidRDefault="008B59E5" w:rsidP="008B59E5">
            <w:pPr>
              <w:pStyle w:val="TableParagraph"/>
              <w:ind w:left="170"/>
            </w:pPr>
            <w:r w:rsidRPr="002F3A26">
              <w:t>2.29</w:t>
            </w:r>
            <w:r w:rsidRPr="002F3A26">
              <w:rPr>
                <w:vertAlign w:val="superscript"/>
              </w:rPr>
              <w:t>***</w:t>
            </w:r>
          </w:p>
        </w:tc>
        <w:tc>
          <w:tcPr>
            <w:tcW w:w="1063" w:type="dxa"/>
          </w:tcPr>
          <w:p w14:paraId="72D317CD" w14:textId="708842B7" w:rsidR="008B59E5" w:rsidRPr="002F3A26" w:rsidRDefault="008B59E5" w:rsidP="008B59E5">
            <w:pPr>
              <w:pStyle w:val="TableParagraph"/>
              <w:ind w:left="170"/>
            </w:pPr>
            <w:r w:rsidRPr="002F3A26">
              <w:t>1.36</w:t>
            </w:r>
            <w:r w:rsidRPr="002F3A26">
              <w:rPr>
                <w:vertAlign w:val="superscript"/>
              </w:rPr>
              <w:t>***</w:t>
            </w:r>
          </w:p>
        </w:tc>
      </w:tr>
      <w:tr w:rsidR="008B59E5" w:rsidRPr="002F3A26" w14:paraId="30B5669E" w14:textId="27450E95" w:rsidTr="00D17B28">
        <w:trPr>
          <w:trHeight w:val="218"/>
        </w:trPr>
        <w:tc>
          <w:tcPr>
            <w:tcW w:w="2264" w:type="dxa"/>
          </w:tcPr>
          <w:p w14:paraId="1411535E" w14:textId="3BC4C7DC" w:rsidR="008B59E5" w:rsidRPr="002F3A26" w:rsidRDefault="008B59E5" w:rsidP="008B59E5">
            <w:pPr>
              <w:pStyle w:val="TableParagraph"/>
              <w:rPr>
                <w:rFonts w:cs="Arial"/>
              </w:rPr>
            </w:pPr>
            <w:r w:rsidRPr="002F3A26">
              <w:t>Indigenous</w:t>
            </w:r>
          </w:p>
        </w:tc>
        <w:tc>
          <w:tcPr>
            <w:tcW w:w="1062" w:type="dxa"/>
          </w:tcPr>
          <w:p w14:paraId="77B7EDA0" w14:textId="292CC96A" w:rsidR="008B59E5" w:rsidRPr="002F3A26" w:rsidRDefault="008B59E5" w:rsidP="008B59E5">
            <w:pPr>
              <w:pStyle w:val="TableParagraph"/>
              <w:ind w:left="170"/>
              <w:rPr>
                <w:rFonts w:cs="Arial"/>
              </w:rPr>
            </w:pPr>
            <w:r w:rsidRPr="002F3A26">
              <w:t>0.69</w:t>
            </w:r>
            <w:r w:rsidRPr="002F3A26">
              <w:rPr>
                <w:vertAlign w:val="superscript"/>
              </w:rPr>
              <w:t>**</w:t>
            </w:r>
          </w:p>
        </w:tc>
        <w:tc>
          <w:tcPr>
            <w:tcW w:w="1062" w:type="dxa"/>
          </w:tcPr>
          <w:p w14:paraId="662400F8" w14:textId="10A5CBAD" w:rsidR="008B59E5" w:rsidRPr="002F3A26" w:rsidRDefault="008B59E5" w:rsidP="008B59E5">
            <w:pPr>
              <w:pStyle w:val="TableParagraph"/>
              <w:ind w:left="170"/>
              <w:rPr>
                <w:rFonts w:cs="Arial"/>
              </w:rPr>
            </w:pPr>
            <w:r w:rsidRPr="002F3A26">
              <w:t>0.80</w:t>
            </w:r>
          </w:p>
        </w:tc>
        <w:tc>
          <w:tcPr>
            <w:tcW w:w="1062" w:type="dxa"/>
          </w:tcPr>
          <w:p w14:paraId="0E460EE0" w14:textId="228ADDB7" w:rsidR="008B59E5" w:rsidRPr="002F3A26" w:rsidRDefault="008B59E5" w:rsidP="008B59E5">
            <w:pPr>
              <w:pStyle w:val="TableParagraph"/>
              <w:ind w:left="170"/>
              <w:rPr>
                <w:rFonts w:cs="Arial"/>
              </w:rPr>
            </w:pPr>
            <w:r w:rsidRPr="002F3A26">
              <w:t>0.71</w:t>
            </w:r>
          </w:p>
        </w:tc>
        <w:tc>
          <w:tcPr>
            <w:tcW w:w="1062" w:type="dxa"/>
          </w:tcPr>
          <w:p w14:paraId="51BA3DF0" w14:textId="75052B5F" w:rsidR="008B59E5" w:rsidRPr="002F3A26" w:rsidRDefault="008B59E5" w:rsidP="008B59E5">
            <w:pPr>
              <w:pStyle w:val="TableParagraph"/>
              <w:ind w:left="170"/>
            </w:pPr>
            <w:r w:rsidRPr="002F3A26">
              <w:t>0.93</w:t>
            </w:r>
          </w:p>
        </w:tc>
        <w:tc>
          <w:tcPr>
            <w:tcW w:w="1062" w:type="dxa"/>
          </w:tcPr>
          <w:p w14:paraId="70E701F7" w14:textId="435E88B3" w:rsidR="008B59E5" w:rsidRPr="002F3A26" w:rsidRDefault="008B59E5" w:rsidP="008B59E5">
            <w:pPr>
              <w:pStyle w:val="TableParagraph"/>
              <w:ind w:left="170"/>
            </w:pPr>
            <w:r w:rsidRPr="002F3A26">
              <w:t>0.31</w:t>
            </w:r>
            <w:r w:rsidRPr="002F3A26">
              <w:rPr>
                <w:vertAlign w:val="superscript"/>
              </w:rPr>
              <w:t>*</w:t>
            </w:r>
          </w:p>
        </w:tc>
        <w:tc>
          <w:tcPr>
            <w:tcW w:w="1063" w:type="dxa"/>
          </w:tcPr>
          <w:p w14:paraId="69436281" w14:textId="02FFC2FD" w:rsidR="008B59E5" w:rsidRPr="002F3A26" w:rsidRDefault="008B59E5" w:rsidP="008B59E5">
            <w:pPr>
              <w:pStyle w:val="TableParagraph"/>
              <w:ind w:left="170"/>
            </w:pPr>
            <w:r w:rsidRPr="002F3A26">
              <w:t>0.89</w:t>
            </w:r>
          </w:p>
        </w:tc>
        <w:tc>
          <w:tcPr>
            <w:tcW w:w="1062" w:type="dxa"/>
          </w:tcPr>
          <w:p w14:paraId="0499C01C" w14:textId="6BE7165A" w:rsidR="008B59E5" w:rsidRPr="002F3A26" w:rsidRDefault="008B59E5" w:rsidP="008B59E5">
            <w:pPr>
              <w:pStyle w:val="TableParagraph"/>
              <w:ind w:left="170"/>
            </w:pPr>
            <w:r w:rsidRPr="002F3A26">
              <w:t>1.58</w:t>
            </w:r>
            <w:r w:rsidRPr="002F3A26">
              <w:rPr>
                <w:vertAlign w:val="superscript"/>
              </w:rPr>
              <w:t>**</w:t>
            </w:r>
          </w:p>
        </w:tc>
        <w:tc>
          <w:tcPr>
            <w:tcW w:w="1062" w:type="dxa"/>
          </w:tcPr>
          <w:p w14:paraId="196BA8F2" w14:textId="1C58442C" w:rsidR="008B59E5" w:rsidRPr="002F3A26" w:rsidRDefault="008B59E5" w:rsidP="008B59E5">
            <w:pPr>
              <w:pStyle w:val="TableParagraph"/>
              <w:ind w:left="170"/>
            </w:pPr>
            <w:r w:rsidRPr="002F3A26">
              <w:t>0.55</w:t>
            </w:r>
            <w:r w:rsidRPr="002F3A26">
              <w:rPr>
                <w:vertAlign w:val="superscript"/>
              </w:rPr>
              <w:t>***</w:t>
            </w:r>
          </w:p>
        </w:tc>
        <w:tc>
          <w:tcPr>
            <w:tcW w:w="1062" w:type="dxa"/>
          </w:tcPr>
          <w:p w14:paraId="1F4D2E64" w14:textId="14C5F069" w:rsidR="008B59E5" w:rsidRPr="002F3A26" w:rsidRDefault="008B59E5" w:rsidP="008B59E5">
            <w:pPr>
              <w:pStyle w:val="TableParagraph"/>
              <w:ind w:left="170"/>
            </w:pPr>
            <w:r w:rsidRPr="002F3A26">
              <w:t>1.25</w:t>
            </w:r>
          </w:p>
        </w:tc>
        <w:tc>
          <w:tcPr>
            <w:tcW w:w="1062" w:type="dxa"/>
          </w:tcPr>
          <w:p w14:paraId="6EF97802" w14:textId="2FA61BC3" w:rsidR="008B59E5" w:rsidRPr="002F3A26" w:rsidRDefault="008B59E5" w:rsidP="008B59E5">
            <w:pPr>
              <w:pStyle w:val="TableParagraph"/>
              <w:ind w:left="170"/>
            </w:pPr>
            <w:r w:rsidRPr="002F3A26">
              <w:t>0.90</w:t>
            </w:r>
          </w:p>
        </w:tc>
        <w:tc>
          <w:tcPr>
            <w:tcW w:w="1063" w:type="dxa"/>
          </w:tcPr>
          <w:p w14:paraId="737DE214" w14:textId="655C4593" w:rsidR="008B59E5" w:rsidRPr="002F3A26" w:rsidRDefault="008B59E5" w:rsidP="008B59E5">
            <w:pPr>
              <w:pStyle w:val="TableParagraph"/>
              <w:ind w:left="170"/>
            </w:pPr>
            <w:r w:rsidRPr="002F3A26">
              <w:t>1.21</w:t>
            </w:r>
          </w:p>
        </w:tc>
      </w:tr>
      <w:tr w:rsidR="008B59E5" w:rsidRPr="002F3A26" w14:paraId="24DC3123" w14:textId="3F57151F" w:rsidTr="00D17B28">
        <w:trPr>
          <w:trHeight w:val="218"/>
        </w:trPr>
        <w:tc>
          <w:tcPr>
            <w:tcW w:w="2264" w:type="dxa"/>
          </w:tcPr>
          <w:p w14:paraId="3A2E7A90" w14:textId="722F79D1" w:rsidR="008B59E5" w:rsidRPr="002F3A26" w:rsidRDefault="008B59E5" w:rsidP="008B59E5">
            <w:pPr>
              <w:pStyle w:val="TableParagraph"/>
              <w:rPr>
                <w:rFonts w:cs="Arial"/>
              </w:rPr>
            </w:pPr>
            <w:r w:rsidRPr="002F3A26">
              <w:t>NESB</w:t>
            </w:r>
          </w:p>
        </w:tc>
        <w:tc>
          <w:tcPr>
            <w:tcW w:w="1062" w:type="dxa"/>
          </w:tcPr>
          <w:p w14:paraId="2420C4E0" w14:textId="57341C09" w:rsidR="008B59E5" w:rsidRPr="002F3A26" w:rsidRDefault="008B59E5" w:rsidP="008B59E5">
            <w:pPr>
              <w:pStyle w:val="TableParagraph"/>
              <w:ind w:left="170"/>
              <w:rPr>
                <w:rFonts w:cs="Arial"/>
              </w:rPr>
            </w:pPr>
            <w:r w:rsidRPr="002F3A26">
              <w:t>2.33</w:t>
            </w:r>
            <w:r w:rsidRPr="002F3A26">
              <w:rPr>
                <w:vertAlign w:val="superscript"/>
              </w:rPr>
              <w:t>***</w:t>
            </w:r>
          </w:p>
        </w:tc>
        <w:tc>
          <w:tcPr>
            <w:tcW w:w="1062" w:type="dxa"/>
          </w:tcPr>
          <w:p w14:paraId="182D81B2" w14:textId="5F3388E9" w:rsidR="008B59E5" w:rsidRPr="002F3A26" w:rsidRDefault="008B59E5" w:rsidP="008B59E5">
            <w:pPr>
              <w:pStyle w:val="TableParagraph"/>
              <w:ind w:left="170"/>
              <w:rPr>
                <w:rFonts w:cs="Arial"/>
              </w:rPr>
            </w:pPr>
            <w:r w:rsidRPr="002F3A26">
              <w:t>2.15</w:t>
            </w:r>
            <w:r w:rsidRPr="002F3A26">
              <w:rPr>
                <w:vertAlign w:val="superscript"/>
              </w:rPr>
              <w:t>***</w:t>
            </w:r>
          </w:p>
        </w:tc>
        <w:tc>
          <w:tcPr>
            <w:tcW w:w="1062" w:type="dxa"/>
          </w:tcPr>
          <w:p w14:paraId="24D5459C" w14:textId="597FF3E7" w:rsidR="008B59E5" w:rsidRPr="002F3A26" w:rsidRDefault="008B59E5" w:rsidP="008B59E5">
            <w:pPr>
              <w:pStyle w:val="TableParagraph"/>
              <w:ind w:left="170"/>
              <w:rPr>
                <w:rFonts w:cs="Arial"/>
              </w:rPr>
            </w:pPr>
            <w:r w:rsidRPr="002F3A26">
              <w:t>2.59</w:t>
            </w:r>
            <w:r w:rsidRPr="002F3A26">
              <w:rPr>
                <w:vertAlign w:val="superscript"/>
              </w:rPr>
              <w:t>***</w:t>
            </w:r>
          </w:p>
        </w:tc>
        <w:tc>
          <w:tcPr>
            <w:tcW w:w="1062" w:type="dxa"/>
          </w:tcPr>
          <w:p w14:paraId="4363CB3B" w14:textId="1084636D" w:rsidR="008B59E5" w:rsidRPr="002F3A26" w:rsidRDefault="008B59E5" w:rsidP="008B59E5">
            <w:pPr>
              <w:pStyle w:val="TableParagraph"/>
              <w:ind w:left="170"/>
            </w:pPr>
            <w:r w:rsidRPr="002F3A26">
              <w:t>1.81</w:t>
            </w:r>
            <w:r w:rsidRPr="002F3A26">
              <w:rPr>
                <w:vertAlign w:val="superscript"/>
              </w:rPr>
              <w:t>***</w:t>
            </w:r>
          </w:p>
        </w:tc>
        <w:tc>
          <w:tcPr>
            <w:tcW w:w="1062" w:type="dxa"/>
          </w:tcPr>
          <w:p w14:paraId="66786C86" w14:textId="584ACFEF" w:rsidR="008B59E5" w:rsidRPr="002F3A26" w:rsidRDefault="008B59E5" w:rsidP="008B59E5">
            <w:pPr>
              <w:pStyle w:val="TableParagraph"/>
              <w:ind w:left="170"/>
            </w:pPr>
            <w:r w:rsidRPr="002F3A26">
              <w:t>0.60</w:t>
            </w:r>
          </w:p>
        </w:tc>
        <w:tc>
          <w:tcPr>
            <w:tcW w:w="1063" w:type="dxa"/>
          </w:tcPr>
          <w:p w14:paraId="34E84592" w14:textId="32D09DBE" w:rsidR="008B59E5" w:rsidRPr="002F3A26" w:rsidRDefault="008B59E5" w:rsidP="008B59E5">
            <w:pPr>
              <w:pStyle w:val="TableParagraph"/>
              <w:ind w:left="170"/>
            </w:pPr>
            <w:r w:rsidRPr="002F3A26">
              <w:t>1.53</w:t>
            </w:r>
            <w:r w:rsidRPr="002F3A26">
              <w:rPr>
                <w:vertAlign w:val="superscript"/>
              </w:rPr>
              <w:t>***</w:t>
            </w:r>
          </w:p>
        </w:tc>
        <w:tc>
          <w:tcPr>
            <w:tcW w:w="1062" w:type="dxa"/>
          </w:tcPr>
          <w:p w14:paraId="4FA0F0C3" w14:textId="2678D153" w:rsidR="008B59E5" w:rsidRPr="002F3A26" w:rsidRDefault="008B59E5" w:rsidP="008B59E5">
            <w:pPr>
              <w:pStyle w:val="TableParagraph"/>
              <w:ind w:left="170"/>
            </w:pPr>
            <w:r w:rsidRPr="002F3A26">
              <w:t>0.67</w:t>
            </w:r>
            <w:r w:rsidRPr="002F3A26">
              <w:rPr>
                <w:vertAlign w:val="superscript"/>
              </w:rPr>
              <w:t>***</w:t>
            </w:r>
          </w:p>
        </w:tc>
        <w:tc>
          <w:tcPr>
            <w:tcW w:w="1062" w:type="dxa"/>
          </w:tcPr>
          <w:p w14:paraId="6C415974" w14:textId="06063221" w:rsidR="008B59E5" w:rsidRPr="002F3A26" w:rsidRDefault="008B59E5" w:rsidP="008B59E5">
            <w:pPr>
              <w:pStyle w:val="TableParagraph"/>
              <w:ind w:left="170"/>
            </w:pPr>
            <w:r w:rsidRPr="002F3A26">
              <w:t>1.72</w:t>
            </w:r>
            <w:r w:rsidRPr="002F3A26">
              <w:rPr>
                <w:vertAlign w:val="superscript"/>
              </w:rPr>
              <w:t>***</w:t>
            </w:r>
          </w:p>
        </w:tc>
        <w:tc>
          <w:tcPr>
            <w:tcW w:w="1062" w:type="dxa"/>
          </w:tcPr>
          <w:p w14:paraId="0AD229D8" w14:textId="145EFE75" w:rsidR="008B59E5" w:rsidRPr="002F3A26" w:rsidRDefault="008B59E5" w:rsidP="008B59E5">
            <w:pPr>
              <w:pStyle w:val="TableParagraph"/>
              <w:ind w:left="170"/>
            </w:pPr>
            <w:r w:rsidRPr="002F3A26">
              <w:t>0.75</w:t>
            </w:r>
            <w:r w:rsidRPr="002F3A26">
              <w:rPr>
                <w:vertAlign w:val="superscript"/>
              </w:rPr>
              <w:t>***</w:t>
            </w:r>
          </w:p>
        </w:tc>
        <w:tc>
          <w:tcPr>
            <w:tcW w:w="1062" w:type="dxa"/>
          </w:tcPr>
          <w:p w14:paraId="3B9C064E" w14:textId="1569FC15" w:rsidR="008B59E5" w:rsidRPr="002F3A26" w:rsidRDefault="008B59E5" w:rsidP="008B59E5">
            <w:pPr>
              <w:pStyle w:val="TableParagraph"/>
              <w:ind w:left="170"/>
            </w:pPr>
            <w:r w:rsidRPr="002F3A26">
              <w:t>1.98</w:t>
            </w:r>
            <w:r w:rsidRPr="002F3A26">
              <w:rPr>
                <w:vertAlign w:val="superscript"/>
              </w:rPr>
              <w:t>***</w:t>
            </w:r>
          </w:p>
        </w:tc>
        <w:tc>
          <w:tcPr>
            <w:tcW w:w="1063" w:type="dxa"/>
          </w:tcPr>
          <w:p w14:paraId="6BAAB912" w14:textId="5C9F163D" w:rsidR="008B59E5" w:rsidRPr="002F3A26" w:rsidRDefault="008B59E5" w:rsidP="008B59E5">
            <w:pPr>
              <w:pStyle w:val="TableParagraph"/>
              <w:ind w:left="170"/>
            </w:pPr>
            <w:r w:rsidRPr="002F3A26">
              <w:t>1.41</w:t>
            </w:r>
            <w:r w:rsidRPr="002F3A26">
              <w:rPr>
                <w:vertAlign w:val="superscript"/>
              </w:rPr>
              <w:t>**</w:t>
            </w:r>
          </w:p>
        </w:tc>
      </w:tr>
      <w:tr w:rsidR="008B59E5" w:rsidRPr="002F3A26" w14:paraId="4E301237" w14:textId="0F8AE679" w:rsidTr="00D17B28">
        <w:trPr>
          <w:trHeight w:val="218"/>
        </w:trPr>
        <w:tc>
          <w:tcPr>
            <w:tcW w:w="2264" w:type="dxa"/>
          </w:tcPr>
          <w:p w14:paraId="2E55DFC9" w14:textId="05019C0F" w:rsidR="008B59E5" w:rsidRPr="002F3A26" w:rsidRDefault="008B59E5" w:rsidP="008B59E5">
            <w:pPr>
              <w:pStyle w:val="TableParagraph"/>
              <w:rPr>
                <w:rFonts w:cs="Arial"/>
              </w:rPr>
            </w:pPr>
            <w:r w:rsidRPr="002F3A26">
              <w:t>Women</w:t>
            </w:r>
          </w:p>
        </w:tc>
        <w:tc>
          <w:tcPr>
            <w:tcW w:w="1062" w:type="dxa"/>
          </w:tcPr>
          <w:p w14:paraId="2F76F438" w14:textId="4E6280F6" w:rsidR="008B59E5" w:rsidRPr="002F3A26" w:rsidRDefault="008B59E5" w:rsidP="008B59E5">
            <w:pPr>
              <w:pStyle w:val="TableParagraph"/>
              <w:ind w:left="170"/>
              <w:rPr>
                <w:rFonts w:cs="Arial"/>
              </w:rPr>
            </w:pPr>
            <w:r w:rsidRPr="002F3A26">
              <w:t>0.58</w:t>
            </w:r>
            <w:r w:rsidRPr="002F3A26">
              <w:rPr>
                <w:vertAlign w:val="superscript"/>
              </w:rPr>
              <w:t>***</w:t>
            </w:r>
          </w:p>
        </w:tc>
        <w:tc>
          <w:tcPr>
            <w:tcW w:w="1062" w:type="dxa"/>
          </w:tcPr>
          <w:p w14:paraId="0183C5CA" w14:textId="21F3B49E" w:rsidR="008B59E5" w:rsidRPr="002F3A26" w:rsidRDefault="008B59E5" w:rsidP="008B59E5">
            <w:pPr>
              <w:pStyle w:val="TableParagraph"/>
              <w:ind w:left="170"/>
              <w:rPr>
                <w:rFonts w:cs="Arial"/>
              </w:rPr>
            </w:pPr>
            <w:r w:rsidRPr="002F3A26">
              <w:t>0.10</w:t>
            </w:r>
            <w:r w:rsidRPr="002F3A26">
              <w:rPr>
                <w:vertAlign w:val="superscript"/>
              </w:rPr>
              <w:t>***</w:t>
            </w:r>
          </w:p>
        </w:tc>
        <w:tc>
          <w:tcPr>
            <w:tcW w:w="1062" w:type="dxa"/>
          </w:tcPr>
          <w:p w14:paraId="374787C3" w14:textId="3F57463C" w:rsidR="008B59E5" w:rsidRPr="002F3A26" w:rsidRDefault="008B59E5" w:rsidP="008B59E5">
            <w:pPr>
              <w:pStyle w:val="TableParagraph"/>
              <w:ind w:left="170"/>
              <w:rPr>
                <w:rFonts w:cs="Arial"/>
              </w:rPr>
            </w:pPr>
            <w:r w:rsidRPr="002F3A26">
              <w:t>0.14</w:t>
            </w:r>
            <w:r w:rsidRPr="002F3A26">
              <w:rPr>
                <w:vertAlign w:val="superscript"/>
              </w:rPr>
              <w:t>***</w:t>
            </w:r>
          </w:p>
        </w:tc>
        <w:tc>
          <w:tcPr>
            <w:tcW w:w="1062" w:type="dxa"/>
          </w:tcPr>
          <w:p w14:paraId="1B0872D5" w14:textId="1454CE56" w:rsidR="008B59E5" w:rsidRPr="002F3A26" w:rsidRDefault="008B59E5" w:rsidP="008B59E5">
            <w:pPr>
              <w:pStyle w:val="TableParagraph"/>
              <w:ind w:left="170"/>
            </w:pPr>
            <w:r w:rsidRPr="002F3A26">
              <w:t>0.43</w:t>
            </w:r>
            <w:r w:rsidRPr="002F3A26">
              <w:rPr>
                <w:vertAlign w:val="superscript"/>
              </w:rPr>
              <w:t>***</w:t>
            </w:r>
          </w:p>
        </w:tc>
        <w:tc>
          <w:tcPr>
            <w:tcW w:w="1062" w:type="dxa"/>
          </w:tcPr>
          <w:p w14:paraId="2E2A1166" w14:textId="0868B238" w:rsidR="008B59E5" w:rsidRPr="002F3A26" w:rsidRDefault="008B59E5" w:rsidP="008B59E5">
            <w:pPr>
              <w:pStyle w:val="TableParagraph"/>
              <w:ind w:left="170"/>
            </w:pPr>
            <w:r w:rsidRPr="002F3A26">
              <w:t>0.65</w:t>
            </w:r>
            <w:r w:rsidRPr="002F3A26">
              <w:rPr>
                <w:vertAlign w:val="superscript"/>
              </w:rPr>
              <w:t>***</w:t>
            </w:r>
          </w:p>
        </w:tc>
        <w:tc>
          <w:tcPr>
            <w:tcW w:w="1063" w:type="dxa"/>
          </w:tcPr>
          <w:p w14:paraId="1EEA3C7D" w14:textId="49EB43C9" w:rsidR="008B59E5" w:rsidRPr="002F3A26" w:rsidRDefault="008B59E5" w:rsidP="008B59E5">
            <w:pPr>
              <w:pStyle w:val="TableParagraph"/>
              <w:ind w:left="170"/>
            </w:pPr>
            <w:r w:rsidRPr="002F3A26">
              <w:t>1.33</w:t>
            </w:r>
            <w:r w:rsidRPr="002F3A26">
              <w:rPr>
                <w:vertAlign w:val="superscript"/>
              </w:rPr>
              <w:t>***</w:t>
            </w:r>
          </w:p>
        </w:tc>
        <w:tc>
          <w:tcPr>
            <w:tcW w:w="1062" w:type="dxa"/>
          </w:tcPr>
          <w:p w14:paraId="7794B6A3" w14:textId="10754BDB" w:rsidR="008B59E5" w:rsidRPr="002F3A26" w:rsidRDefault="008B59E5" w:rsidP="008B59E5">
            <w:pPr>
              <w:pStyle w:val="TableParagraph"/>
              <w:ind w:left="170"/>
            </w:pPr>
            <w:r w:rsidRPr="002F3A26">
              <w:t>1.29</w:t>
            </w:r>
            <w:r w:rsidRPr="002F3A26">
              <w:rPr>
                <w:vertAlign w:val="superscript"/>
              </w:rPr>
              <w:t>***</w:t>
            </w:r>
          </w:p>
        </w:tc>
        <w:tc>
          <w:tcPr>
            <w:tcW w:w="1062" w:type="dxa"/>
          </w:tcPr>
          <w:p w14:paraId="1F2F80EE" w14:textId="399DB2F9" w:rsidR="008B59E5" w:rsidRPr="002F3A26" w:rsidRDefault="008B59E5" w:rsidP="008B59E5">
            <w:pPr>
              <w:pStyle w:val="TableParagraph"/>
              <w:ind w:left="170"/>
            </w:pPr>
            <w:r w:rsidRPr="002F3A26">
              <w:t>0.39</w:t>
            </w:r>
            <w:r w:rsidRPr="002F3A26">
              <w:rPr>
                <w:vertAlign w:val="superscript"/>
              </w:rPr>
              <w:t>***</w:t>
            </w:r>
          </w:p>
        </w:tc>
        <w:tc>
          <w:tcPr>
            <w:tcW w:w="1062" w:type="dxa"/>
          </w:tcPr>
          <w:p w14:paraId="5EB857E4" w14:textId="3085E987" w:rsidR="008B59E5" w:rsidRPr="002F3A26" w:rsidRDefault="008B59E5" w:rsidP="008B59E5">
            <w:pPr>
              <w:pStyle w:val="TableParagraph"/>
              <w:ind w:left="170"/>
            </w:pPr>
            <w:r w:rsidRPr="002F3A26">
              <w:t>0.81</w:t>
            </w:r>
            <w:r w:rsidRPr="002F3A26">
              <w:rPr>
                <w:vertAlign w:val="superscript"/>
              </w:rPr>
              <w:t>***</w:t>
            </w:r>
          </w:p>
        </w:tc>
        <w:tc>
          <w:tcPr>
            <w:tcW w:w="1062" w:type="dxa"/>
          </w:tcPr>
          <w:p w14:paraId="6110BEE9" w14:textId="2B17B300" w:rsidR="008B59E5" w:rsidRPr="002F3A26" w:rsidRDefault="008B59E5" w:rsidP="008B59E5">
            <w:pPr>
              <w:pStyle w:val="TableParagraph"/>
              <w:ind w:left="170"/>
            </w:pPr>
            <w:r w:rsidRPr="002F3A26">
              <w:t>0.68</w:t>
            </w:r>
            <w:r w:rsidRPr="002F3A26">
              <w:rPr>
                <w:vertAlign w:val="superscript"/>
              </w:rPr>
              <w:t>***</w:t>
            </w:r>
          </w:p>
        </w:tc>
        <w:tc>
          <w:tcPr>
            <w:tcW w:w="1063" w:type="dxa"/>
          </w:tcPr>
          <w:p w14:paraId="5A78DEDD" w14:textId="37B0F6B6" w:rsidR="008B59E5" w:rsidRPr="002F3A26" w:rsidRDefault="008B59E5" w:rsidP="008B59E5">
            <w:pPr>
              <w:pStyle w:val="TableParagraph"/>
              <w:ind w:left="170"/>
            </w:pPr>
            <w:r w:rsidRPr="002F3A26">
              <w:t>0.90</w:t>
            </w:r>
            <w:r w:rsidRPr="002F3A26">
              <w:rPr>
                <w:vertAlign w:val="superscript"/>
              </w:rPr>
              <w:t>*</w:t>
            </w:r>
          </w:p>
        </w:tc>
      </w:tr>
      <w:tr w:rsidR="008B59E5" w:rsidRPr="002F3A26" w14:paraId="20F9F1DE" w14:textId="6A0AA58A" w:rsidTr="00D17B28">
        <w:trPr>
          <w:trHeight w:val="218"/>
        </w:trPr>
        <w:tc>
          <w:tcPr>
            <w:tcW w:w="2264" w:type="dxa"/>
          </w:tcPr>
          <w:p w14:paraId="2537AD23" w14:textId="28367013" w:rsidR="008B59E5" w:rsidRPr="002F3A26" w:rsidRDefault="008B59E5" w:rsidP="008B59E5">
            <w:pPr>
              <w:pStyle w:val="TableParagraph"/>
              <w:rPr>
                <w:rFonts w:cs="Arial"/>
              </w:rPr>
            </w:pPr>
            <w:r w:rsidRPr="002F3A26">
              <w:t>Disability</w:t>
            </w:r>
          </w:p>
        </w:tc>
        <w:tc>
          <w:tcPr>
            <w:tcW w:w="1062" w:type="dxa"/>
          </w:tcPr>
          <w:p w14:paraId="63F9D36E" w14:textId="55614386" w:rsidR="008B59E5" w:rsidRPr="002F3A26" w:rsidRDefault="008B59E5" w:rsidP="008B59E5">
            <w:pPr>
              <w:pStyle w:val="TableParagraph"/>
              <w:ind w:left="170"/>
              <w:rPr>
                <w:rFonts w:cs="Arial"/>
              </w:rPr>
            </w:pPr>
            <w:r w:rsidRPr="002F3A26">
              <w:t>0.91</w:t>
            </w:r>
          </w:p>
        </w:tc>
        <w:tc>
          <w:tcPr>
            <w:tcW w:w="1062" w:type="dxa"/>
          </w:tcPr>
          <w:p w14:paraId="02311A40" w14:textId="2D2BDD68" w:rsidR="008B59E5" w:rsidRPr="002F3A26" w:rsidRDefault="008B59E5" w:rsidP="008B59E5">
            <w:pPr>
              <w:pStyle w:val="TableParagraph"/>
              <w:ind w:left="170"/>
              <w:rPr>
                <w:rFonts w:cs="Arial"/>
              </w:rPr>
            </w:pPr>
            <w:r w:rsidRPr="002F3A26">
              <w:t>1.24</w:t>
            </w:r>
          </w:p>
        </w:tc>
        <w:tc>
          <w:tcPr>
            <w:tcW w:w="1062" w:type="dxa"/>
          </w:tcPr>
          <w:p w14:paraId="30C8C352" w14:textId="65876BBB" w:rsidR="008B59E5" w:rsidRPr="002F3A26" w:rsidRDefault="008B59E5" w:rsidP="008B59E5">
            <w:pPr>
              <w:pStyle w:val="TableParagraph"/>
              <w:ind w:left="170"/>
              <w:rPr>
                <w:rFonts w:cs="Arial"/>
              </w:rPr>
            </w:pPr>
            <w:r w:rsidRPr="002F3A26">
              <w:t>0.69</w:t>
            </w:r>
            <w:r w:rsidRPr="002F3A26">
              <w:rPr>
                <w:vertAlign w:val="superscript"/>
              </w:rPr>
              <w:t>*</w:t>
            </w:r>
          </w:p>
        </w:tc>
        <w:tc>
          <w:tcPr>
            <w:tcW w:w="1062" w:type="dxa"/>
          </w:tcPr>
          <w:p w14:paraId="1C6736FF" w14:textId="12FEE61E" w:rsidR="008B59E5" w:rsidRPr="002F3A26" w:rsidRDefault="008B59E5" w:rsidP="008B59E5">
            <w:pPr>
              <w:pStyle w:val="TableParagraph"/>
              <w:ind w:left="170"/>
            </w:pPr>
            <w:r w:rsidRPr="002F3A26">
              <w:t>0.75</w:t>
            </w:r>
          </w:p>
        </w:tc>
        <w:tc>
          <w:tcPr>
            <w:tcW w:w="1062" w:type="dxa"/>
          </w:tcPr>
          <w:p w14:paraId="3EB58E8F" w14:textId="349113B3" w:rsidR="008B59E5" w:rsidRPr="002F3A26" w:rsidRDefault="008B59E5" w:rsidP="008B59E5">
            <w:pPr>
              <w:pStyle w:val="TableParagraph"/>
              <w:ind w:left="170"/>
            </w:pPr>
            <w:r w:rsidRPr="002F3A26">
              <w:t>0.63</w:t>
            </w:r>
          </w:p>
        </w:tc>
        <w:tc>
          <w:tcPr>
            <w:tcW w:w="1063" w:type="dxa"/>
          </w:tcPr>
          <w:p w14:paraId="562AC715" w14:textId="685990FA" w:rsidR="008B59E5" w:rsidRPr="002F3A26" w:rsidRDefault="008B59E5" w:rsidP="008B59E5">
            <w:pPr>
              <w:pStyle w:val="TableParagraph"/>
              <w:ind w:left="170"/>
            </w:pPr>
            <w:r w:rsidRPr="002F3A26">
              <w:t>0.81</w:t>
            </w:r>
          </w:p>
        </w:tc>
        <w:tc>
          <w:tcPr>
            <w:tcW w:w="1062" w:type="dxa"/>
          </w:tcPr>
          <w:p w14:paraId="24C21A32" w14:textId="73C0F01D" w:rsidR="008B59E5" w:rsidRPr="002F3A26" w:rsidRDefault="008B59E5" w:rsidP="008B59E5">
            <w:pPr>
              <w:pStyle w:val="TableParagraph"/>
              <w:ind w:left="170"/>
            </w:pPr>
            <w:r w:rsidRPr="002F3A26">
              <w:t>0.89</w:t>
            </w:r>
          </w:p>
        </w:tc>
        <w:tc>
          <w:tcPr>
            <w:tcW w:w="1062" w:type="dxa"/>
          </w:tcPr>
          <w:p w14:paraId="4573B699" w14:textId="64D127D2" w:rsidR="008B59E5" w:rsidRPr="002F3A26" w:rsidRDefault="008B59E5" w:rsidP="008B59E5">
            <w:pPr>
              <w:pStyle w:val="TableParagraph"/>
              <w:ind w:left="170"/>
            </w:pPr>
            <w:r w:rsidRPr="002F3A26">
              <w:t>0.68</w:t>
            </w:r>
            <w:r w:rsidRPr="002F3A26">
              <w:rPr>
                <w:vertAlign w:val="superscript"/>
              </w:rPr>
              <w:t>**</w:t>
            </w:r>
          </w:p>
        </w:tc>
        <w:tc>
          <w:tcPr>
            <w:tcW w:w="1062" w:type="dxa"/>
          </w:tcPr>
          <w:p w14:paraId="357D967F" w14:textId="49D4C72E" w:rsidR="008B59E5" w:rsidRPr="002F3A26" w:rsidRDefault="008B59E5" w:rsidP="008B59E5">
            <w:pPr>
              <w:pStyle w:val="TableParagraph"/>
              <w:ind w:left="170"/>
            </w:pPr>
            <w:r w:rsidRPr="002F3A26">
              <w:t>1.34</w:t>
            </w:r>
            <w:r w:rsidRPr="002F3A26">
              <w:rPr>
                <w:vertAlign w:val="superscript"/>
              </w:rPr>
              <w:t>*</w:t>
            </w:r>
          </w:p>
        </w:tc>
        <w:tc>
          <w:tcPr>
            <w:tcW w:w="1062" w:type="dxa"/>
          </w:tcPr>
          <w:p w14:paraId="2E03472D" w14:textId="692F445D" w:rsidR="008B59E5" w:rsidRPr="002F3A26" w:rsidRDefault="008B59E5" w:rsidP="008B59E5">
            <w:pPr>
              <w:pStyle w:val="TableParagraph"/>
              <w:ind w:left="170"/>
            </w:pPr>
            <w:r w:rsidRPr="002F3A26">
              <w:t>0.57</w:t>
            </w:r>
          </w:p>
        </w:tc>
        <w:tc>
          <w:tcPr>
            <w:tcW w:w="1063" w:type="dxa"/>
          </w:tcPr>
          <w:p w14:paraId="4ECE564C" w14:textId="296FF8FA" w:rsidR="008B59E5" w:rsidRPr="002F3A26" w:rsidRDefault="008B59E5" w:rsidP="008B59E5">
            <w:pPr>
              <w:pStyle w:val="TableParagraph"/>
              <w:ind w:left="170"/>
            </w:pPr>
            <w:r w:rsidRPr="002F3A26">
              <w:t>0.82</w:t>
            </w:r>
          </w:p>
        </w:tc>
      </w:tr>
      <w:tr w:rsidR="008B59E5" w:rsidRPr="002F3A26" w14:paraId="0F6AEA49" w14:textId="5CD1905A" w:rsidTr="00D17B28">
        <w:trPr>
          <w:trHeight w:val="218"/>
        </w:trPr>
        <w:tc>
          <w:tcPr>
            <w:tcW w:w="2264" w:type="dxa"/>
          </w:tcPr>
          <w:p w14:paraId="2FC08A4C" w14:textId="16DF4E66" w:rsidR="008B59E5" w:rsidRPr="002F3A26" w:rsidRDefault="008B59E5" w:rsidP="008B59E5">
            <w:pPr>
              <w:pStyle w:val="TableParagraph"/>
              <w:rPr>
                <w:rFonts w:cs="Arial"/>
              </w:rPr>
            </w:pPr>
            <w:r w:rsidRPr="002F3A26">
              <w:t>FiF # Low SES</w:t>
            </w:r>
          </w:p>
        </w:tc>
        <w:tc>
          <w:tcPr>
            <w:tcW w:w="1062" w:type="dxa"/>
          </w:tcPr>
          <w:p w14:paraId="08864561" w14:textId="2CA2CBD9" w:rsidR="008B59E5" w:rsidRPr="002F3A26" w:rsidRDefault="008B59E5" w:rsidP="008B59E5">
            <w:pPr>
              <w:pStyle w:val="TableParagraph"/>
              <w:ind w:left="170"/>
              <w:rPr>
                <w:rFonts w:cs="Arial"/>
              </w:rPr>
            </w:pPr>
            <w:r w:rsidRPr="002F3A26">
              <w:t>0.97</w:t>
            </w:r>
          </w:p>
        </w:tc>
        <w:tc>
          <w:tcPr>
            <w:tcW w:w="1062" w:type="dxa"/>
          </w:tcPr>
          <w:p w14:paraId="22203D75" w14:textId="64B6BEA4" w:rsidR="008B59E5" w:rsidRPr="002F3A26" w:rsidRDefault="008B59E5" w:rsidP="008B59E5">
            <w:pPr>
              <w:pStyle w:val="TableParagraph"/>
              <w:ind w:left="170"/>
              <w:rPr>
                <w:rFonts w:cs="Arial"/>
              </w:rPr>
            </w:pPr>
            <w:r w:rsidRPr="002F3A26">
              <w:t>0.84</w:t>
            </w:r>
          </w:p>
        </w:tc>
        <w:tc>
          <w:tcPr>
            <w:tcW w:w="1062" w:type="dxa"/>
          </w:tcPr>
          <w:p w14:paraId="49E27337" w14:textId="4867C1BB" w:rsidR="008B59E5" w:rsidRPr="002F3A26" w:rsidRDefault="008B59E5" w:rsidP="008B59E5">
            <w:pPr>
              <w:pStyle w:val="TableParagraph"/>
              <w:ind w:left="170"/>
              <w:rPr>
                <w:rFonts w:cs="Arial"/>
              </w:rPr>
            </w:pPr>
            <w:r w:rsidRPr="002F3A26">
              <w:t>0.87</w:t>
            </w:r>
          </w:p>
        </w:tc>
        <w:tc>
          <w:tcPr>
            <w:tcW w:w="1062" w:type="dxa"/>
          </w:tcPr>
          <w:p w14:paraId="09997D9C" w14:textId="798D2691" w:rsidR="008B59E5" w:rsidRPr="002F3A26" w:rsidRDefault="008B59E5" w:rsidP="008B59E5">
            <w:pPr>
              <w:pStyle w:val="TableParagraph"/>
              <w:ind w:left="170"/>
            </w:pPr>
            <w:r w:rsidRPr="002F3A26">
              <w:t>1.01</w:t>
            </w:r>
          </w:p>
        </w:tc>
        <w:tc>
          <w:tcPr>
            <w:tcW w:w="1062" w:type="dxa"/>
          </w:tcPr>
          <w:p w14:paraId="6074731B" w14:textId="1D93AE20" w:rsidR="008B59E5" w:rsidRPr="002F3A26" w:rsidRDefault="008B59E5" w:rsidP="008B59E5">
            <w:pPr>
              <w:pStyle w:val="TableParagraph"/>
              <w:ind w:left="170"/>
            </w:pPr>
            <w:r w:rsidRPr="002F3A26">
              <w:t>0.91</w:t>
            </w:r>
          </w:p>
        </w:tc>
        <w:tc>
          <w:tcPr>
            <w:tcW w:w="1063" w:type="dxa"/>
          </w:tcPr>
          <w:p w14:paraId="6E70BDCE" w14:textId="1DDA3F29" w:rsidR="008B59E5" w:rsidRPr="002F3A26" w:rsidRDefault="008B59E5" w:rsidP="008B59E5">
            <w:pPr>
              <w:pStyle w:val="TableParagraph"/>
              <w:ind w:left="170"/>
            </w:pPr>
            <w:r w:rsidRPr="002F3A26">
              <w:t>0.87</w:t>
            </w:r>
            <w:r w:rsidRPr="002F3A26">
              <w:rPr>
                <w:vertAlign w:val="superscript"/>
              </w:rPr>
              <w:t>*</w:t>
            </w:r>
          </w:p>
        </w:tc>
        <w:tc>
          <w:tcPr>
            <w:tcW w:w="1062" w:type="dxa"/>
          </w:tcPr>
          <w:p w14:paraId="5BDED11B" w14:textId="505A8C3E" w:rsidR="008B59E5" w:rsidRPr="002F3A26" w:rsidRDefault="008B59E5" w:rsidP="008B59E5">
            <w:pPr>
              <w:pStyle w:val="TableParagraph"/>
              <w:ind w:left="170"/>
            </w:pPr>
            <w:r w:rsidRPr="002F3A26">
              <w:t>0.71</w:t>
            </w:r>
            <w:r w:rsidRPr="002F3A26">
              <w:rPr>
                <w:vertAlign w:val="superscript"/>
              </w:rPr>
              <w:t>***</w:t>
            </w:r>
          </w:p>
        </w:tc>
        <w:tc>
          <w:tcPr>
            <w:tcW w:w="1062" w:type="dxa"/>
          </w:tcPr>
          <w:p w14:paraId="0E08D2F2" w14:textId="1F762705" w:rsidR="008B59E5" w:rsidRPr="002F3A26" w:rsidRDefault="008B59E5" w:rsidP="008B59E5">
            <w:pPr>
              <w:pStyle w:val="TableParagraph"/>
              <w:ind w:left="170"/>
            </w:pPr>
            <w:r w:rsidRPr="002F3A26">
              <w:t>1.02</w:t>
            </w:r>
          </w:p>
        </w:tc>
        <w:tc>
          <w:tcPr>
            <w:tcW w:w="1062" w:type="dxa"/>
          </w:tcPr>
          <w:p w14:paraId="6E9BB85D" w14:textId="05305A21" w:rsidR="008B59E5" w:rsidRPr="002F3A26" w:rsidRDefault="008B59E5" w:rsidP="008B59E5">
            <w:pPr>
              <w:pStyle w:val="TableParagraph"/>
              <w:ind w:left="170"/>
            </w:pPr>
            <w:r w:rsidRPr="002F3A26">
              <w:t>0.99</w:t>
            </w:r>
          </w:p>
        </w:tc>
        <w:tc>
          <w:tcPr>
            <w:tcW w:w="1062" w:type="dxa"/>
          </w:tcPr>
          <w:p w14:paraId="66FCC8A9" w14:textId="7AE9DC57" w:rsidR="008B59E5" w:rsidRPr="002F3A26" w:rsidRDefault="008B59E5" w:rsidP="008B59E5">
            <w:pPr>
              <w:pStyle w:val="TableParagraph"/>
              <w:ind w:left="170"/>
            </w:pPr>
            <w:r w:rsidRPr="002F3A26">
              <w:t>0.84</w:t>
            </w:r>
          </w:p>
        </w:tc>
        <w:tc>
          <w:tcPr>
            <w:tcW w:w="1063" w:type="dxa"/>
          </w:tcPr>
          <w:p w14:paraId="0AAAE56C" w14:textId="1A6061A5" w:rsidR="008B59E5" w:rsidRPr="002F3A26" w:rsidRDefault="008B59E5" w:rsidP="008B59E5">
            <w:pPr>
              <w:pStyle w:val="TableParagraph"/>
              <w:ind w:left="170"/>
            </w:pPr>
            <w:r w:rsidRPr="002F3A26">
              <w:t>1.10</w:t>
            </w:r>
          </w:p>
        </w:tc>
      </w:tr>
      <w:tr w:rsidR="008B59E5" w:rsidRPr="002F3A26" w14:paraId="28C8721B" w14:textId="59301488" w:rsidTr="00D17B28">
        <w:trPr>
          <w:trHeight w:val="218"/>
        </w:trPr>
        <w:tc>
          <w:tcPr>
            <w:tcW w:w="2264" w:type="dxa"/>
          </w:tcPr>
          <w:p w14:paraId="13AABC2D" w14:textId="103C4E11" w:rsidR="008B59E5" w:rsidRPr="002F3A26" w:rsidRDefault="008B59E5" w:rsidP="008B59E5">
            <w:pPr>
              <w:pStyle w:val="TableParagraph"/>
              <w:rPr>
                <w:rFonts w:cs="Arial"/>
              </w:rPr>
            </w:pPr>
            <w:r w:rsidRPr="002F3A26">
              <w:t xml:space="preserve">FiF # </w:t>
            </w:r>
            <w:r w:rsidR="009F5FEC">
              <w:t>RR</w:t>
            </w:r>
          </w:p>
        </w:tc>
        <w:tc>
          <w:tcPr>
            <w:tcW w:w="1062" w:type="dxa"/>
          </w:tcPr>
          <w:p w14:paraId="1801D308" w14:textId="46206F05" w:rsidR="008B59E5" w:rsidRPr="002F3A26" w:rsidRDefault="008B59E5" w:rsidP="008B59E5">
            <w:pPr>
              <w:pStyle w:val="TableParagraph"/>
              <w:ind w:left="170"/>
              <w:rPr>
                <w:rFonts w:cs="Arial"/>
              </w:rPr>
            </w:pPr>
            <w:r w:rsidRPr="002F3A26">
              <w:t>1.12</w:t>
            </w:r>
            <w:r w:rsidRPr="002F3A26">
              <w:rPr>
                <w:vertAlign w:val="superscript"/>
              </w:rPr>
              <w:t>*</w:t>
            </w:r>
          </w:p>
        </w:tc>
        <w:tc>
          <w:tcPr>
            <w:tcW w:w="1062" w:type="dxa"/>
          </w:tcPr>
          <w:p w14:paraId="190994BA" w14:textId="47396F10" w:rsidR="008B59E5" w:rsidRPr="002F3A26" w:rsidRDefault="008B59E5" w:rsidP="008B59E5">
            <w:pPr>
              <w:pStyle w:val="TableParagraph"/>
              <w:ind w:left="170"/>
              <w:rPr>
                <w:rFonts w:cs="Arial"/>
              </w:rPr>
            </w:pPr>
            <w:r w:rsidRPr="002F3A26">
              <w:t>1.09</w:t>
            </w:r>
          </w:p>
        </w:tc>
        <w:tc>
          <w:tcPr>
            <w:tcW w:w="1062" w:type="dxa"/>
          </w:tcPr>
          <w:p w14:paraId="1F9B6D9A" w14:textId="58EC4D21" w:rsidR="008B59E5" w:rsidRPr="002F3A26" w:rsidRDefault="008B59E5" w:rsidP="008B59E5">
            <w:pPr>
              <w:pStyle w:val="TableParagraph"/>
              <w:ind w:left="170"/>
              <w:rPr>
                <w:rFonts w:cs="Arial"/>
              </w:rPr>
            </w:pPr>
            <w:r w:rsidRPr="002F3A26">
              <w:t>1.10</w:t>
            </w:r>
          </w:p>
        </w:tc>
        <w:tc>
          <w:tcPr>
            <w:tcW w:w="1062" w:type="dxa"/>
          </w:tcPr>
          <w:p w14:paraId="6E99623E" w14:textId="5048FD94" w:rsidR="008B59E5" w:rsidRPr="002F3A26" w:rsidRDefault="008B59E5" w:rsidP="008B59E5">
            <w:pPr>
              <w:pStyle w:val="TableParagraph"/>
              <w:ind w:left="170"/>
            </w:pPr>
            <w:r w:rsidRPr="002F3A26">
              <w:t>0.74</w:t>
            </w:r>
            <w:r w:rsidRPr="002F3A26">
              <w:rPr>
                <w:vertAlign w:val="superscript"/>
              </w:rPr>
              <w:t>***</w:t>
            </w:r>
          </w:p>
        </w:tc>
        <w:tc>
          <w:tcPr>
            <w:tcW w:w="1062" w:type="dxa"/>
          </w:tcPr>
          <w:p w14:paraId="0D5AE93A" w14:textId="5B216368" w:rsidR="008B59E5" w:rsidRPr="002F3A26" w:rsidRDefault="008B59E5" w:rsidP="008B59E5">
            <w:pPr>
              <w:pStyle w:val="TableParagraph"/>
              <w:ind w:left="170"/>
            </w:pPr>
            <w:r w:rsidRPr="002F3A26">
              <w:t>1.25</w:t>
            </w:r>
            <w:r w:rsidRPr="002F3A26">
              <w:rPr>
                <w:vertAlign w:val="superscript"/>
              </w:rPr>
              <w:t>*</w:t>
            </w:r>
          </w:p>
        </w:tc>
        <w:tc>
          <w:tcPr>
            <w:tcW w:w="1063" w:type="dxa"/>
          </w:tcPr>
          <w:p w14:paraId="73B1FD8E" w14:textId="40938D27" w:rsidR="008B59E5" w:rsidRPr="002F3A26" w:rsidRDefault="008B59E5" w:rsidP="008B59E5">
            <w:pPr>
              <w:pStyle w:val="TableParagraph"/>
              <w:ind w:left="170"/>
            </w:pPr>
            <w:r w:rsidRPr="002F3A26">
              <w:t>1.02</w:t>
            </w:r>
          </w:p>
        </w:tc>
        <w:tc>
          <w:tcPr>
            <w:tcW w:w="1062" w:type="dxa"/>
          </w:tcPr>
          <w:p w14:paraId="780C50C8" w14:textId="0E5030BA" w:rsidR="008B59E5" w:rsidRPr="002F3A26" w:rsidRDefault="008B59E5" w:rsidP="008B59E5">
            <w:pPr>
              <w:pStyle w:val="TableParagraph"/>
              <w:ind w:left="170"/>
            </w:pPr>
            <w:r w:rsidRPr="002F3A26">
              <w:t>0.87</w:t>
            </w:r>
            <w:r w:rsidRPr="002F3A26">
              <w:rPr>
                <w:vertAlign w:val="superscript"/>
              </w:rPr>
              <w:t>**</w:t>
            </w:r>
          </w:p>
        </w:tc>
        <w:tc>
          <w:tcPr>
            <w:tcW w:w="1062" w:type="dxa"/>
          </w:tcPr>
          <w:p w14:paraId="0B841334" w14:textId="41AA1683" w:rsidR="008B59E5" w:rsidRPr="002F3A26" w:rsidRDefault="008B59E5" w:rsidP="008B59E5">
            <w:pPr>
              <w:pStyle w:val="TableParagraph"/>
              <w:ind w:left="170"/>
            </w:pPr>
            <w:r w:rsidRPr="002F3A26">
              <w:t>1.12</w:t>
            </w:r>
            <w:r w:rsidRPr="002F3A26">
              <w:rPr>
                <w:vertAlign w:val="superscript"/>
              </w:rPr>
              <w:t>**</w:t>
            </w:r>
          </w:p>
        </w:tc>
        <w:tc>
          <w:tcPr>
            <w:tcW w:w="1062" w:type="dxa"/>
          </w:tcPr>
          <w:p w14:paraId="24909D5E" w14:textId="072B450A" w:rsidR="008B59E5" w:rsidRPr="002F3A26" w:rsidRDefault="008B59E5" w:rsidP="008B59E5">
            <w:pPr>
              <w:pStyle w:val="TableParagraph"/>
              <w:ind w:left="170"/>
            </w:pPr>
            <w:r w:rsidRPr="002F3A26">
              <w:t>0.93</w:t>
            </w:r>
          </w:p>
        </w:tc>
        <w:tc>
          <w:tcPr>
            <w:tcW w:w="1062" w:type="dxa"/>
          </w:tcPr>
          <w:p w14:paraId="5AF1F191" w14:textId="17068B3F" w:rsidR="008B59E5" w:rsidRPr="002F3A26" w:rsidRDefault="008B59E5" w:rsidP="008B59E5">
            <w:pPr>
              <w:pStyle w:val="TableParagraph"/>
              <w:ind w:left="170"/>
            </w:pPr>
            <w:r w:rsidRPr="002F3A26">
              <w:t>0.96</w:t>
            </w:r>
          </w:p>
        </w:tc>
        <w:tc>
          <w:tcPr>
            <w:tcW w:w="1063" w:type="dxa"/>
          </w:tcPr>
          <w:p w14:paraId="0ECD4063" w14:textId="59D571BB" w:rsidR="008B59E5" w:rsidRPr="002F3A26" w:rsidRDefault="008B59E5" w:rsidP="008B59E5">
            <w:pPr>
              <w:pStyle w:val="TableParagraph"/>
              <w:ind w:left="170"/>
            </w:pPr>
            <w:r w:rsidRPr="002F3A26">
              <w:t>0.97</w:t>
            </w:r>
          </w:p>
        </w:tc>
      </w:tr>
      <w:tr w:rsidR="008B59E5" w:rsidRPr="002F3A26" w14:paraId="795A36E8" w14:textId="732BE157" w:rsidTr="00D17B28">
        <w:trPr>
          <w:trHeight w:val="218"/>
        </w:trPr>
        <w:tc>
          <w:tcPr>
            <w:tcW w:w="2264" w:type="dxa"/>
          </w:tcPr>
          <w:p w14:paraId="2CCE4263" w14:textId="4FA74CEB" w:rsidR="008B59E5" w:rsidRPr="002F3A26" w:rsidRDefault="008B59E5" w:rsidP="008B59E5">
            <w:pPr>
              <w:pStyle w:val="TableParagraph"/>
              <w:rPr>
                <w:rFonts w:cs="Arial"/>
              </w:rPr>
            </w:pPr>
            <w:r w:rsidRPr="002F3A26">
              <w:t>FiF # Indigenous</w:t>
            </w:r>
          </w:p>
        </w:tc>
        <w:tc>
          <w:tcPr>
            <w:tcW w:w="1062" w:type="dxa"/>
          </w:tcPr>
          <w:p w14:paraId="7FD59BDD" w14:textId="78705EF5" w:rsidR="008B59E5" w:rsidRPr="002F3A26" w:rsidRDefault="008B59E5" w:rsidP="008B59E5">
            <w:pPr>
              <w:pStyle w:val="TableParagraph"/>
              <w:ind w:left="170"/>
              <w:rPr>
                <w:rFonts w:cs="Arial"/>
              </w:rPr>
            </w:pPr>
            <w:r w:rsidRPr="002F3A26">
              <w:t>0.98</w:t>
            </w:r>
          </w:p>
        </w:tc>
        <w:tc>
          <w:tcPr>
            <w:tcW w:w="1062" w:type="dxa"/>
          </w:tcPr>
          <w:p w14:paraId="40C96D90" w14:textId="041F1551" w:rsidR="008B59E5" w:rsidRPr="002F3A26" w:rsidRDefault="008B59E5" w:rsidP="008B59E5">
            <w:pPr>
              <w:pStyle w:val="TableParagraph"/>
              <w:ind w:left="170"/>
              <w:rPr>
                <w:rFonts w:cs="Arial"/>
              </w:rPr>
            </w:pPr>
            <w:r w:rsidRPr="002F3A26">
              <w:t>0.54</w:t>
            </w:r>
            <w:r w:rsidRPr="002F3A26">
              <w:rPr>
                <w:vertAlign w:val="superscript"/>
              </w:rPr>
              <w:t>*</w:t>
            </w:r>
          </w:p>
        </w:tc>
        <w:tc>
          <w:tcPr>
            <w:tcW w:w="1062" w:type="dxa"/>
          </w:tcPr>
          <w:p w14:paraId="0A7D05F5" w14:textId="7C54D0EC" w:rsidR="008B59E5" w:rsidRPr="002F3A26" w:rsidRDefault="008B59E5" w:rsidP="008B59E5">
            <w:pPr>
              <w:pStyle w:val="TableParagraph"/>
              <w:ind w:left="170"/>
              <w:rPr>
                <w:rFonts w:cs="Arial"/>
              </w:rPr>
            </w:pPr>
            <w:r w:rsidRPr="002F3A26">
              <w:t>1.00</w:t>
            </w:r>
          </w:p>
        </w:tc>
        <w:tc>
          <w:tcPr>
            <w:tcW w:w="1062" w:type="dxa"/>
          </w:tcPr>
          <w:p w14:paraId="0D1C394B" w14:textId="172AB12E" w:rsidR="008B59E5" w:rsidRPr="002F3A26" w:rsidRDefault="008B59E5" w:rsidP="008B59E5">
            <w:pPr>
              <w:pStyle w:val="TableParagraph"/>
              <w:ind w:left="170"/>
            </w:pPr>
            <w:r w:rsidRPr="002F3A26">
              <w:t>0.50</w:t>
            </w:r>
            <w:r w:rsidRPr="002F3A26">
              <w:rPr>
                <w:vertAlign w:val="superscript"/>
              </w:rPr>
              <w:t>*</w:t>
            </w:r>
          </w:p>
        </w:tc>
        <w:tc>
          <w:tcPr>
            <w:tcW w:w="1062" w:type="dxa"/>
          </w:tcPr>
          <w:p w14:paraId="0ECEAAE5" w14:textId="1EB4CB72" w:rsidR="008B59E5" w:rsidRPr="002F3A26" w:rsidRDefault="008B59E5" w:rsidP="008B59E5">
            <w:pPr>
              <w:pStyle w:val="TableParagraph"/>
              <w:ind w:left="170"/>
            </w:pPr>
            <w:r w:rsidRPr="002F3A26">
              <w:t>2.15</w:t>
            </w:r>
          </w:p>
        </w:tc>
        <w:tc>
          <w:tcPr>
            <w:tcW w:w="1063" w:type="dxa"/>
          </w:tcPr>
          <w:p w14:paraId="297ED2F5" w14:textId="700F331F" w:rsidR="008B59E5" w:rsidRPr="002F3A26" w:rsidRDefault="008B59E5" w:rsidP="008B59E5">
            <w:pPr>
              <w:pStyle w:val="TableParagraph"/>
              <w:ind w:left="170"/>
            </w:pPr>
            <w:r w:rsidRPr="002F3A26">
              <w:t>0.92</w:t>
            </w:r>
          </w:p>
        </w:tc>
        <w:tc>
          <w:tcPr>
            <w:tcW w:w="1062" w:type="dxa"/>
          </w:tcPr>
          <w:p w14:paraId="096AEDC6" w14:textId="4DA1E52C" w:rsidR="008B59E5" w:rsidRPr="002F3A26" w:rsidRDefault="008B59E5" w:rsidP="008B59E5">
            <w:pPr>
              <w:pStyle w:val="TableParagraph"/>
              <w:ind w:left="170"/>
            </w:pPr>
            <w:r w:rsidRPr="002F3A26">
              <w:t>0.62</w:t>
            </w:r>
            <w:r w:rsidRPr="002F3A26">
              <w:rPr>
                <w:vertAlign w:val="superscript"/>
              </w:rPr>
              <w:t>**</w:t>
            </w:r>
          </w:p>
        </w:tc>
        <w:tc>
          <w:tcPr>
            <w:tcW w:w="1062" w:type="dxa"/>
          </w:tcPr>
          <w:p w14:paraId="6630776E" w14:textId="2BCE0C31" w:rsidR="008B59E5" w:rsidRPr="002F3A26" w:rsidRDefault="008B59E5" w:rsidP="008B59E5">
            <w:pPr>
              <w:pStyle w:val="TableParagraph"/>
              <w:ind w:left="170"/>
            </w:pPr>
            <w:r w:rsidRPr="002F3A26">
              <w:t>0.94</w:t>
            </w:r>
          </w:p>
        </w:tc>
        <w:tc>
          <w:tcPr>
            <w:tcW w:w="1062" w:type="dxa"/>
          </w:tcPr>
          <w:p w14:paraId="7570BC77" w14:textId="234F8B8C" w:rsidR="008B59E5" w:rsidRPr="002F3A26" w:rsidRDefault="008B59E5" w:rsidP="008B59E5">
            <w:pPr>
              <w:pStyle w:val="TableParagraph"/>
              <w:ind w:left="170"/>
            </w:pPr>
            <w:r w:rsidRPr="002F3A26">
              <w:t>0.74</w:t>
            </w:r>
          </w:p>
        </w:tc>
        <w:tc>
          <w:tcPr>
            <w:tcW w:w="1062" w:type="dxa"/>
          </w:tcPr>
          <w:p w14:paraId="00FB16CC" w14:textId="2178E8AC" w:rsidR="008B59E5" w:rsidRPr="002F3A26" w:rsidRDefault="008B59E5" w:rsidP="008B59E5">
            <w:pPr>
              <w:pStyle w:val="TableParagraph"/>
              <w:ind w:left="170"/>
            </w:pPr>
            <w:r w:rsidRPr="002F3A26">
              <w:t>1.28</w:t>
            </w:r>
          </w:p>
        </w:tc>
        <w:tc>
          <w:tcPr>
            <w:tcW w:w="1063" w:type="dxa"/>
          </w:tcPr>
          <w:p w14:paraId="3BA64370" w14:textId="51A288AD" w:rsidR="008B59E5" w:rsidRPr="002F3A26" w:rsidRDefault="008B59E5" w:rsidP="008B59E5">
            <w:pPr>
              <w:pStyle w:val="TableParagraph"/>
              <w:ind w:left="170"/>
            </w:pPr>
            <w:r w:rsidRPr="002F3A26">
              <w:t>0.96</w:t>
            </w:r>
          </w:p>
        </w:tc>
      </w:tr>
      <w:tr w:rsidR="008B59E5" w:rsidRPr="002F3A26" w14:paraId="651BB8C9" w14:textId="7475E36C" w:rsidTr="00D17B28">
        <w:trPr>
          <w:trHeight w:val="218"/>
        </w:trPr>
        <w:tc>
          <w:tcPr>
            <w:tcW w:w="2264" w:type="dxa"/>
          </w:tcPr>
          <w:p w14:paraId="14F9573F" w14:textId="628A1FA1" w:rsidR="008B59E5" w:rsidRPr="002F3A26" w:rsidRDefault="008B59E5" w:rsidP="008B59E5">
            <w:pPr>
              <w:pStyle w:val="TableParagraph"/>
              <w:rPr>
                <w:rFonts w:cs="Arial"/>
              </w:rPr>
            </w:pPr>
            <w:r w:rsidRPr="002F3A26">
              <w:t>FiF # NESB</w:t>
            </w:r>
          </w:p>
        </w:tc>
        <w:tc>
          <w:tcPr>
            <w:tcW w:w="1062" w:type="dxa"/>
          </w:tcPr>
          <w:p w14:paraId="3C94D431" w14:textId="49C55AAD" w:rsidR="008B59E5" w:rsidRPr="002F3A26" w:rsidRDefault="008B59E5" w:rsidP="008B59E5">
            <w:pPr>
              <w:pStyle w:val="TableParagraph"/>
              <w:ind w:left="170"/>
              <w:rPr>
                <w:rFonts w:cs="Arial"/>
              </w:rPr>
            </w:pPr>
            <w:r w:rsidRPr="002F3A26">
              <w:t>0.86</w:t>
            </w:r>
          </w:p>
        </w:tc>
        <w:tc>
          <w:tcPr>
            <w:tcW w:w="1062" w:type="dxa"/>
          </w:tcPr>
          <w:p w14:paraId="349D4081" w14:textId="0070F952" w:rsidR="008B59E5" w:rsidRPr="002F3A26" w:rsidRDefault="008B59E5" w:rsidP="008B59E5">
            <w:pPr>
              <w:pStyle w:val="TableParagraph"/>
              <w:ind w:left="170"/>
              <w:rPr>
                <w:rFonts w:cs="Arial"/>
              </w:rPr>
            </w:pPr>
            <w:r w:rsidRPr="002F3A26">
              <w:t>0.85</w:t>
            </w:r>
          </w:p>
        </w:tc>
        <w:tc>
          <w:tcPr>
            <w:tcW w:w="1062" w:type="dxa"/>
          </w:tcPr>
          <w:p w14:paraId="0FC07380" w14:textId="2D1C9097" w:rsidR="008B59E5" w:rsidRPr="002F3A26" w:rsidRDefault="008B59E5" w:rsidP="008B59E5">
            <w:pPr>
              <w:pStyle w:val="TableParagraph"/>
              <w:ind w:left="170"/>
              <w:rPr>
                <w:rFonts w:cs="Arial"/>
              </w:rPr>
            </w:pPr>
            <w:r w:rsidRPr="002F3A26">
              <w:t>0.92</w:t>
            </w:r>
          </w:p>
        </w:tc>
        <w:tc>
          <w:tcPr>
            <w:tcW w:w="1062" w:type="dxa"/>
          </w:tcPr>
          <w:p w14:paraId="38BB9E34" w14:textId="293F1A4E" w:rsidR="008B59E5" w:rsidRPr="002F3A26" w:rsidRDefault="008B59E5" w:rsidP="008B59E5">
            <w:pPr>
              <w:pStyle w:val="TableParagraph"/>
              <w:ind w:left="170"/>
            </w:pPr>
            <w:r w:rsidRPr="002F3A26">
              <w:t>0.97</w:t>
            </w:r>
          </w:p>
        </w:tc>
        <w:tc>
          <w:tcPr>
            <w:tcW w:w="1062" w:type="dxa"/>
          </w:tcPr>
          <w:p w14:paraId="10B11633" w14:textId="72770736" w:rsidR="008B59E5" w:rsidRPr="002F3A26" w:rsidRDefault="008B59E5" w:rsidP="008B59E5">
            <w:pPr>
              <w:pStyle w:val="TableParagraph"/>
              <w:ind w:left="170"/>
            </w:pPr>
            <w:r w:rsidRPr="002F3A26">
              <w:t>0.88</w:t>
            </w:r>
          </w:p>
        </w:tc>
        <w:tc>
          <w:tcPr>
            <w:tcW w:w="1063" w:type="dxa"/>
          </w:tcPr>
          <w:p w14:paraId="74AD5148" w14:textId="0B1BACD5" w:rsidR="008B59E5" w:rsidRPr="002F3A26" w:rsidRDefault="008B59E5" w:rsidP="008B59E5">
            <w:pPr>
              <w:pStyle w:val="TableParagraph"/>
              <w:ind w:left="170"/>
            </w:pPr>
            <w:r w:rsidRPr="002F3A26">
              <w:t>0.84</w:t>
            </w:r>
            <w:r w:rsidRPr="002F3A26">
              <w:rPr>
                <w:vertAlign w:val="superscript"/>
              </w:rPr>
              <w:t>*</w:t>
            </w:r>
          </w:p>
        </w:tc>
        <w:tc>
          <w:tcPr>
            <w:tcW w:w="1062" w:type="dxa"/>
          </w:tcPr>
          <w:p w14:paraId="2608C2FF" w14:textId="174795CF" w:rsidR="008B59E5" w:rsidRPr="002F3A26" w:rsidRDefault="008B59E5" w:rsidP="008B59E5">
            <w:pPr>
              <w:pStyle w:val="TableParagraph"/>
              <w:ind w:left="170"/>
            </w:pPr>
            <w:r w:rsidRPr="002F3A26">
              <w:t>0.86</w:t>
            </w:r>
          </w:p>
        </w:tc>
        <w:tc>
          <w:tcPr>
            <w:tcW w:w="1062" w:type="dxa"/>
          </w:tcPr>
          <w:p w14:paraId="392D83CF" w14:textId="41E3FB26" w:rsidR="008B59E5" w:rsidRPr="002F3A26" w:rsidRDefault="008B59E5" w:rsidP="008B59E5">
            <w:pPr>
              <w:pStyle w:val="TableParagraph"/>
              <w:ind w:left="170"/>
            </w:pPr>
            <w:r w:rsidRPr="002F3A26">
              <w:t>0.90</w:t>
            </w:r>
          </w:p>
        </w:tc>
        <w:tc>
          <w:tcPr>
            <w:tcW w:w="1062" w:type="dxa"/>
          </w:tcPr>
          <w:p w14:paraId="69A29354" w14:textId="3B871AAF" w:rsidR="008B59E5" w:rsidRPr="002F3A26" w:rsidRDefault="008B59E5" w:rsidP="008B59E5">
            <w:pPr>
              <w:pStyle w:val="TableParagraph"/>
              <w:ind w:left="170"/>
            </w:pPr>
            <w:r w:rsidRPr="002F3A26">
              <w:t>0.89</w:t>
            </w:r>
          </w:p>
        </w:tc>
        <w:tc>
          <w:tcPr>
            <w:tcW w:w="1062" w:type="dxa"/>
          </w:tcPr>
          <w:p w14:paraId="1CFAE957" w14:textId="28239123" w:rsidR="008B59E5" w:rsidRPr="002F3A26" w:rsidRDefault="008B59E5" w:rsidP="008B59E5">
            <w:pPr>
              <w:pStyle w:val="TableParagraph"/>
              <w:ind w:left="170"/>
            </w:pPr>
            <w:r w:rsidRPr="002F3A26">
              <w:t>1.05</w:t>
            </w:r>
          </w:p>
        </w:tc>
        <w:tc>
          <w:tcPr>
            <w:tcW w:w="1063" w:type="dxa"/>
          </w:tcPr>
          <w:p w14:paraId="60D670B1" w14:textId="1170361A" w:rsidR="008B59E5" w:rsidRPr="002F3A26" w:rsidRDefault="008B59E5" w:rsidP="008B59E5">
            <w:pPr>
              <w:pStyle w:val="TableParagraph"/>
              <w:ind w:left="170"/>
            </w:pPr>
            <w:r w:rsidRPr="002F3A26">
              <w:t>0.72</w:t>
            </w:r>
          </w:p>
        </w:tc>
      </w:tr>
      <w:tr w:rsidR="008B59E5" w:rsidRPr="002F3A26" w14:paraId="48470194" w14:textId="1DAE1816" w:rsidTr="00D17B28">
        <w:trPr>
          <w:trHeight w:val="218"/>
        </w:trPr>
        <w:tc>
          <w:tcPr>
            <w:tcW w:w="2264" w:type="dxa"/>
          </w:tcPr>
          <w:p w14:paraId="738CD534" w14:textId="6E1EC3FE" w:rsidR="008B59E5" w:rsidRPr="002F3A26" w:rsidRDefault="008B59E5" w:rsidP="008B59E5">
            <w:pPr>
              <w:pStyle w:val="TableParagraph"/>
              <w:rPr>
                <w:rFonts w:cs="Arial"/>
              </w:rPr>
            </w:pPr>
            <w:r w:rsidRPr="002F3A26">
              <w:t>FiF # Women</w:t>
            </w:r>
          </w:p>
        </w:tc>
        <w:tc>
          <w:tcPr>
            <w:tcW w:w="1062" w:type="dxa"/>
          </w:tcPr>
          <w:p w14:paraId="7CDC1217" w14:textId="3C15B282" w:rsidR="008B59E5" w:rsidRPr="002F3A26" w:rsidRDefault="008B59E5" w:rsidP="008B59E5">
            <w:pPr>
              <w:pStyle w:val="TableParagraph"/>
              <w:ind w:left="170"/>
              <w:rPr>
                <w:rFonts w:cs="Arial"/>
              </w:rPr>
            </w:pPr>
            <w:r w:rsidRPr="002F3A26">
              <w:t>0.90</w:t>
            </w:r>
            <w:r w:rsidRPr="002F3A26">
              <w:rPr>
                <w:vertAlign w:val="superscript"/>
              </w:rPr>
              <w:t>**</w:t>
            </w:r>
          </w:p>
        </w:tc>
        <w:tc>
          <w:tcPr>
            <w:tcW w:w="1062" w:type="dxa"/>
          </w:tcPr>
          <w:p w14:paraId="21AEF345" w14:textId="3FD3D863" w:rsidR="008B59E5" w:rsidRPr="002F3A26" w:rsidRDefault="008B59E5" w:rsidP="008B59E5">
            <w:pPr>
              <w:pStyle w:val="TableParagraph"/>
              <w:ind w:left="170"/>
              <w:rPr>
                <w:rFonts w:cs="Arial"/>
              </w:rPr>
            </w:pPr>
            <w:r w:rsidRPr="002F3A26">
              <w:t>0.64</w:t>
            </w:r>
            <w:r w:rsidRPr="002F3A26">
              <w:rPr>
                <w:vertAlign w:val="superscript"/>
              </w:rPr>
              <w:t>***</w:t>
            </w:r>
          </w:p>
        </w:tc>
        <w:tc>
          <w:tcPr>
            <w:tcW w:w="1062" w:type="dxa"/>
          </w:tcPr>
          <w:p w14:paraId="4FB75BBB" w14:textId="395A7A08" w:rsidR="008B59E5" w:rsidRPr="002F3A26" w:rsidRDefault="008B59E5" w:rsidP="008B59E5">
            <w:pPr>
              <w:pStyle w:val="TableParagraph"/>
              <w:ind w:left="170"/>
              <w:rPr>
                <w:rFonts w:cs="Arial"/>
              </w:rPr>
            </w:pPr>
            <w:r w:rsidRPr="002F3A26">
              <w:t>0.59</w:t>
            </w:r>
            <w:r w:rsidRPr="002F3A26">
              <w:rPr>
                <w:vertAlign w:val="superscript"/>
              </w:rPr>
              <w:t>***</w:t>
            </w:r>
          </w:p>
        </w:tc>
        <w:tc>
          <w:tcPr>
            <w:tcW w:w="1062" w:type="dxa"/>
          </w:tcPr>
          <w:p w14:paraId="76D6C19E" w14:textId="5B5C02C5" w:rsidR="008B59E5" w:rsidRPr="002F3A26" w:rsidRDefault="008B59E5" w:rsidP="008B59E5">
            <w:pPr>
              <w:pStyle w:val="TableParagraph"/>
              <w:ind w:left="170"/>
            </w:pPr>
            <w:r w:rsidRPr="002F3A26">
              <w:t>0.56</w:t>
            </w:r>
            <w:r w:rsidRPr="002F3A26">
              <w:rPr>
                <w:vertAlign w:val="superscript"/>
              </w:rPr>
              <w:t>***</w:t>
            </w:r>
          </w:p>
        </w:tc>
        <w:tc>
          <w:tcPr>
            <w:tcW w:w="1062" w:type="dxa"/>
          </w:tcPr>
          <w:p w14:paraId="27CED4B8" w14:textId="6C0768CB" w:rsidR="008B59E5" w:rsidRPr="002F3A26" w:rsidRDefault="008B59E5" w:rsidP="008B59E5">
            <w:pPr>
              <w:pStyle w:val="TableParagraph"/>
              <w:ind w:left="170"/>
            </w:pPr>
            <w:r w:rsidRPr="002F3A26">
              <w:t>1.07</w:t>
            </w:r>
          </w:p>
        </w:tc>
        <w:tc>
          <w:tcPr>
            <w:tcW w:w="1063" w:type="dxa"/>
          </w:tcPr>
          <w:p w14:paraId="44C35628" w14:textId="4B7D9987" w:rsidR="008B59E5" w:rsidRPr="002F3A26" w:rsidRDefault="008B59E5" w:rsidP="008B59E5">
            <w:pPr>
              <w:pStyle w:val="TableParagraph"/>
              <w:ind w:left="170"/>
            </w:pPr>
            <w:r w:rsidRPr="002F3A26">
              <w:t>1.03</w:t>
            </w:r>
          </w:p>
        </w:tc>
        <w:tc>
          <w:tcPr>
            <w:tcW w:w="1062" w:type="dxa"/>
          </w:tcPr>
          <w:p w14:paraId="3D465DF0" w14:textId="04F3DDD5" w:rsidR="008B59E5" w:rsidRPr="002F3A26" w:rsidRDefault="008B59E5" w:rsidP="008B59E5">
            <w:pPr>
              <w:pStyle w:val="TableParagraph"/>
              <w:ind w:left="170"/>
            </w:pPr>
            <w:r w:rsidRPr="002F3A26">
              <w:t>1.04</w:t>
            </w:r>
          </w:p>
        </w:tc>
        <w:tc>
          <w:tcPr>
            <w:tcW w:w="1062" w:type="dxa"/>
          </w:tcPr>
          <w:p w14:paraId="4F8E9275" w14:textId="67A42ED2" w:rsidR="008B59E5" w:rsidRPr="002F3A26" w:rsidRDefault="008B59E5" w:rsidP="008B59E5">
            <w:pPr>
              <w:pStyle w:val="TableParagraph"/>
              <w:ind w:left="170"/>
            </w:pPr>
            <w:r w:rsidRPr="002F3A26">
              <w:t>1.04</w:t>
            </w:r>
          </w:p>
        </w:tc>
        <w:tc>
          <w:tcPr>
            <w:tcW w:w="1062" w:type="dxa"/>
          </w:tcPr>
          <w:p w14:paraId="3ADEB90B" w14:textId="09E49268" w:rsidR="008B59E5" w:rsidRPr="002F3A26" w:rsidRDefault="008B59E5" w:rsidP="008B59E5">
            <w:pPr>
              <w:pStyle w:val="TableParagraph"/>
              <w:ind w:left="170"/>
            </w:pPr>
            <w:r w:rsidRPr="002F3A26">
              <w:t>0.85</w:t>
            </w:r>
            <w:r w:rsidRPr="002F3A26">
              <w:rPr>
                <w:vertAlign w:val="superscript"/>
              </w:rPr>
              <w:t>***</w:t>
            </w:r>
          </w:p>
        </w:tc>
        <w:tc>
          <w:tcPr>
            <w:tcW w:w="1062" w:type="dxa"/>
          </w:tcPr>
          <w:p w14:paraId="0D6DA58E" w14:textId="19CFD883" w:rsidR="008B59E5" w:rsidRPr="002F3A26" w:rsidRDefault="008B59E5" w:rsidP="008B59E5">
            <w:pPr>
              <w:pStyle w:val="TableParagraph"/>
              <w:ind w:left="170"/>
            </w:pPr>
            <w:r w:rsidRPr="002F3A26">
              <w:t>0.93</w:t>
            </w:r>
          </w:p>
        </w:tc>
        <w:tc>
          <w:tcPr>
            <w:tcW w:w="1063" w:type="dxa"/>
          </w:tcPr>
          <w:p w14:paraId="4274E1CC" w14:textId="243F7261" w:rsidR="008B59E5" w:rsidRPr="002F3A26" w:rsidRDefault="008B59E5" w:rsidP="008B59E5">
            <w:pPr>
              <w:pStyle w:val="TableParagraph"/>
              <w:ind w:left="170"/>
            </w:pPr>
            <w:r w:rsidRPr="002F3A26">
              <w:t>0.95</w:t>
            </w:r>
          </w:p>
        </w:tc>
      </w:tr>
      <w:tr w:rsidR="008B59E5" w:rsidRPr="002F3A26" w14:paraId="6B3803D3" w14:textId="19072534" w:rsidTr="00D17B28">
        <w:trPr>
          <w:trHeight w:val="218"/>
        </w:trPr>
        <w:tc>
          <w:tcPr>
            <w:tcW w:w="2264" w:type="dxa"/>
          </w:tcPr>
          <w:p w14:paraId="67147324" w14:textId="3A580300" w:rsidR="008B59E5" w:rsidRPr="002F3A26" w:rsidRDefault="008B59E5" w:rsidP="008B59E5">
            <w:pPr>
              <w:pStyle w:val="TableParagraph"/>
              <w:rPr>
                <w:rFonts w:cs="Arial"/>
              </w:rPr>
            </w:pPr>
            <w:r w:rsidRPr="002F3A26">
              <w:t>FiF # Disability</w:t>
            </w:r>
          </w:p>
        </w:tc>
        <w:tc>
          <w:tcPr>
            <w:tcW w:w="1062" w:type="dxa"/>
          </w:tcPr>
          <w:p w14:paraId="169206E5" w14:textId="5DEEDE1C" w:rsidR="008B59E5" w:rsidRPr="002F3A26" w:rsidRDefault="008B59E5" w:rsidP="008B59E5">
            <w:pPr>
              <w:pStyle w:val="TableParagraph"/>
              <w:ind w:left="170"/>
              <w:rPr>
                <w:rFonts w:cs="Arial"/>
              </w:rPr>
            </w:pPr>
            <w:r w:rsidRPr="002F3A26">
              <w:t>0.83</w:t>
            </w:r>
          </w:p>
        </w:tc>
        <w:tc>
          <w:tcPr>
            <w:tcW w:w="1062" w:type="dxa"/>
          </w:tcPr>
          <w:p w14:paraId="7B1F385C" w14:textId="38C2FD5C" w:rsidR="008B59E5" w:rsidRPr="002F3A26" w:rsidRDefault="008B59E5" w:rsidP="008B59E5">
            <w:pPr>
              <w:pStyle w:val="TableParagraph"/>
              <w:ind w:left="170"/>
              <w:rPr>
                <w:rFonts w:cs="Arial"/>
              </w:rPr>
            </w:pPr>
            <w:r w:rsidRPr="002F3A26">
              <w:t>1.06</w:t>
            </w:r>
          </w:p>
        </w:tc>
        <w:tc>
          <w:tcPr>
            <w:tcW w:w="1062" w:type="dxa"/>
          </w:tcPr>
          <w:p w14:paraId="77C211F6" w14:textId="3092BB1E" w:rsidR="008B59E5" w:rsidRPr="002F3A26" w:rsidRDefault="008B59E5" w:rsidP="008B59E5">
            <w:pPr>
              <w:pStyle w:val="TableParagraph"/>
              <w:ind w:left="170"/>
              <w:rPr>
                <w:rFonts w:cs="Arial"/>
              </w:rPr>
            </w:pPr>
            <w:r w:rsidRPr="002F3A26">
              <w:t>0.61</w:t>
            </w:r>
          </w:p>
        </w:tc>
        <w:tc>
          <w:tcPr>
            <w:tcW w:w="1062" w:type="dxa"/>
          </w:tcPr>
          <w:p w14:paraId="1DABCBFC" w14:textId="7D4BCC0A" w:rsidR="008B59E5" w:rsidRPr="002F3A26" w:rsidRDefault="008B59E5" w:rsidP="008B59E5">
            <w:pPr>
              <w:pStyle w:val="TableParagraph"/>
              <w:ind w:left="170"/>
            </w:pPr>
            <w:r w:rsidRPr="002F3A26">
              <w:t>0.49</w:t>
            </w:r>
          </w:p>
        </w:tc>
        <w:tc>
          <w:tcPr>
            <w:tcW w:w="1062" w:type="dxa"/>
          </w:tcPr>
          <w:p w14:paraId="62BD3F3D" w14:textId="1F78BD5B" w:rsidR="008B59E5" w:rsidRPr="002F3A26" w:rsidRDefault="008B59E5" w:rsidP="008B59E5">
            <w:pPr>
              <w:pStyle w:val="TableParagraph"/>
              <w:ind w:left="170"/>
            </w:pPr>
            <w:r w:rsidRPr="002F3A26">
              <w:t>0.97</w:t>
            </w:r>
          </w:p>
        </w:tc>
        <w:tc>
          <w:tcPr>
            <w:tcW w:w="1063" w:type="dxa"/>
          </w:tcPr>
          <w:p w14:paraId="112FE5F3" w14:textId="39E88FA4" w:rsidR="008B59E5" w:rsidRPr="002F3A26" w:rsidRDefault="008B59E5" w:rsidP="008B59E5">
            <w:pPr>
              <w:pStyle w:val="TableParagraph"/>
              <w:ind w:left="170"/>
            </w:pPr>
            <w:r w:rsidRPr="002F3A26">
              <w:t>0.63</w:t>
            </w:r>
            <w:r w:rsidRPr="002F3A26">
              <w:rPr>
                <w:vertAlign w:val="superscript"/>
              </w:rPr>
              <w:t>*</w:t>
            </w:r>
          </w:p>
        </w:tc>
        <w:tc>
          <w:tcPr>
            <w:tcW w:w="1062" w:type="dxa"/>
          </w:tcPr>
          <w:p w14:paraId="46F51142" w14:textId="5C5A2538" w:rsidR="008B59E5" w:rsidRPr="002F3A26" w:rsidRDefault="008B59E5" w:rsidP="008B59E5">
            <w:pPr>
              <w:pStyle w:val="TableParagraph"/>
              <w:ind w:left="170"/>
            </w:pPr>
            <w:r w:rsidRPr="002F3A26">
              <w:t>0.56</w:t>
            </w:r>
            <w:r w:rsidRPr="002F3A26">
              <w:rPr>
                <w:vertAlign w:val="superscript"/>
              </w:rPr>
              <w:t>*</w:t>
            </w:r>
          </w:p>
        </w:tc>
        <w:tc>
          <w:tcPr>
            <w:tcW w:w="1062" w:type="dxa"/>
          </w:tcPr>
          <w:p w14:paraId="42A3E725" w14:textId="469B52C7" w:rsidR="008B59E5" w:rsidRPr="002F3A26" w:rsidRDefault="008B59E5" w:rsidP="008B59E5">
            <w:pPr>
              <w:pStyle w:val="TableParagraph"/>
              <w:ind w:left="170"/>
            </w:pPr>
            <w:r w:rsidRPr="002F3A26">
              <w:t>0.55</w:t>
            </w:r>
            <w:r w:rsidRPr="002F3A26">
              <w:rPr>
                <w:vertAlign w:val="superscript"/>
              </w:rPr>
              <w:t>**</w:t>
            </w:r>
          </w:p>
        </w:tc>
        <w:tc>
          <w:tcPr>
            <w:tcW w:w="1062" w:type="dxa"/>
          </w:tcPr>
          <w:p w14:paraId="422B0A6A" w14:textId="11FB3290" w:rsidR="008B59E5" w:rsidRPr="002F3A26" w:rsidRDefault="008B59E5" w:rsidP="008B59E5">
            <w:pPr>
              <w:pStyle w:val="TableParagraph"/>
              <w:ind w:left="170"/>
            </w:pPr>
            <w:r w:rsidRPr="002F3A26">
              <w:t>0.78</w:t>
            </w:r>
          </w:p>
        </w:tc>
        <w:tc>
          <w:tcPr>
            <w:tcW w:w="1062" w:type="dxa"/>
          </w:tcPr>
          <w:p w14:paraId="083B6C23" w14:textId="6DFF5C09" w:rsidR="008B59E5" w:rsidRPr="002F3A26" w:rsidRDefault="008B59E5" w:rsidP="008B59E5">
            <w:pPr>
              <w:pStyle w:val="TableParagraph"/>
              <w:ind w:left="170"/>
            </w:pPr>
            <w:r w:rsidRPr="002F3A26">
              <w:t>1.18</w:t>
            </w:r>
          </w:p>
        </w:tc>
        <w:tc>
          <w:tcPr>
            <w:tcW w:w="1063" w:type="dxa"/>
          </w:tcPr>
          <w:p w14:paraId="6AB03635" w14:textId="1519B132" w:rsidR="008B59E5" w:rsidRPr="002F3A26" w:rsidRDefault="008B59E5" w:rsidP="008B59E5">
            <w:pPr>
              <w:pStyle w:val="TableParagraph"/>
              <w:ind w:left="170"/>
            </w:pPr>
            <w:r w:rsidRPr="002F3A26">
              <w:t>0.68</w:t>
            </w:r>
          </w:p>
        </w:tc>
      </w:tr>
      <w:tr w:rsidR="008B59E5" w:rsidRPr="002F3A26" w14:paraId="1F36982A" w14:textId="051C71A4" w:rsidTr="00D17B28">
        <w:trPr>
          <w:trHeight w:val="218"/>
        </w:trPr>
        <w:tc>
          <w:tcPr>
            <w:tcW w:w="2264" w:type="dxa"/>
          </w:tcPr>
          <w:p w14:paraId="5EF7A06C" w14:textId="5A377E1E" w:rsidR="008B59E5" w:rsidRPr="002F3A26" w:rsidRDefault="008B59E5" w:rsidP="008B59E5">
            <w:pPr>
              <w:pStyle w:val="TableParagraph"/>
              <w:rPr>
                <w:rFonts w:cs="Arial"/>
              </w:rPr>
            </w:pPr>
            <w:r w:rsidRPr="002F3A26">
              <w:t>Father: not manager/professional</w:t>
            </w:r>
          </w:p>
        </w:tc>
        <w:tc>
          <w:tcPr>
            <w:tcW w:w="1062" w:type="dxa"/>
          </w:tcPr>
          <w:p w14:paraId="5CD2494B" w14:textId="095222FA" w:rsidR="008B59E5" w:rsidRPr="002F3A26" w:rsidRDefault="008B59E5" w:rsidP="008B59E5">
            <w:pPr>
              <w:pStyle w:val="TableParagraph"/>
              <w:ind w:left="170"/>
              <w:rPr>
                <w:rFonts w:cs="Arial"/>
              </w:rPr>
            </w:pPr>
            <w:r w:rsidRPr="002F3A26">
              <w:t>0.96</w:t>
            </w:r>
          </w:p>
        </w:tc>
        <w:tc>
          <w:tcPr>
            <w:tcW w:w="1062" w:type="dxa"/>
          </w:tcPr>
          <w:p w14:paraId="0A5297F8" w14:textId="41CAE1C8" w:rsidR="008B59E5" w:rsidRPr="002F3A26" w:rsidRDefault="008B59E5" w:rsidP="008B59E5">
            <w:pPr>
              <w:pStyle w:val="TableParagraph"/>
              <w:ind w:left="170"/>
              <w:rPr>
                <w:rFonts w:cs="Arial"/>
              </w:rPr>
            </w:pPr>
            <w:r w:rsidRPr="002F3A26">
              <w:t>1.08</w:t>
            </w:r>
            <w:r w:rsidRPr="002F3A26">
              <w:rPr>
                <w:vertAlign w:val="superscript"/>
              </w:rPr>
              <w:t>*</w:t>
            </w:r>
          </w:p>
        </w:tc>
        <w:tc>
          <w:tcPr>
            <w:tcW w:w="1062" w:type="dxa"/>
          </w:tcPr>
          <w:p w14:paraId="1D9CB0C8" w14:textId="22DD5CD9" w:rsidR="008B59E5" w:rsidRPr="002F3A26" w:rsidRDefault="008B59E5" w:rsidP="008B59E5">
            <w:pPr>
              <w:pStyle w:val="TableParagraph"/>
              <w:ind w:left="170"/>
              <w:rPr>
                <w:rFonts w:cs="Arial"/>
              </w:rPr>
            </w:pPr>
            <w:r w:rsidRPr="002F3A26">
              <w:t>0.99</w:t>
            </w:r>
          </w:p>
        </w:tc>
        <w:tc>
          <w:tcPr>
            <w:tcW w:w="1062" w:type="dxa"/>
          </w:tcPr>
          <w:p w14:paraId="7AB082A8" w14:textId="235567F1" w:rsidR="008B59E5" w:rsidRPr="002F3A26" w:rsidRDefault="008B59E5" w:rsidP="008B59E5">
            <w:pPr>
              <w:pStyle w:val="TableParagraph"/>
              <w:ind w:left="170"/>
            </w:pPr>
            <w:r w:rsidRPr="002F3A26">
              <w:t>0.94</w:t>
            </w:r>
          </w:p>
        </w:tc>
        <w:tc>
          <w:tcPr>
            <w:tcW w:w="1062" w:type="dxa"/>
          </w:tcPr>
          <w:p w14:paraId="60914E0E" w14:textId="5EFFA92E" w:rsidR="008B59E5" w:rsidRPr="002F3A26" w:rsidRDefault="008B59E5" w:rsidP="008B59E5">
            <w:pPr>
              <w:pStyle w:val="TableParagraph"/>
              <w:ind w:left="170"/>
            </w:pPr>
            <w:r w:rsidRPr="002F3A26">
              <w:t>0.75</w:t>
            </w:r>
            <w:r w:rsidRPr="002F3A26">
              <w:rPr>
                <w:vertAlign w:val="superscript"/>
              </w:rPr>
              <w:t>***</w:t>
            </w:r>
          </w:p>
        </w:tc>
        <w:tc>
          <w:tcPr>
            <w:tcW w:w="1063" w:type="dxa"/>
          </w:tcPr>
          <w:p w14:paraId="416C65FF" w14:textId="4DC0615C" w:rsidR="008B59E5" w:rsidRPr="002F3A26" w:rsidRDefault="008B59E5" w:rsidP="008B59E5">
            <w:pPr>
              <w:pStyle w:val="TableParagraph"/>
              <w:ind w:left="170"/>
            </w:pPr>
            <w:r w:rsidRPr="002F3A26">
              <w:t>1.12</w:t>
            </w:r>
            <w:r w:rsidRPr="002F3A26">
              <w:rPr>
                <w:vertAlign w:val="superscript"/>
              </w:rPr>
              <w:t>***</w:t>
            </w:r>
          </w:p>
        </w:tc>
        <w:tc>
          <w:tcPr>
            <w:tcW w:w="1062" w:type="dxa"/>
          </w:tcPr>
          <w:p w14:paraId="677BBFBF" w14:textId="5A09C2BC" w:rsidR="008B59E5" w:rsidRPr="002F3A26" w:rsidRDefault="008B59E5" w:rsidP="008B59E5">
            <w:pPr>
              <w:pStyle w:val="TableParagraph"/>
              <w:ind w:left="170"/>
            </w:pPr>
            <w:r w:rsidRPr="002F3A26">
              <w:t>1.13</w:t>
            </w:r>
            <w:r w:rsidRPr="002F3A26">
              <w:rPr>
                <w:vertAlign w:val="superscript"/>
              </w:rPr>
              <w:t>***</w:t>
            </w:r>
          </w:p>
        </w:tc>
        <w:tc>
          <w:tcPr>
            <w:tcW w:w="1062" w:type="dxa"/>
          </w:tcPr>
          <w:p w14:paraId="1177E140" w14:textId="370DAA5E" w:rsidR="008B59E5" w:rsidRPr="002F3A26" w:rsidRDefault="008B59E5" w:rsidP="008B59E5">
            <w:pPr>
              <w:pStyle w:val="TableParagraph"/>
              <w:ind w:left="170"/>
            </w:pPr>
            <w:r w:rsidRPr="002F3A26">
              <w:t>0.95</w:t>
            </w:r>
            <w:r w:rsidRPr="002F3A26">
              <w:rPr>
                <w:vertAlign w:val="superscript"/>
              </w:rPr>
              <w:t>*</w:t>
            </w:r>
          </w:p>
        </w:tc>
        <w:tc>
          <w:tcPr>
            <w:tcW w:w="1062" w:type="dxa"/>
          </w:tcPr>
          <w:p w14:paraId="2F4040A6" w14:textId="59A71FE6" w:rsidR="008B59E5" w:rsidRPr="002F3A26" w:rsidRDefault="008B59E5" w:rsidP="008B59E5">
            <w:pPr>
              <w:pStyle w:val="TableParagraph"/>
              <w:ind w:left="170"/>
            </w:pPr>
            <w:r w:rsidRPr="002F3A26">
              <w:t>0.92</w:t>
            </w:r>
            <w:r w:rsidRPr="002F3A26">
              <w:rPr>
                <w:vertAlign w:val="superscript"/>
              </w:rPr>
              <w:t>***</w:t>
            </w:r>
          </w:p>
        </w:tc>
        <w:tc>
          <w:tcPr>
            <w:tcW w:w="1062" w:type="dxa"/>
          </w:tcPr>
          <w:p w14:paraId="4EFCF041" w14:textId="6B8614AB" w:rsidR="008B59E5" w:rsidRPr="002F3A26" w:rsidRDefault="008B59E5" w:rsidP="008B59E5">
            <w:pPr>
              <w:pStyle w:val="TableParagraph"/>
              <w:ind w:left="170"/>
            </w:pPr>
            <w:r w:rsidRPr="002F3A26">
              <w:t>0.62</w:t>
            </w:r>
            <w:r w:rsidRPr="002F3A26">
              <w:rPr>
                <w:vertAlign w:val="superscript"/>
              </w:rPr>
              <w:t>***</w:t>
            </w:r>
          </w:p>
        </w:tc>
        <w:tc>
          <w:tcPr>
            <w:tcW w:w="1063" w:type="dxa"/>
          </w:tcPr>
          <w:p w14:paraId="5899C02F" w14:textId="051F819D" w:rsidR="008B59E5" w:rsidRPr="002F3A26" w:rsidRDefault="008B59E5" w:rsidP="008B59E5">
            <w:pPr>
              <w:pStyle w:val="TableParagraph"/>
              <w:ind w:left="170"/>
            </w:pPr>
            <w:r w:rsidRPr="002F3A26">
              <w:t>0.86</w:t>
            </w:r>
            <w:r w:rsidRPr="002F3A26">
              <w:rPr>
                <w:vertAlign w:val="superscript"/>
              </w:rPr>
              <w:t>***</w:t>
            </w:r>
          </w:p>
        </w:tc>
      </w:tr>
      <w:tr w:rsidR="008B59E5" w:rsidRPr="002F3A26" w14:paraId="21867E50" w14:textId="1D6EAB5C" w:rsidTr="00D17B28">
        <w:trPr>
          <w:trHeight w:val="218"/>
        </w:trPr>
        <w:tc>
          <w:tcPr>
            <w:tcW w:w="2264" w:type="dxa"/>
          </w:tcPr>
          <w:p w14:paraId="0C783CE2" w14:textId="541DDED2" w:rsidR="008B59E5" w:rsidRPr="002F3A26" w:rsidRDefault="008B59E5" w:rsidP="008B59E5">
            <w:pPr>
              <w:pStyle w:val="TableParagraph"/>
              <w:rPr>
                <w:rFonts w:cs="Arial"/>
              </w:rPr>
            </w:pPr>
            <w:r w:rsidRPr="002F3A26">
              <w:t>Mother: not manager/professional</w:t>
            </w:r>
          </w:p>
        </w:tc>
        <w:tc>
          <w:tcPr>
            <w:tcW w:w="1062" w:type="dxa"/>
          </w:tcPr>
          <w:p w14:paraId="7BC4515C" w14:textId="619F0E93" w:rsidR="008B59E5" w:rsidRPr="002F3A26" w:rsidRDefault="008B59E5" w:rsidP="008B59E5">
            <w:pPr>
              <w:pStyle w:val="TableParagraph"/>
              <w:ind w:left="170"/>
              <w:rPr>
                <w:rFonts w:cs="Arial"/>
              </w:rPr>
            </w:pPr>
            <w:r w:rsidRPr="002F3A26">
              <w:t>1.09</w:t>
            </w:r>
            <w:r w:rsidRPr="002F3A26">
              <w:rPr>
                <w:vertAlign w:val="superscript"/>
              </w:rPr>
              <w:t>***</w:t>
            </w:r>
          </w:p>
        </w:tc>
        <w:tc>
          <w:tcPr>
            <w:tcW w:w="1062" w:type="dxa"/>
          </w:tcPr>
          <w:p w14:paraId="35723D85" w14:textId="2DFF10F1" w:rsidR="008B59E5" w:rsidRPr="002F3A26" w:rsidRDefault="008B59E5" w:rsidP="008B59E5">
            <w:pPr>
              <w:pStyle w:val="TableParagraph"/>
              <w:ind w:left="170"/>
              <w:rPr>
                <w:rFonts w:cs="Arial"/>
              </w:rPr>
            </w:pPr>
            <w:r w:rsidRPr="002F3A26">
              <w:t>1.29</w:t>
            </w:r>
            <w:r w:rsidRPr="002F3A26">
              <w:rPr>
                <w:vertAlign w:val="superscript"/>
              </w:rPr>
              <w:t>***</w:t>
            </w:r>
          </w:p>
        </w:tc>
        <w:tc>
          <w:tcPr>
            <w:tcW w:w="1062" w:type="dxa"/>
          </w:tcPr>
          <w:p w14:paraId="7AAEDDF8" w14:textId="2D39CAD7" w:rsidR="008B59E5" w:rsidRPr="002F3A26" w:rsidRDefault="008B59E5" w:rsidP="008B59E5">
            <w:pPr>
              <w:pStyle w:val="TableParagraph"/>
              <w:ind w:left="170"/>
              <w:rPr>
                <w:rFonts w:cs="Arial"/>
              </w:rPr>
            </w:pPr>
            <w:r w:rsidRPr="002F3A26">
              <w:t>1.13</w:t>
            </w:r>
            <w:r w:rsidRPr="002F3A26">
              <w:rPr>
                <w:vertAlign w:val="superscript"/>
              </w:rPr>
              <w:t>***</w:t>
            </w:r>
          </w:p>
        </w:tc>
        <w:tc>
          <w:tcPr>
            <w:tcW w:w="1062" w:type="dxa"/>
          </w:tcPr>
          <w:p w14:paraId="523C4588" w14:textId="1D27530E" w:rsidR="008B59E5" w:rsidRPr="002F3A26" w:rsidRDefault="008B59E5" w:rsidP="008B59E5">
            <w:pPr>
              <w:pStyle w:val="TableParagraph"/>
              <w:ind w:left="170"/>
            </w:pPr>
            <w:r w:rsidRPr="002F3A26">
              <w:t>1.10</w:t>
            </w:r>
            <w:r w:rsidRPr="002F3A26">
              <w:rPr>
                <w:vertAlign w:val="superscript"/>
              </w:rPr>
              <w:t>**</w:t>
            </w:r>
          </w:p>
        </w:tc>
        <w:tc>
          <w:tcPr>
            <w:tcW w:w="1062" w:type="dxa"/>
          </w:tcPr>
          <w:p w14:paraId="6D445EFA" w14:textId="08A9F55D" w:rsidR="008B59E5" w:rsidRPr="002F3A26" w:rsidRDefault="008B59E5" w:rsidP="008B59E5">
            <w:pPr>
              <w:pStyle w:val="TableParagraph"/>
              <w:ind w:left="170"/>
            </w:pPr>
            <w:r w:rsidRPr="002F3A26">
              <w:t>0.80</w:t>
            </w:r>
            <w:r w:rsidRPr="002F3A26">
              <w:rPr>
                <w:vertAlign w:val="superscript"/>
              </w:rPr>
              <w:t>***</w:t>
            </w:r>
          </w:p>
        </w:tc>
        <w:tc>
          <w:tcPr>
            <w:tcW w:w="1063" w:type="dxa"/>
          </w:tcPr>
          <w:p w14:paraId="72FC7E39" w14:textId="7B36A9E1" w:rsidR="008B59E5" w:rsidRPr="002F3A26" w:rsidRDefault="008B59E5" w:rsidP="008B59E5">
            <w:pPr>
              <w:pStyle w:val="TableParagraph"/>
              <w:ind w:left="170"/>
            </w:pPr>
            <w:r w:rsidRPr="002F3A26">
              <w:t>1.05</w:t>
            </w:r>
            <w:r w:rsidRPr="002F3A26">
              <w:rPr>
                <w:vertAlign w:val="superscript"/>
              </w:rPr>
              <w:t>**</w:t>
            </w:r>
          </w:p>
        </w:tc>
        <w:tc>
          <w:tcPr>
            <w:tcW w:w="1062" w:type="dxa"/>
          </w:tcPr>
          <w:p w14:paraId="6A58D651" w14:textId="7B20064F" w:rsidR="008B59E5" w:rsidRPr="002F3A26" w:rsidRDefault="008B59E5" w:rsidP="008B59E5">
            <w:pPr>
              <w:pStyle w:val="TableParagraph"/>
              <w:ind w:left="170"/>
            </w:pPr>
            <w:r w:rsidRPr="002F3A26">
              <w:t>1.00</w:t>
            </w:r>
          </w:p>
        </w:tc>
        <w:tc>
          <w:tcPr>
            <w:tcW w:w="1062" w:type="dxa"/>
          </w:tcPr>
          <w:p w14:paraId="6D22CDC5" w14:textId="169F025B" w:rsidR="008B59E5" w:rsidRPr="002F3A26" w:rsidRDefault="008B59E5" w:rsidP="008B59E5">
            <w:pPr>
              <w:pStyle w:val="TableParagraph"/>
              <w:ind w:left="170"/>
            </w:pPr>
            <w:r w:rsidRPr="002F3A26">
              <w:t>1.19</w:t>
            </w:r>
            <w:r w:rsidRPr="002F3A26">
              <w:rPr>
                <w:vertAlign w:val="superscript"/>
              </w:rPr>
              <w:t>***</w:t>
            </w:r>
          </w:p>
        </w:tc>
        <w:tc>
          <w:tcPr>
            <w:tcW w:w="1062" w:type="dxa"/>
          </w:tcPr>
          <w:p w14:paraId="39B0AB8F" w14:textId="054FC0D6" w:rsidR="008B59E5" w:rsidRPr="002F3A26" w:rsidRDefault="008B59E5" w:rsidP="008B59E5">
            <w:pPr>
              <w:pStyle w:val="TableParagraph"/>
              <w:ind w:left="170"/>
            </w:pPr>
            <w:r w:rsidRPr="002F3A26">
              <w:t>1.00</w:t>
            </w:r>
          </w:p>
        </w:tc>
        <w:tc>
          <w:tcPr>
            <w:tcW w:w="1062" w:type="dxa"/>
          </w:tcPr>
          <w:p w14:paraId="49B25D32" w14:textId="5FA58F1B" w:rsidR="008B59E5" w:rsidRPr="002F3A26" w:rsidRDefault="008B59E5" w:rsidP="008B59E5">
            <w:pPr>
              <w:pStyle w:val="TableParagraph"/>
              <w:ind w:left="170"/>
            </w:pPr>
            <w:r w:rsidRPr="002F3A26">
              <w:t>0.87</w:t>
            </w:r>
            <w:r w:rsidRPr="002F3A26">
              <w:rPr>
                <w:vertAlign w:val="superscript"/>
              </w:rPr>
              <w:t>*</w:t>
            </w:r>
          </w:p>
        </w:tc>
        <w:tc>
          <w:tcPr>
            <w:tcW w:w="1063" w:type="dxa"/>
          </w:tcPr>
          <w:p w14:paraId="5AAE359B" w14:textId="6D6FF5F1" w:rsidR="008B59E5" w:rsidRPr="002F3A26" w:rsidRDefault="008B59E5" w:rsidP="008B59E5">
            <w:pPr>
              <w:pStyle w:val="TableParagraph"/>
              <w:ind w:left="170"/>
            </w:pPr>
            <w:r w:rsidRPr="002F3A26">
              <w:t>0.98</w:t>
            </w:r>
          </w:p>
        </w:tc>
      </w:tr>
      <w:tr w:rsidR="008B59E5" w:rsidRPr="002F3A26" w14:paraId="5FE0ED9C" w14:textId="684B7178" w:rsidTr="00D17B28">
        <w:trPr>
          <w:trHeight w:val="218"/>
        </w:trPr>
        <w:tc>
          <w:tcPr>
            <w:tcW w:w="2264" w:type="dxa"/>
          </w:tcPr>
          <w:p w14:paraId="3FA88945" w14:textId="4B265F56" w:rsidR="008B59E5" w:rsidRPr="002F3A26" w:rsidRDefault="008B59E5" w:rsidP="008B59E5">
            <w:pPr>
              <w:pStyle w:val="TableParagraph"/>
              <w:rPr>
                <w:rFonts w:cs="Arial"/>
              </w:rPr>
            </w:pPr>
            <w:r w:rsidRPr="002F3A26">
              <w:t>Single parent</w:t>
            </w:r>
          </w:p>
        </w:tc>
        <w:tc>
          <w:tcPr>
            <w:tcW w:w="1062" w:type="dxa"/>
          </w:tcPr>
          <w:p w14:paraId="3FA6FD79" w14:textId="24FDF089" w:rsidR="008B59E5" w:rsidRPr="002F3A26" w:rsidRDefault="008B59E5" w:rsidP="008B59E5">
            <w:pPr>
              <w:pStyle w:val="TableParagraph"/>
              <w:ind w:left="170"/>
              <w:rPr>
                <w:rFonts w:cs="Arial"/>
              </w:rPr>
            </w:pPr>
            <w:r w:rsidRPr="002F3A26">
              <w:t>0.78</w:t>
            </w:r>
            <w:r w:rsidRPr="002F3A26">
              <w:rPr>
                <w:vertAlign w:val="superscript"/>
              </w:rPr>
              <w:t>***</w:t>
            </w:r>
          </w:p>
        </w:tc>
        <w:tc>
          <w:tcPr>
            <w:tcW w:w="1062" w:type="dxa"/>
          </w:tcPr>
          <w:p w14:paraId="0456E9E5" w14:textId="3D018612" w:rsidR="008B59E5" w:rsidRPr="002F3A26" w:rsidRDefault="008B59E5" w:rsidP="008B59E5">
            <w:pPr>
              <w:pStyle w:val="TableParagraph"/>
              <w:ind w:left="170"/>
              <w:rPr>
                <w:rFonts w:cs="Arial"/>
              </w:rPr>
            </w:pPr>
            <w:r w:rsidRPr="002F3A26">
              <w:t>0.75</w:t>
            </w:r>
            <w:r w:rsidRPr="002F3A26">
              <w:rPr>
                <w:vertAlign w:val="superscript"/>
              </w:rPr>
              <w:t>***</w:t>
            </w:r>
          </w:p>
        </w:tc>
        <w:tc>
          <w:tcPr>
            <w:tcW w:w="1062" w:type="dxa"/>
          </w:tcPr>
          <w:p w14:paraId="1557AEFD" w14:textId="7E813342" w:rsidR="008B59E5" w:rsidRPr="002F3A26" w:rsidRDefault="008B59E5" w:rsidP="008B59E5">
            <w:pPr>
              <w:pStyle w:val="TableParagraph"/>
              <w:ind w:left="170"/>
              <w:rPr>
                <w:rFonts w:cs="Arial"/>
              </w:rPr>
            </w:pPr>
            <w:r w:rsidRPr="002F3A26">
              <w:t>0.70</w:t>
            </w:r>
            <w:r w:rsidRPr="002F3A26">
              <w:rPr>
                <w:vertAlign w:val="superscript"/>
              </w:rPr>
              <w:t>***</w:t>
            </w:r>
          </w:p>
        </w:tc>
        <w:tc>
          <w:tcPr>
            <w:tcW w:w="1062" w:type="dxa"/>
          </w:tcPr>
          <w:p w14:paraId="58874399" w14:textId="3D985932" w:rsidR="008B59E5" w:rsidRPr="002F3A26" w:rsidRDefault="008B59E5" w:rsidP="008B59E5">
            <w:pPr>
              <w:pStyle w:val="TableParagraph"/>
              <w:ind w:left="170"/>
            </w:pPr>
            <w:r w:rsidRPr="002F3A26">
              <w:t>0.67</w:t>
            </w:r>
            <w:r w:rsidRPr="002F3A26">
              <w:rPr>
                <w:vertAlign w:val="superscript"/>
              </w:rPr>
              <w:t>***</w:t>
            </w:r>
          </w:p>
        </w:tc>
        <w:tc>
          <w:tcPr>
            <w:tcW w:w="1062" w:type="dxa"/>
          </w:tcPr>
          <w:p w14:paraId="58391940" w14:textId="18A2B480" w:rsidR="008B59E5" w:rsidRPr="002F3A26" w:rsidRDefault="008B59E5" w:rsidP="008B59E5">
            <w:pPr>
              <w:pStyle w:val="TableParagraph"/>
              <w:ind w:left="170"/>
            </w:pPr>
            <w:r w:rsidRPr="002F3A26">
              <w:t>0.95</w:t>
            </w:r>
          </w:p>
        </w:tc>
        <w:tc>
          <w:tcPr>
            <w:tcW w:w="1063" w:type="dxa"/>
          </w:tcPr>
          <w:p w14:paraId="218A8FD5" w14:textId="34F3441B" w:rsidR="008B59E5" w:rsidRPr="002F3A26" w:rsidRDefault="008B59E5" w:rsidP="008B59E5">
            <w:pPr>
              <w:pStyle w:val="TableParagraph"/>
              <w:ind w:left="170"/>
            </w:pPr>
            <w:r w:rsidRPr="002F3A26">
              <w:t>0.74</w:t>
            </w:r>
            <w:r w:rsidRPr="002F3A26">
              <w:rPr>
                <w:vertAlign w:val="superscript"/>
              </w:rPr>
              <w:t>***</w:t>
            </w:r>
          </w:p>
        </w:tc>
        <w:tc>
          <w:tcPr>
            <w:tcW w:w="1062" w:type="dxa"/>
          </w:tcPr>
          <w:p w14:paraId="51D845F5" w14:textId="73887CB9" w:rsidR="008B59E5" w:rsidRPr="002F3A26" w:rsidRDefault="008B59E5" w:rsidP="008B59E5">
            <w:pPr>
              <w:pStyle w:val="TableParagraph"/>
              <w:ind w:left="170"/>
            </w:pPr>
            <w:r w:rsidRPr="002F3A26">
              <w:t>0.72</w:t>
            </w:r>
            <w:r w:rsidRPr="002F3A26">
              <w:rPr>
                <w:vertAlign w:val="superscript"/>
              </w:rPr>
              <w:t>***</w:t>
            </w:r>
          </w:p>
        </w:tc>
        <w:tc>
          <w:tcPr>
            <w:tcW w:w="1062" w:type="dxa"/>
          </w:tcPr>
          <w:p w14:paraId="7100A31D" w14:textId="5625B8E5" w:rsidR="008B59E5" w:rsidRPr="002F3A26" w:rsidRDefault="008B59E5" w:rsidP="008B59E5">
            <w:pPr>
              <w:pStyle w:val="TableParagraph"/>
              <w:ind w:left="170"/>
            </w:pPr>
            <w:r w:rsidRPr="002F3A26">
              <w:t>0.84</w:t>
            </w:r>
            <w:r w:rsidRPr="002F3A26">
              <w:rPr>
                <w:vertAlign w:val="superscript"/>
              </w:rPr>
              <w:t>***</w:t>
            </w:r>
          </w:p>
        </w:tc>
        <w:tc>
          <w:tcPr>
            <w:tcW w:w="1062" w:type="dxa"/>
          </w:tcPr>
          <w:p w14:paraId="314CF398" w14:textId="42A2FD93" w:rsidR="008B59E5" w:rsidRPr="002F3A26" w:rsidRDefault="008B59E5" w:rsidP="008B59E5">
            <w:pPr>
              <w:pStyle w:val="TableParagraph"/>
              <w:ind w:left="170"/>
            </w:pPr>
            <w:r w:rsidRPr="002F3A26">
              <w:t>0.98</w:t>
            </w:r>
          </w:p>
        </w:tc>
        <w:tc>
          <w:tcPr>
            <w:tcW w:w="1062" w:type="dxa"/>
          </w:tcPr>
          <w:p w14:paraId="7029D061" w14:textId="01E6CCCB" w:rsidR="008B59E5" w:rsidRPr="002F3A26" w:rsidRDefault="008B59E5" w:rsidP="008B59E5">
            <w:pPr>
              <w:pStyle w:val="TableParagraph"/>
              <w:ind w:left="170"/>
            </w:pPr>
            <w:r w:rsidRPr="002F3A26">
              <w:t>0.68</w:t>
            </w:r>
            <w:r w:rsidRPr="002F3A26">
              <w:rPr>
                <w:vertAlign w:val="superscript"/>
              </w:rPr>
              <w:t>***</w:t>
            </w:r>
          </w:p>
        </w:tc>
        <w:tc>
          <w:tcPr>
            <w:tcW w:w="1063" w:type="dxa"/>
          </w:tcPr>
          <w:p w14:paraId="0F2C01FE" w14:textId="0E4B4830" w:rsidR="008B59E5" w:rsidRPr="002F3A26" w:rsidRDefault="008B59E5" w:rsidP="008B59E5">
            <w:pPr>
              <w:pStyle w:val="TableParagraph"/>
              <w:ind w:left="170"/>
            </w:pPr>
            <w:r w:rsidRPr="002F3A26">
              <w:t>1.05</w:t>
            </w:r>
          </w:p>
        </w:tc>
      </w:tr>
      <w:tr w:rsidR="008B59E5" w:rsidRPr="002F3A26" w14:paraId="0AE31327" w14:textId="77777777" w:rsidTr="00D17B28">
        <w:trPr>
          <w:trHeight w:val="218"/>
        </w:trPr>
        <w:tc>
          <w:tcPr>
            <w:tcW w:w="2264" w:type="dxa"/>
          </w:tcPr>
          <w:p w14:paraId="71403F7E" w14:textId="7E6478A6" w:rsidR="008B59E5" w:rsidRPr="002F3A26" w:rsidRDefault="008B59E5" w:rsidP="008B59E5">
            <w:pPr>
              <w:pStyle w:val="TableParagraph"/>
            </w:pPr>
            <w:r w:rsidRPr="002F3A26">
              <w:t>Family income (ref. $3,000 or more)</w:t>
            </w:r>
          </w:p>
        </w:tc>
        <w:tc>
          <w:tcPr>
            <w:tcW w:w="1062" w:type="dxa"/>
          </w:tcPr>
          <w:p w14:paraId="48D0C307" w14:textId="77777777" w:rsidR="008B59E5" w:rsidRPr="002F3A26" w:rsidRDefault="008B59E5" w:rsidP="008B59E5">
            <w:pPr>
              <w:pStyle w:val="TableParagraph"/>
              <w:ind w:left="170"/>
            </w:pPr>
          </w:p>
        </w:tc>
        <w:tc>
          <w:tcPr>
            <w:tcW w:w="1062" w:type="dxa"/>
          </w:tcPr>
          <w:p w14:paraId="0BD6BFEF" w14:textId="77777777" w:rsidR="008B59E5" w:rsidRPr="002F3A26" w:rsidRDefault="008B59E5" w:rsidP="008B59E5">
            <w:pPr>
              <w:pStyle w:val="TableParagraph"/>
              <w:ind w:left="170"/>
            </w:pPr>
          </w:p>
        </w:tc>
        <w:tc>
          <w:tcPr>
            <w:tcW w:w="1062" w:type="dxa"/>
          </w:tcPr>
          <w:p w14:paraId="488DE5E0" w14:textId="77777777" w:rsidR="008B59E5" w:rsidRPr="002F3A26" w:rsidRDefault="008B59E5" w:rsidP="008B59E5">
            <w:pPr>
              <w:pStyle w:val="TableParagraph"/>
              <w:ind w:left="170"/>
            </w:pPr>
          </w:p>
        </w:tc>
        <w:tc>
          <w:tcPr>
            <w:tcW w:w="1062" w:type="dxa"/>
          </w:tcPr>
          <w:p w14:paraId="06B8A91B" w14:textId="77777777" w:rsidR="008B59E5" w:rsidRPr="002F3A26" w:rsidRDefault="008B59E5" w:rsidP="008B59E5">
            <w:pPr>
              <w:pStyle w:val="TableParagraph"/>
              <w:ind w:left="170"/>
            </w:pPr>
          </w:p>
        </w:tc>
        <w:tc>
          <w:tcPr>
            <w:tcW w:w="1062" w:type="dxa"/>
          </w:tcPr>
          <w:p w14:paraId="753C2568" w14:textId="77777777" w:rsidR="008B59E5" w:rsidRPr="002F3A26" w:rsidRDefault="008B59E5" w:rsidP="008B59E5">
            <w:pPr>
              <w:pStyle w:val="TableParagraph"/>
              <w:ind w:left="170"/>
            </w:pPr>
          </w:p>
        </w:tc>
        <w:tc>
          <w:tcPr>
            <w:tcW w:w="1063" w:type="dxa"/>
          </w:tcPr>
          <w:p w14:paraId="1F73F441" w14:textId="77777777" w:rsidR="008B59E5" w:rsidRPr="002F3A26" w:rsidRDefault="008B59E5" w:rsidP="008B59E5">
            <w:pPr>
              <w:pStyle w:val="TableParagraph"/>
              <w:ind w:left="170"/>
            </w:pPr>
          </w:p>
        </w:tc>
        <w:tc>
          <w:tcPr>
            <w:tcW w:w="1062" w:type="dxa"/>
          </w:tcPr>
          <w:p w14:paraId="3E6E23A0" w14:textId="77777777" w:rsidR="008B59E5" w:rsidRPr="002F3A26" w:rsidRDefault="008B59E5" w:rsidP="008B59E5">
            <w:pPr>
              <w:pStyle w:val="TableParagraph"/>
              <w:ind w:left="170"/>
            </w:pPr>
          </w:p>
        </w:tc>
        <w:tc>
          <w:tcPr>
            <w:tcW w:w="1062" w:type="dxa"/>
          </w:tcPr>
          <w:p w14:paraId="22598BF1" w14:textId="77777777" w:rsidR="008B59E5" w:rsidRPr="002F3A26" w:rsidRDefault="008B59E5" w:rsidP="008B59E5">
            <w:pPr>
              <w:pStyle w:val="TableParagraph"/>
              <w:ind w:left="170"/>
            </w:pPr>
          </w:p>
        </w:tc>
        <w:tc>
          <w:tcPr>
            <w:tcW w:w="1062" w:type="dxa"/>
          </w:tcPr>
          <w:p w14:paraId="605A55B8" w14:textId="77777777" w:rsidR="008B59E5" w:rsidRPr="002F3A26" w:rsidRDefault="008B59E5" w:rsidP="008B59E5">
            <w:pPr>
              <w:pStyle w:val="TableParagraph"/>
              <w:ind w:left="170"/>
            </w:pPr>
          </w:p>
        </w:tc>
        <w:tc>
          <w:tcPr>
            <w:tcW w:w="1062" w:type="dxa"/>
          </w:tcPr>
          <w:p w14:paraId="04976464" w14:textId="77777777" w:rsidR="008B59E5" w:rsidRPr="002F3A26" w:rsidRDefault="008B59E5" w:rsidP="008B59E5">
            <w:pPr>
              <w:pStyle w:val="TableParagraph"/>
              <w:ind w:left="170"/>
            </w:pPr>
          </w:p>
        </w:tc>
        <w:tc>
          <w:tcPr>
            <w:tcW w:w="1063" w:type="dxa"/>
          </w:tcPr>
          <w:p w14:paraId="3EF2FD10" w14:textId="77777777" w:rsidR="008B59E5" w:rsidRPr="002F3A26" w:rsidRDefault="008B59E5" w:rsidP="008B59E5">
            <w:pPr>
              <w:pStyle w:val="TableParagraph"/>
              <w:ind w:left="170"/>
            </w:pPr>
          </w:p>
        </w:tc>
      </w:tr>
      <w:tr w:rsidR="008B59E5" w:rsidRPr="002F3A26" w14:paraId="07D5D4EA" w14:textId="26551E34" w:rsidTr="00D17B28">
        <w:trPr>
          <w:trHeight w:val="218"/>
        </w:trPr>
        <w:tc>
          <w:tcPr>
            <w:tcW w:w="2264" w:type="dxa"/>
          </w:tcPr>
          <w:p w14:paraId="5308615F" w14:textId="05E82412" w:rsidR="008B59E5" w:rsidRPr="002F3A26" w:rsidRDefault="008B59E5" w:rsidP="008B59E5">
            <w:pPr>
              <w:pStyle w:val="TableParagraph"/>
              <w:rPr>
                <w:rFonts w:cs="Arial"/>
              </w:rPr>
            </w:pPr>
            <w:r w:rsidRPr="002F3A26">
              <w:t>$1,249 or less</w:t>
            </w:r>
          </w:p>
        </w:tc>
        <w:tc>
          <w:tcPr>
            <w:tcW w:w="1062" w:type="dxa"/>
          </w:tcPr>
          <w:p w14:paraId="038C6257" w14:textId="6BBBC7B7" w:rsidR="008B59E5" w:rsidRPr="002F3A26" w:rsidRDefault="008B59E5" w:rsidP="008B59E5">
            <w:pPr>
              <w:pStyle w:val="TableParagraph"/>
              <w:ind w:left="170"/>
              <w:rPr>
                <w:rFonts w:cs="Arial"/>
              </w:rPr>
            </w:pPr>
            <w:r w:rsidRPr="002F3A26">
              <w:t>1.22</w:t>
            </w:r>
            <w:r w:rsidRPr="002F3A26">
              <w:rPr>
                <w:vertAlign w:val="superscript"/>
              </w:rPr>
              <w:t>***</w:t>
            </w:r>
          </w:p>
        </w:tc>
        <w:tc>
          <w:tcPr>
            <w:tcW w:w="1062" w:type="dxa"/>
          </w:tcPr>
          <w:p w14:paraId="3BA55B81" w14:textId="2558FE73" w:rsidR="008B59E5" w:rsidRPr="002F3A26" w:rsidRDefault="008B59E5" w:rsidP="008B59E5">
            <w:pPr>
              <w:pStyle w:val="TableParagraph"/>
              <w:ind w:left="170"/>
              <w:rPr>
                <w:rFonts w:cs="Arial"/>
              </w:rPr>
            </w:pPr>
            <w:r w:rsidRPr="002F3A26">
              <w:t>1.42</w:t>
            </w:r>
            <w:r w:rsidRPr="002F3A26">
              <w:rPr>
                <w:vertAlign w:val="superscript"/>
              </w:rPr>
              <w:t>***</w:t>
            </w:r>
          </w:p>
        </w:tc>
        <w:tc>
          <w:tcPr>
            <w:tcW w:w="1062" w:type="dxa"/>
          </w:tcPr>
          <w:p w14:paraId="51B42AAB" w14:textId="7361FBE8" w:rsidR="008B59E5" w:rsidRPr="002F3A26" w:rsidRDefault="008B59E5" w:rsidP="008B59E5">
            <w:pPr>
              <w:pStyle w:val="TableParagraph"/>
              <w:ind w:left="170"/>
              <w:rPr>
                <w:rFonts w:cs="Arial"/>
              </w:rPr>
            </w:pPr>
            <w:r w:rsidRPr="002F3A26">
              <w:t>1.10</w:t>
            </w:r>
            <w:r w:rsidRPr="002F3A26">
              <w:rPr>
                <w:vertAlign w:val="superscript"/>
              </w:rPr>
              <w:t>*</w:t>
            </w:r>
          </w:p>
        </w:tc>
        <w:tc>
          <w:tcPr>
            <w:tcW w:w="1062" w:type="dxa"/>
          </w:tcPr>
          <w:p w14:paraId="6E8195B7" w14:textId="42D4EFFD" w:rsidR="008B59E5" w:rsidRPr="002F3A26" w:rsidRDefault="008B59E5" w:rsidP="008B59E5">
            <w:pPr>
              <w:pStyle w:val="TableParagraph"/>
              <w:ind w:left="170"/>
            </w:pPr>
            <w:r w:rsidRPr="002F3A26">
              <w:t>1.12</w:t>
            </w:r>
            <w:r w:rsidRPr="002F3A26">
              <w:rPr>
                <w:vertAlign w:val="superscript"/>
              </w:rPr>
              <w:t>*</w:t>
            </w:r>
          </w:p>
        </w:tc>
        <w:tc>
          <w:tcPr>
            <w:tcW w:w="1062" w:type="dxa"/>
          </w:tcPr>
          <w:p w14:paraId="7C598C68" w14:textId="06CCD74B" w:rsidR="008B59E5" w:rsidRPr="002F3A26" w:rsidRDefault="008B59E5" w:rsidP="008B59E5">
            <w:pPr>
              <w:pStyle w:val="TableParagraph"/>
              <w:ind w:left="170"/>
            </w:pPr>
            <w:r w:rsidRPr="002F3A26">
              <w:t>1.01</w:t>
            </w:r>
          </w:p>
        </w:tc>
        <w:tc>
          <w:tcPr>
            <w:tcW w:w="1063" w:type="dxa"/>
          </w:tcPr>
          <w:p w14:paraId="126C6673" w14:textId="7AD10C76" w:rsidR="008B59E5" w:rsidRPr="002F3A26" w:rsidRDefault="008B59E5" w:rsidP="008B59E5">
            <w:pPr>
              <w:pStyle w:val="TableParagraph"/>
              <w:ind w:left="170"/>
            </w:pPr>
            <w:r w:rsidRPr="002F3A26">
              <w:t>0.89</w:t>
            </w:r>
            <w:r w:rsidRPr="002F3A26">
              <w:rPr>
                <w:vertAlign w:val="superscript"/>
              </w:rPr>
              <w:t>***</w:t>
            </w:r>
          </w:p>
        </w:tc>
        <w:tc>
          <w:tcPr>
            <w:tcW w:w="1062" w:type="dxa"/>
          </w:tcPr>
          <w:p w14:paraId="46BD5823" w14:textId="3BF6BA3C" w:rsidR="008B59E5" w:rsidRPr="002F3A26" w:rsidRDefault="008B59E5" w:rsidP="008B59E5">
            <w:pPr>
              <w:pStyle w:val="TableParagraph"/>
              <w:ind w:left="170"/>
            </w:pPr>
            <w:r w:rsidRPr="002F3A26">
              <w:t>0.89</w:t>
            </w:r>
            <w:r w:rsidRPr="002F3A26">
              <w:rPr>
                <w:vertAlign w:val="superscript"/>
              </w:rPr>
              <w:t>**</w:t>
            </w:r>
          </w:p>
        </w:tc>
        <w:tc>
          <w:tcPr>
            <w:tcW w:w="1062" w:type="dxa"/>
          </w:tcPr>
          <w:p w14:paraId="68EB0F34" w14:textId="3005DB0A" w:rsidR="008B59E5" w:rsidRPr="002F3A26" w:rsidRDefault="008B59E5" w:rsidP="008B59E5">
            <w:pPr>
              <w:pStyle w:val="TableParagraph"/>
              <w:ind w:left="170"/>
            </w:pPr>
            <w:r w:rsidRPr="002F3A26">
              <w:t>0.92</w:t>
            </w:r>
            <w:r w:rsidRPr="002F3A26">
              <w:rPr>
                <w:vertAlign w:val="superscript"/>
              </w:rPr>
              <w:t>**</w:t>
            </w:r>
          </w:p>
        </w:tc>
        <w:tc>
          <w:tcPr>
            <w:tcW w:w="1062" w:type="dxa"/>
          </w:tcPr>
          <w:p w14:paraId="2A747BD2" w14:textId="01E2A92B" w:rsidR="008B59E5" w:rsidRPr="002F3A26" w:rsidRDefault="008B59E5" w:rsidP="008B59E5">
            <w:pPr>
              <w:pStyle w:val="TableParagraph"/>
              <w:ind w:left="170"/>
            </w:pPr>
            <w:r w:rsidRPr="002F3A26">
              <w:t>1.02</w:t>
            </w:r>
          </w:p>
        </w:tc>
        <w:tc>
          <w:tcPr>
            <w:tcW w:w="1062" w:type="dxa"/>
          </w:tcPr>
          <w:p w14:paraId="51BEF357" w14:textId="2F13EBB8" w:rsidR="008B59E5" w:rsidRPr="002F3A26" w:rsidRDefault="008B59E5" w:rsidP="008B59E5">
            <w:pPr>
              <w:pStyle w:val="TableParagraph"/>
              <w:ind w:left="170"/>
            </w:pPr>
            <w:r w:rsidRPr="002F3A26">
              <w:t>1.30</w:t>
            </w:r>
            <w:r w:rsidRPr="002F3A26">
              <w:rPr>
                <w:vertAlign w:val="superscript"/>
              </w:rPr>
              <w:t>**</w:t>
            </w:r>
          </w:p>
        </w:tc>
        <w:tc>
          <w:tcPr>
            <w:tcW w:w="1063" w:type="dxa"/>
          </w:tcPr>
          <w:p w14:paraId="258A3875" w14:textId="75187740" w:rsidR="008B59E5" w:rsidRPr="002F3A26" w:rsidRDefault="008B59E5" w:rsidP="008B59E5">
            <w:pPr>
              <w:pStyle w:val="TableParagraph"/>
              <w:ind w:left="170"/>
            </w:pPr>
            <w:r w:rsidRPr="002F3A26">
              <w:t>0.93</w:t>
            </w:r>
          </w:p>
        </w:tc>
      </w:tr>
      <w:tr w:rsidR="008B59E5" w:rsidRPr="002F3A26" w14:paraId="787CA797" w14:textId="42A4B0E7" w:rsidTr="00D17B28">
        <w:trPr>
          <w:trHeight w:val="218"/>
        </w:trPr>
        <w:tc>
          <w:tcPr>
            <w:tcW w:w="2264" w:type="dxa"/>
          </w:tcPr>
          <w:p w14:paraId="3155D2FA" w14:textId="19EF8525" w:rsidR="008B59E5" w:rsidRPr="002F3A26" w:rsidRDefault="008B59E5" w:rsidP="008B59E5">
            <w:pPr>
              <w:pStyle w:val="TableParagraph"/>
              <w:rPr>
                <w:rFonts w:cs="Arial"/>
              </w:rPr>
            </w:pPr>
            <w:r w:rsidRPr="002F3A26">
              <w:lastRenderedPageBreak/>
              <w:t>$1,250-$1,999</w:t>
            </w:r>
          </w:p>
        </w:tc>
        <w:tc>
          <w:tcPr>
            <w:tcW w:w="1062" w:type="dxa"/>
          </w:tcPr>
          <w:p w14:paraId="448B7C9D" w14:textId="122FE789" w:rsidR="008B59E5" w:rsidRPr="002F3A26" w:rsidRDefault="008B59E5" w:rsidP="008B59E5">
            <w:pPr>
              <w:pStyle w:val="TableParagraph"/>
              <w:ind w:left="170"/>
              <w:rPr>
                <w:rFonts w:cs="Arial"/>
              </w:rPr>
            </w:pPr>
            <w:r w:rsidRPr="002F3A26">
              <w:t>1.11</w:t>
            </w:r>
            <w:r w:rsidRPr="002F3A26">
              <w:rPr>
                <w:vertAlign w:val="superscript"/>
              </w:rPr>
              <w:t>***</w:t>
            </w:r>
          </w:p>
        </w:tc>
        <w:tc>
          <w:tcPr>
            <w:tcW w:w="1062" w:type="dxa"/>
          </w:tcPr>
          <w:p w14:paraId="36386AED" w14:textId="61B08077" w:rsidR="008B59E5" w:rsidRPr="002F3A26" w:rsidRDefault="008B59E5" w:rsidP="008B59E5">
            <w:pPr>
              <w:pStyle w:val="TableParagraph"/>
              <w:ind w:left="170"/>
              <w:rPr>
                <w:rFonts w:cs="Arial"/>
              </w:rPr>
            </w:pPr>
            <w:r w:rsidRPr="002F3A26">
              <w:t>1.36</w:t>
            </w:r>
            <w:r w:rsidRPr="002F3A26">
              <w:rPr>
                <w:vertAlign w:val="superscript"/>
              </w:rPr>
              <w:t>***</w:t>
            </w:r>
          </w:p>
        </w:tc>
        <w:tc>
          <w:tcPr>
            <w:tcW w:w="1062" w:type="dxa"/>
          </w:tcPr>
          <w:p w14:paraId="2D6AE269" w14:textId="066BA9E5" w:rsidR="008B59E5" w:rsidRPr="002F3A26" w:rsidRDefault="008B59E5" w:rsidP="008B59E5">
            <w:pPr>
              <w:pStyle w:val="TableParagraph"/>
              <w:ind w:left="170"/>
              <w:rPr>
                <w:rFonts w:cs="Arial"/>
              </w:rPr>
            </w:pPr>
            <w:r w:rsidRPr="002F3A26">
              <w:t>1.08</w:t>
            </w:r>
            <w:r w:rsidRPr="002F3A26">
              <w:rPr>
                <w:vertAlign w:val="superscript"/>
              </w:rPr>
              <w:t>*</w:t>
            </w:r>
          </w:p>
        </w:tc>
        <w:tc>
          <w:tcPr>
            <w:tcW w:w="1062" w:type="dxa"/>
          </w:tcPr>
          <w:p w14:paraId="7DCC4470" w14:textId="12AF7BD7" w:rsidR="008B59E5" w:rsidRPr="002F3A26" w:rsidRDefault="008B59E5" w:rsidP="008B59E5">
            <w:pPr>
              <w:pStyle w:val="TableParagraph"/>
              <w:ind w:left="170"/>
            </w:pPr>
            <w:r w:rsidRPr="002F3A26">
              <w:t>1.05</w:t>
            </w:r>
          </w:p>
        </w:tc>
        <w:tc>
          <w:tcPr>
            <w:tcW w:w="1062" w:type="dxa"/>
          </w:tcPr>
          <w:p w14:paraId="206A8030" w14:textId="24F58BE8" w:rsidR="008B59E5" w:rsidRPr="002F3A26" w:rsidRDefault="008B59E5" w:rsidP="008B59E5">
            <w:pPr>
              <w:pStyle w:val="TableParagraph"/>
              <w:ind w:left="170"/>
            </w:pPr>
            <w:r w:rsidRPr="002F3A26">
              <w:t>1.28</w:t>
            </w:r>
            <w:r w:rsidRPr="002F3A26">
              <w:rPr>
                <w:vertAlign w:val="superscript"/>
              </w:rPr>
              <w:t>**</w:t>
            </w:r>
          </w:p>
        </w:tc>
        <w:tc>
          <w:tcPr>
            <w:tcW w:w="1063" w:type="dxa"/>
          </w:tcPr>
          <w:p w14:paraId="30C482E3" w14:textId="09167B2B" w:rsidR="008B59E5" w:rsidRPr="002F3A26" w:rsidRDefault="008B59E5" w:rsidP="008B59E5">
            <w:pPr>
              <w:pStyle w:val="TableParagraph"/>
              <w:ind w:left="170"/>
            </w:pPr>
            <w:r w:rsidRPr="002F3A26">
              <w:t>1.01</w:t>
            </w:r>
          </w:p>
        </w:tc>
        <w:tc>
          <w:tcPr>
            <w:tcW w:w="1062" w:type="dxa"/>
          </w:tcPr>
          <w:p w14:paraId="195FDABA" w14:textId="4A0C8857" w:rsidR="008B59E5" w:rsidRPr="002F3A26" w:rsidRDefault="008B59E5" w:rsidP="008B59E5">
            <w:pPr>
              <w:pStyle w:val="TableParagraph"/>
              <w:ind w:left="170"/>
            </w:pPr>
            <w:r w:rsidRPr="002F3A26">
              <w:t>1.09</w:t>
            </w:r>
            <w:r w:rsidRPr="002F3A26">
              <w:rPr>
                <w:vertAlign w:val="superscript"/>
              </w:rPr>
              <w:t>*</w:t>
            </w:r>
          </w:p>
        </w:tc>
        <w:tc>
          <w:tcPr>
            <w:tcW w:w="1062" w:type="dxa"/>
          </w:tcPr>
          <w:p w14:paraId="0D56CFFD" w14:textId="2598FB8E" w:rsidR="008B59E5" w:rsidRPr="002F3A26" w:rsidRDefault="008B59E5" w:rsidP="008B59E5">
            <w:pPr>
              <w:pStyle w:val="TableParagraph"/>
              <w:ind w:left="170"/>
            </w:pPr>
            <w:r w:rsidRPr="002F3A26">
              <w:t>0.93</w:t>
            </w:r>
            <w:r w:rsidRPr="002F3A26">
              <w:rPr>
                <w:vertAlign w:val="superscript"/>
              </w:rPr>
              <w:t>**</w:t>
            </w:r>
          </w:p>
        </w:tc>
        <w:tc>
          <w:tcPr>
            <w:tcW w:w="1062" w:type="dxa"/>
          </w:tcPr>
          <w:p w14:paraId="432363F0" w14:textId="20412314" w:rsidR="008B59E5" w:rsidRPr="002F3A26" w:rsidRDefault="008B59E5" w:rsidP="008B59E5">
            <w:pPr>
              <w:pStyle w:val="TableParagraph"/>
              <w:ind w:left="170"/>
            </w:pPr>
            <w:r w:rsidRPr="002F3A26">
              <w:t>1.10</w:t>
            </w:r>
            <w:r w:rsidRPr="002F3A26">
              <w:rPr>
                <w:vertAlign w:val="superscript"/>
              </w:rPr>
              <w:t>**</w:t>
            </w:r>
          </w:p>
        </w:tc>
        <w:tc>
          <w:tcPr>
            <w:tcW w:w="1062" w:type="dxa"/>
          </w:tcPr>
          <w:p w14:paraId="3FBDB5BF" w14:textId="4BB76A86" w:rsidR="008B59E5" w:rsidRPr="002F3A26" w:rsidRDefault="008B59E5" w:rsidP="008B59E5">
            <w:pPr>
              <w:pStyle w:val="TableParagraph"/>
              <w:ind w:left="170"/>
            </w:pPr>
            <w:r w:rsidRPr="002F3A26">
              <w:t>0.86</w:t>
            </w:r>
          </w:p>
        </w:tc>
        <w:tc>
          <w:tcPr>
            <w:tcW w:w="1063" w:type="dxa"/>
          </w:tcPr>
          <w:p w14:paraId="6BF225C5" w14:textId="49E9446C" w:rsidR="008B59E5" w:rsidRPr="002F3A26" w:rsidRDefault="008B59E5" w:rsidP="008B59E5">
            <w:pPr>
              <w:pStyle w:val="TableParagraph"/>
              <w:ind w:left="170"/>
            </w:pPr>
            <w:r w:rsidRPr="002F3A26">
              <w:t>1.01</w:t>
            </w:r>
          </w:p>
        </w:tc>
      </w:tr>
      <w:tr w:rsidR="008B59E5" w:rsidRPr="002F3A26" w14:paraId="6692ABC7" w14:textId="439FD80C" w:rsidTr="00D17B28">
        <w:trPr>
          <w:trHeight w:val="218"/>
        </w:trPr>
        <w:tc>
          <w:tcPr>
            <w:tcW w:w="2264" w:type="dxa"/>
          </w:tcPr>
          <w:p w14:paraId="613636B4" w14:textId="16FF511C" w:rsidR="008B59E5" w:rsidRPr="002F3A26" w:rsidRDefault="008B59E5" w:rsidP="008B59E5">
            <w:pPr>
              <w:pStyle w:val="TableParagraph"/>
              <w:rPr>
                <w:rFonts w:cs="Arial"/>
              </w:rPr>
            </w:pPr>
            <w:r w:rsidRPr="002F3A26">
              <w:t>$2,000-$2,999</w:t>
            </w:r>
          </w:p>
        </w:tc>
        <w:tc>
          <w:tcPr>
            <w:tcW w:w="1062" w:type="dxa"/>
          </w:tcPr>
          <w:p w14:paraId="77DD71FA" w14:textId="3F12D629" w:rsidR="008B59E5" w:rsidRPr="002F3A26" w:rsidRDefault="008B59E5" w:rsidP="008B59E5">
            <w:pPr>
              <w:pStyle w:val="TableParagraph"/>
              <w:ind w:left="170"/>
              <w:rPr>
                <w:rFonts w:cs="Arial"/>
              </w:rPr>
            </w:pPr>
            <w:r w:rsidRPr="002F3A26">
              <w:t>1.04</w:t>
            </w:r>
          </w:p>
        </w:tc>
        <w:tc>
          <w:tcPr>
            <w:tcW w:w="1062" w:type="dxa"/>
          </w:tcPr>
          <w:p w14:paraId="056A74D1" w14:textId="5B5480EA" w:rsidR="008B59E5" w:rsidRPr="002F3A26" w:rsidRDefault="008B59E5" w:rsidP="008B59E5">
            <w:pPr>
              <w:pStyle w:val="TableParagraph"/>
              <w:ind w:left="170"/>
              <w:rPr>
                <w:rFonts w:cs="Arial"/>
              </w:rPr>
            </w:pPr>
            <w:r w:rsidRPr="002F3A26">
              <w:t>1.22</w:t>
            </w:r>
            <w:r w:rsidRPr="002F3A26">
              <w:rPr>
                <w:vertAlign w:val="superscript"/>
              </w:rPr>
              <w:t>***</w:t>
            </w:r>
          </w:p>
        </w:tc>
        <w:tc>
          <w:tcPr>
            <w:tcW w:w="1062" w:type="dxa"/>
          </w:tcPr>
          <w:p w14:paraId="6010261A" w14:textId="32DBB977" w:rsidR="008B59E5" w:rsidRPr="002F3A26" w:rsidRDefault="008B59E5" w:rsidP="008B59E5">
            <w:pPr>
              <w:pStyle w:val="TableParagraph"/>
              <w:ind w:left="170"/>
              <w:rPr>
                <w:rFonts w:cs="Arial"/>
              </w:rPr>
            </w:pPr>
            <w:r w:rsidRPr="002F3A26">
              <w:t>1.05</w:t>
            </w:r>
          </w:p>
        </w:tc>
        <w:tc>
          <w:tcPr>
            <w:tcW w:w="1062" w:type="dxa"/>
          </w:tcPr>
          <w:p w14:paraId="4923FEDE" w14:textId="31790A81" w:rsidR="008B59E5" w:rsidRPr="002F3A26" w:rsidRDefault="008B59E5" w:rsidP="008B59E5">
            <w:pPr>
              <w:pStyle w:val="TableParagraph"/>
              <w:ind w:left="170"/>
            </w:pPr>
            <w:r w:rsidRPr="002F3A26">
              <w:t>0.93</w:t>
            </w:r>
          </w:p>
        </w:tc>
        <w:tc>
          <w:tcPr>
            <w:tcW w:w="1062" w:type="dxa"/>
          </w:tcPr>
          <w:p w14:paraId="04F5555B" w14:textId="64CCF571" w:rsidR="008B59E5" w:rsidRPr="002F3A26" w:rsidRDefault="008B59E5" w:rsidP="008B59E5">
            <w:pPr>
              <w:pStyle w:val="TableParagraph"/>
              <w:ind w:left="170"/>
            </w:pPr>
            <w:r w:rsidRPr="002F3A26">
              <w:t>1.38</w:t>
            </w:r>
            <w:r w:rsidRPr="002F3A26">
              <w:rPr>
                <w:vertAlign w:val="superscript"/>
              </w:rPr>
              <w:t>***</w:t>
            </w:r>
          </w:p>
        </w:tc>
        <w:tc>
          <w:tcPr>
            <w:tcW w:w="1063" w:type="dxa"/>
          </w:tcPr>
          <w:p w14:paraId="52D83B34" w14:textId="26AE05C1" w:rsidR="008B59E5" w:rsidRPr="002F3A26" w:rsidRDefault="008B59E5" w:rsidP="008B59E5">
            <w:pPr>
              <w:pStyle w:val="TableParagraph"/>
              <w:ind w:left="170"/>
            </w:pPr>
            <w:r w:rsidRPr="002F3A26">
              <w:t>1.05</w:t>
            </w:r>
            <w:r w:rsidRPr="002F3A26">
              <w:rPr>
                <w:vertAlign w:val="superscript"/>
              </w:rPr>
              <w:t>*</w:t>
            </w:r>
          </w:p>
        </w:tc>
        <w:tc>
          <w:tcPr>
            <w:tcW w:w="1062" w:type="dxa"/>
          </w:tcPr>
          <w:p w14:paraId="3D3A3270" w14:textId="3C400ABB" w:rsidR="008B59E5" w:rsidRPr="002F3A26" w:rsidRDefault="008B59E5" w:rsidP="008B59E5">
            <w:pPr>
              <w:pStyle w:val="TableParagraph"/>
              <w:ind w:left="170"/>
            </w:pPr>
            <w:r w:rsidRPr="002F3A26">
              <w:t>1.18</w:t>
            </w:r>
            <w:r w:rsidRPr="002F3A26">
              <w:rPr>
                <w:vertAlign w:val="superscript"/>
              </w:rPr>
              <w:t>***</w:t>
            </w:r>
          </w:p>
        </w:tc>
        <w:tc>
          <w:tcPr>
            <w:tcW w:w="1062" w:type="dxa"/>
          </w:tcPr>
          <w:p w14:paraId="7CADD55E" w14:textId="170F0BDC" w:rsidR="008B59E5" w:rsidRPr="002F3A26" w:rsidRDefault="008B59E5" w:rsidP="008B59E5">
            <w:pPr>
              <w:pStyle w:val="TableParagraph"/>
              <w:ind w:left="170"/>
            </w:pPr>
            <w:r w:rsidRPr="002F3A26">
              <w:t>0.89</w:t>
            </w:r>
            <w:r w:rsidRPr="002F3A26">
              <w:rPr>
                <w:vertAlign w:val="superscript"/>
              </w:rPr>
              <w:t>***</w:t>
            </w:r>
          </w:p>
        </w:tc>
        <w:tc>
          <w:tcPr>
            <w:tcW w:w="1062" w:type="dxa"/>
          </w:tcPr>
          <w:p w14:paraId="66302A56" w14:textId="3F074CA5" w:rsidR="008B59E5" w:rsidRPr="002F3A26" w:rsidRDefault="008B59E5" w:rsidP="008B59E5">
            <w:pPr>
              <w:pStyle w:val="TableParagraph"/>
              <w:ind w:left="170"/>
            </w:pPr>
            <w:r w:rsidRPr="002F3A26">
              <w:t>1.10</w:t>
            </w:r>
            <w:r w:rsidRPr="002F3A26">
              <w:rPr>
                <w:vertAlign w:val="superscript"/>
              </w:rPr>
              <w:t>***</w:t>
            </w:r>
          </w:p>
        </w:tc>
        <w:tc>
          <w:tcPr>
            <w:tcW w:w="1062" w:type="dxa"/>
          </w:tcPr>
          <w:p w14:paraId="60D5073F" w14:textId="1E09EDE2" w:rsidR="008B59E5" w:rsidRPr="002F3A26" w:rsidRDefault="008B59E5" w:rsidP="008B59E5">
            <w:pPr>
              <w:pStyle w:val="TableParagraph"/>
              <w:ind w:left="170"/>
            </w:pPr>
            <w:r w:rsidRPr="002F3A26">
              <w:t>0.87</w:t>
            </w:r>
          </w:p>
        </w:tc>
        <w:tc>
          <w:tcPr>
            <w:tcW w:w="1063" w:type="dxa"/>
          </w:tcPr>
          <w:p w14:paraId="6783EC34" w14:textId="2596508E" w:rsidR="008B59E5" w:rsidRPr="002F3A26" w:rsidRDefault="008B59E5" w:rsidP="008B59E5">
            <w:pPr>
              <w:pStyle w:val="TableParagraph"/>
              <w:ind w:left="170"/>
            </w:pPr>
            <w:r w:rsidRPr="002F3A26">
              <w:t>0.98</w:t>
            </w:r>
          </w:p>
        </w:tc>
      </w:tr>
      <w:tr w:rsidR="008B59E5" w:rsidRPr="002F3A26" w14:paraId="1DFCBC83" w14:textId="4B096B72" w:rsidTr="00D17B28">
        <w:trPr>
          <w:trHeight w:val="218"/>
        </w:trPr>
        <w:tc>
          <w:tcPr>
            <w:tcW w:w="2264" w:type="dxa"/>
          </w:tcPr>
          <w:p w14:paraId="23D4E68F" w14:textId="7067A681" w:rsidR="008B59E5" w:rsidRPr="002F3A26" w:rsidRDefault="008B59E5" w:rsidP="008B59E5">
            <w:pPr>
              <w:pStyle w:val="TableParagraph"/>
              <w:rPr>
                <w:rFonts w:cs="Arial"/>
              </w:rPr>
            </w:pPr>
            <w:r w:rsidRPr="002F3A26">
              <w:t>Partial/no information</w:t>
            </w:r>
          </w:p>
        </w:tc>
        <w:tc>
          <w:tcPr>
            <w:tcW w:w="1062" w:type="dxa"/>
          </w:tcPr>
          <w:p w14:paraId="399DB9B1" w14:textId="2FF19D23" w:rsidR="008B59E5" w:rsidRPr="002F3A26" w:rsidRDefault="008B59E5" w:rsidP="008B59E5">
            <w:pPr>
              <w:pStyle w:val="TableParagraph"/>
              <w:ind w:left="170"/>
              <w:rPr>
                <w:rFonts w:cs="Arial"/>
              </w:rPr>
            </w:pPr>
            <w:r w:rsidRPr="002F3A26">
              <w:t>1.09</w:t>
            </w:r>
            <w:r w:rsidRPr="002F3A26">
              <w:rPr>
                <w:vertAlign w:val="superscript"/>
              </w:rPr>
              <w:t>**</w:t>
            </w:r>
          </w:p>
        </w:tc>
        <w:tc>
          <w:tcPr>
            <w:tcW w:w="1062" w:type="dxa"/>
          </w:tcPr>
          <w:p w14:paraId="72E9888D" w14:textId="48805AA8" w:rsidR="008B59E5" w:rsidRPr="002F3A26" w:rsidRDefault="008B59E5" w:rsidP="008B59E5">
            <w:pPr>
              <w:pStyle w:val="TableParagraph"/>
              <w:ind w:left="170"/>
              <w:rPr>
                <w:rFonts w:cs="Arial"/>
              </w:rPr>
            </w:pPr>
            <w:r w:rsidRPr="002F3A26">
              <w:t>0.95</w:t>
            </w:r>
          </w:p>
        </w:tc>
        <w:tc>
          <w:tcPr>
            <w:tcW w:w="1062" w:type="dxa"/>
          </w:tcPr>
          <w:p w14:paraId="04286D7B" w14:textId="700A2C7A" w:rsidR="008B59E5" w:rsidRPr="002F3A26" w:rsidRDefault="008B59E5" w:rsidP="008B59E5">
            <w:pPr>
              <w:pStyle w:val="TableParagraph"/>
              <w:ind w:left="170"/>
              <w:rPr>
                <w:rFonts w:cs="Arial"/>
              </w:rPr>
            </w:pPr>
            <w:r w:rsidRPr="002F3A26">
              <w:t>0.98</w:t>
            </w:r>
          </w:p>
        </w:tc>
        <w:tc>
          <w:tcPr>
            <w:tcW w:w="1062" w:type="dxa"/>
          </w:tcPr>
          <w:p w14:paraId="3A499115" w14:textId="673C6AB8" w:rsidR="008B59E5" w:rsidRPr="002F3A26" w:rsidRDefault="008B59E5" w:rsidP="008B59E5">
            <w:pPr>
              <w:pStyle w:val="TableParagraph"/>
              <w:ind w:left="170"/>
            </w:pPr>
            <w:r w:rsidRPr="002F3A26">
              <w:t>1.08</w:t>
            </w:r>
          </w:p>
        </w:tc>
        <w:tc>
          <w:tcPr>
            <w:tcW w:w="1062" w:type="dxa"/>
          </w:tcPr>
          <w:p w14:paraId="334FB336" w14:textId="3B9D328F" w:rsidR="008B59E5" w:rsidRPr="002F3A26" w:rsidRDefault="008B59E5" w:rsidP="008B59E5">
            <w:pPr>
              <w:pStyle w:val="TableParagraph"/>
              <w:ind w:left="170"/>
            </w:pPr>
            <w:r w:rsidRPr="002F3A26">
              <w:t>1.30</w:t>
            </w:r>
            <w:r w:rsidRPr="002F3A26">
              <w:rPr>
                <w:vertAlign w:val="superscript"/>
              </w:rPr>
              <w:t>***</w:t>
            </w:r>
          </w:p>
        </w:tc>
        <w:tc>
          <w:tcPr>
            <w:tcW w:w="1063" w:type="dxa"/>
          </w:tcPr>
          <w:p w14:paraId="139AFDA1" w14:textId="38B2B638" w:rsidR="008B59E5" w:rsidRPr="002F3A26" w:rsidRDefault="008B59E5" w:rsidP="008B59E5">
            <w:pPr>
              <w:pStyle w:val="TableParagraph"/>
              <w:ind w:left="170"/>
            </w:pPr>
            <w:r w:rsidRPr="002F3A26">
              <w:t>0.96</w:t>
            </w:r>
          </w:p>
        </w:tc>
        <w:tc>
          <w:tcPr>
            <w:tcW w:w="1062" w:type="dxa"/>
          </w:tcPr>
          <w:p w14:paraId="38418678" w14:textId="54C5CA3E" w:rsidR="008B59E5" w:rsidRPr="002F3A26" w:rsidRDefault="008B59E5" w:rsidP="008B59E5">
            <w:pPr>
              <w:pStyle w:val="TableParagraph"/>
              <w:ind w:left="170"/>
            </w:pPr>
            <w:r w:rsidRPr="002F3A26">
              <w:t>0.89</w:t>
            </w:r>
            <w:r w:rsidRPr="002F3A26">
              <w:rPr>
                <w:vertAlign w:val="superscript"/>
              </w:rPr>
              <w:t>**</w:t>
            </w:r>
          </w:p>
        </w:tc>
        <w:tc>
          <w:tcPr>
            <w:tcW w:w="1062" w:type="dxa"/>
          </w:tcPr>
          <w:p w14:paraId="44D07798" w14:textId="05D49C01" w:rsidR="008B59E5" w:rsidRPr="002F3A26" w:rsidRDefault="008B59E5" w:rsidP="008B59E5">
            <w:pPr>
              <w:pStyle w:val="TableParagraph"/>
              <w:ind w:left="170"/>
            </w:pPr>
            <w:r w:rsidRPr="002F3A26">
              <w:t>0.90</w:t>
            </w:r>
            <w:r w:rsidRPr="002F3A26">
              <w:rPr>
                <w:vertAlign w:val="superscript"/>
              </w:rPr>
              <w:t>***</w:t>
            </w:r>
          </w:p>
        </w:tc>
        <w:tc>
          <w:tcPr>
            <w:tcW w:w="1062" w:type="dxa"/>
          </w:tcPr>
          <w:p w14:paraId="436BC51D" w14:textId="06774B2E" w:rsidR="008B59E5" w:rsidRPr="002F3A26" w:rsidRDefault="008B59E5" w:rsidP="008B59E5">
            <w:pPr>
              <w:pStyle w:val="TableParagraph"/>
              <w:ind w:left="170"/>
            </w:pPr>
            <w:r w:rsidRPr="002F3A26">
              <w:t>1.00</w:t>
            </w:r>
          </w:p>
        </w:tc>
        <w:tc>
          <w:tcPr>
            <w:tcW w:w="1062" w:type="dxa"/>
          </w:tcPr>
          <w:p w14:paraId="1875B511" w14:textId="775D607E" w:rsidR="008B59E5" w:rsidRPr="002F3A26" w:rsidRDefault="008B59E5" w:rsidP="008B59E5">
            <w:pPr>
              <w:pStyle w:val="TableParagraph"/>
              <w:ind w:left="170"/>
            </w:pPr>
            <w:r w:rsidRPr="002F3A26">
              <w:t>1.06</w:t>
            </w:r>
          </w:p>
        </w:tc>
        <w:tc>
          <w:tcPr>
            <w:tcW w:w="1063" w:type="dxa"/>
          </w:tcPr>
          <w:p w14:paraId="76B0043F" w14:textId="75D9ADF8" w:rsidR="008B59E5" w:rsidRPr="002F3A26" w:rsidRDefault="008B59E5" w:rsidP="008B59E5">
            <w:pPr>
              <w:pStyle w:val="TableParagraph"/>
              <w:ind w:left="170"/>
            </w:pPr>
            <w:r w:rsidRPr="002F3A26">
              <w:t>1.03</w:t>
            </w:r>
          </w:p>
        </w:tc>
      </w:tr>
      <w:tr w:rsidR="008B59E5" w:rsidRPr="002F3A26" w14:paraId="6FD60A46" w14:textId="599FD222" w:rsidTr="00D17B28">
        <w:trPr>
          <w:trHeight w:val="218"/>
        </w:trPr>
        <w:tc>
          <w:tcPr>
            <w:tcW w:w="2264" w:type="dxa"/>
          </w:tcPr>
          <w:p w14:paraId="03D8A33E" w14:textId="64418A93" w:rsidR="008B59E5" w:rsidRPr="002F3A26" w:rsidRDefault="008B59E5" w:rsidP="008B59E5">
            <w:pPr>
              <w:pStyle w:val="TableParagraph"/>
              <w:rPr>
                <w:rFonts w:cs="Arial"/>
              </w:rPr>
            </w:pPr>
            <w:r w:rsidRPr="002F3A26">
              <w:t>Observations</w:t>
            </w:r>
          </w:p>
        </w:tc>
        <w:tc>
          <w:tcPr>
            <w:tcW w:w="1062" w:type="dxa"/>
          </w:tcPr>
          <w:p w14:paraId="28FB3719" w14:textId="3BF34605" w:rsidR="008B59E5" w:rsidRPr="002F3A26" w:rsidRDefault="008B59E5" w:rsidP="008B59E5">
            <w:pPr>
              <w:pStyle w:val="TableParagraph"/>
              <w:ind w:left="170"/>
              <w:rPr>
                <w:rFonts w:cs="Arial"/>
              </w:rPr>
            </w:pPr>
            <w:r w:rsidRPr="002F3A26">
              <w:t>192995</w:t>
            </w:r>
          </w:p>
        </w:tc>
        <w:tc>
          <w:tcPr>
            <w:tcW w:w="1062" w:type="dxa"/>
          </w:tcPr>
          <w:p w14:paraId="487D8F0D" w14:textId="7ED1EF4D" w:rsidR="008B59E5" w:rsidRPr="002F3A26" w:rsidRDefault="008B59E5" w:rsidP="008B59E5">
            <w:pPr>
              <w:pStyle w:val="TableParagraph"/>
              <w:ind w:left="170"/>
              <w:rPr>
                <w:rFonts w:cs="Arial"/>
              </w:rPr>
            </w:pPr>
          </w:p>
        </w:tc>
        <w:tc>
          <w:tcPr>
            <w:tcW w:w="1062" w:type="dxa"/>
          </w:tcPr>
          <w:p w14:paraId="13E5BED1" w14:textId="56D653BC" w:rsidR="008B59E5" w:rsidRPr="002F3A26" w:rsidRDefault="008B59E5" w:rsidP="008B59E5">
            <w:pPr>
              <w:pStyle w:val="TableParagraph"/>
              <w:ind w:left="170"/>
              <w:rPr>
                <w:rFonts w:cs="Arial"/>
              </w:rPr>
            </w:pPr>
          </w:p>
        </w:tc>
        <w:tc>
          <w:tcPr>
            <w:tcW w:w="1062" w:type="dxa"/>
          </w:tcPr>
          <w:p w14:paraId="05358C32" w14:textId="77572963" w:rsidR="008B59E5" w:rsidRPr="002F3A26" w:rsidRDefault="008B59E5" w:rsidP="008B59E5">
            <w:pPr>
              <w:pStyle w:val="TableParagraph"/>
              <w:ind w:left="170"/>
            </w:pPr>
          </w:p>
        </w:tc>
        <w:tc>
          <w:tcPr>
            <w:tcW w:w="1062" w:type="dxa"/>
          </w:tcPr>
          <w:p w14:paraId="72501BE0" w14:textId="65DBAFDA" w:rsidR="008B59E5" w:rsidRPr="002F3A26" w:rsidRDefault="008B59E5" w:rsidP="008B59E5">
            <w:pPr>
              <w:pStyle w:val="TableParagraph"/>
              <w:ind w:left="170"/>
            </w:pPr>
          </w:p>
        </w:tc>
        <w:tc>
          <w:tcPr>
            <w:tcW w:w="1063" w:type="dxa"/>
          </w:tcPr>
          <w:p w14:paraId="064A45AF" w14:textId="37F625D2" w:rsidR="008B59E5" w:rsidRPr="002F3A26" w:rsidRDefault="008B59E5" w:rsidP="008B59E5">
            <w:pPr>
              <w:pStyle w:val="TableParagraph"/>
              <w:ind w:left="170"/>
            </w:pPr>
          </w:p>
        </w:tc>
        <w:tc>
          <w:tcPr>
            <w:tcW w:w="1062" w:type="dxa"/>
          </w:tcPr>
          <w:p w14:paraId="145204BC" w14:textId="7915CB24" w:rsidR="008B59E5" w:rsidRPr="002F3A26" w:rsidRDefault="008B59E5" w:rsidP="008B59E5">
            <w:pPr>
              <w:pStyle w:val="TableParagraph"/>
              <w:ind w:left="170"/>
            </w:pPr>
          </w:p>
        </w:tc>
        <w:tc>
          <w:tcPr>
            <w:tcW w:w="1062" w:type="dxa"/>
          </w:tcPr>
          <w:p w14:paraId="298C5905" w14:textId="541F2CD2" w:rsidR="008B59E5" w:rsidRPr="002F3A26" w:rsidRDefault="008B59E5" w:rsidP="008B59E5">
            <w:pPr>
              <w:pStyle w:val="TableParagraph"/>
              <w:ind w:left="170"/>
            </w:pPr>
          </w:p>
        </w:tc>
        <w:tc>
          <w:tcPr>
            <w:tcW w:w="1062" w:type="dxa"/>
          </w:tcPr>
          <w:p w14:paraId="634D35BF" w14:textId="752738CF" w:rsidR="008B59E5" w:rsidRPr="002F3A26" w:rsidRDefault="008B59E5" w:rsidP="008B59E5">
            <w:pPr>
              <w:pStyle w:val="TableParagraph"/>
              <w:ind w:left="170"/>
            </w:pPr>
          </w:p>
        </w:tc>
        <w:tc>
          <w:tcPr>
            <w:tcW w:w="1062" w:type="dxa"/>
          </w:tcPr>
          <w:p w14:paraId="2413C099" w14:textId="7CBB5202" w:rsidR="008B59E5" w:rsidRPr="002F3A26" w:rsidRDefault="008B59E5" w:rsidP="008B59E5">
            <w:pPr>
              <w:pStyle w:val="TableParagraph"/>
              <w:ind w:left="170"/>
            </w:pPr>
          </w:p>
        </w:tc>
        <w:tc>
          <w:tcPr>
            <w:tcW w:w="1063" w:type="dxa"/>
          </w:tcPr>
          <w:p w14:paraId="24D069C0" w14:textId="39461DD3" w:rsidR="008B59E5" w:rsidRPr="002F3A26" w:rsidRDefault="008B59E5" w:rsidP="008B59E5">
            <w:pPr>
              <w:pStyle w:val="TableParagraph"/>
              <w:ind w:left="170"/>
            </w:pPr>
          </w:p>
        </w:tc>
      </w:tr>
      <w:tr w:rsidR="008B59E5" w:rsidRPr="002F3A26" w14:paraId="44EC582E" w14:textId="6A75BF1E" w:rsidTr="00D17B28">
        <w:trPr>
          <w:trHeight w:val="218"/>
        </w:trPr>
        <w:tc>
          <w:tcPr>
            <w:tcW w:w="2264" w:type="dxa"/>
          </w:tcPr>
          <w:p w14:paraId="01552209" w14:textId="37CF2D0C" w:rsidR="008B59E5" w:rsidRPr="002F3A26" w:rsidRDefault="008B59E5" w:rsidP="008B59E5">
            <w:pPr>
              <w:pStyle w:val="TableParagraph"/>
              <w:rPr>
                <w:rFonts w:cs="Arial"/>
              </w:rPr>
            </w:pPr>
            <w:r w:rsidRPr="002F3A26">
              <w:t xml:space="preserve">Pseudo </w:t>
            </w:r>
            <w:r w:rsidRPr="002F3A26">
              <w:rPr>
                <w:i/>
                <w:iCs/>
              </w:rPr>
              <w:t>R</w:t>
            </w:r>
            <w:r w:rsidRPr="002F3A26">
              <w:rPr>
                <w:vertAlign w:val="superscript"/>
              </w:rPr>
              <w:t>2</w:t>
            </w:r>
          </w:p>
        </w:tc>
        <w:tc>
          <w:tcPr>
            <w:tcW w:w="1062" w:type="dxa"/>
          </w:tcPr>
          <w:p w14:paraId="3A075776" w14:textId="6FAD318D" w:rsidR="008B59E5" w:rsidRPr="002F3A26" w:rsidRDefault="008B59E5" w:rsidP="008B59E5">
            <w:pPr>
              <w:pStyle w:val="TableParagraph"/>
              <w:ind w:left="170"/>
              <w:rPr>
                <w:rFonts w:cs="Arial"/>
              </w:rPr>
            </w:pPr>
            <w:r w:rsidRPr="002F3A26">
              <w:t>0.039</w:t>
            </w:r>
          </w:p>
        </w:tc>
        <w:tc>
          <w:tcPr>
            <w:tcW w:w="1062" w:type="dxa"/>
          </w:tcPr>
          <w:p w14:paraId="46B31971" w14:textId="6252DACB" w:rsidR="008B59E5" w:rsidRPr="002F3A26" w:rsidRDefault="008B59E5" w:rsidP="008B59E5">
            <w:pPr>
              <w:pStyle w:val="TableParagraph"/>
              <w:ind w:left="170"/>
              <w:rPr>
                <w:rFonts w:cs="Arial"/>
              </w:rPr>
            </w:pPr>
          </w:p>
        </w:tc>
        <w:tc>
          <w:tcPr>
            <w:tcW w:w="1062" w:type="dxa"/>
          </w:tcPr>
          <w:p w14:paraId="5FE3E59B" w14:textId="1FA07F3B" w:rsidR="008B59E5" w:rsidRPr="002F3A26" w:rsidRDefault="008B59E5" w:rsidP="008B59E5">
            <w:pPr>
              <w:pStyle w:val="TableParagraph"/>
              <w:ind w:left="170"/>
              <w:rPr>
                <w:rFonts w:cs="Arial"/>
              </w:rPr>
            </w:pPr>
          </w:p>
        </w:tc>
        <w:tc>
          <w:tcPr>
            <w:tcW w:w="1062" w:type="dxa"/>
          </w:tcPr>
          <w:p w14:paraId="7D352653" w14:textId="6B3DB9F8" w:rsidR="008B59E5" w:rsidRPr="002F3A26" w:rsidRDefault="008B59E5" w:rsidP="008B59E5">
            <w:pPr>
              <w:pStyle w:val="TableParagraph"/>
              <w:ind w:left="170"/>
            </w:pPr>
          </w:p>
        </w:tc>
        <w:tc>
          <w:tcPr>
            <w:tcW w:w="1062" w:type="dxa"/>
          </w:tcPr>
          <w:p w14:paraId="7B0C45B2" w14:textId="3A14607F" w:rsidR="008B59E5" w:rsidRPr="002F3A26" w:rsidRDefault="008B59E5" w:rsidP="008B59E5">
            <w:pPr>
              <w:pStyle w:val="TableParagraph"/>
              <w:ind w:left="170"/>
            </w:pPr>
          </w:p>
        </w:tc>
        <w:tc>
          <w:tcPr>
            <w:tcW w:w="1063" w:type="dxa"/>
          </w:tcPr>
          <w:p w14:paraId="20DAAE22" w14:textId="3AC6B64A" w:rsidR="008B59E5" w:rsidRPr="002F3A26" w:rsidRDefault="008B59E5" w:rsidP="008B59E5">
            <w:pPr>
              <w:pStyle w:val="TableParagraph"/>
              <w:ind w:left="170"/>
            </w:pPr>
          </w:p>
        </w:tc>
        <w:tc>
          <w:tcPr>
            <w:tcW w:w="1062" w:type="dxa"/>
          </w:tcPr>
          <w:p w14:paraId="026D7CAA" w14:textId="744BF9AA" w:rsidR="008B59E5" w:rsidRPr="002F3A26" w:rsidRDefault="008B59E5" w:rsidP="008B59E5">
            <w:pPr>
              <w:pStyle w:val="TableParagraph"/>
              <w:ind w:left="170"/>
            </w:pPr>
          </w:p>
        </w:tc>
        <w:tc>
          <w:tcPr>
            <w:tcW w:w="1062" w:type="dxa"/>
          </w:tcPr>
          <w:p w14:paraId="3D54412D" w14:textId="21B5E539" w:rsidR="008B59E5" w:rsidRPr="002F3A26" w:rsidRDefault="008B59E5" w:rsidP="008B59E5">
            <w:pPr>
              <w:pStyle w:val="TableParagraph"/>
              <w:ind w:left="170"/>
            </w:pPr>
          </w:p>
        </w:tc>
        <w:tc>
          <w:tcPr>
            <w:tcW w:w="1062" w:type="dxa"/>
          </w:tcPr>
          <w:p w14:paraId="4231CFF8" w14:textId="36E3E41C" w:rsidR="008B59E5" w:rsidRPr="002F3A26" w:rsidRDefault="008B59E5" w:rsidP="008B59E5">
            <w:pPr>
              <w:pStyle w:val="TableParagraph"/>
              <w:ind w:left="170"/>
            </w:pPr>
          </w:p>
        </w:tc>
        <w:tc>
          <w:tcPr>
            <w:tcW w:w="1062" w:type="dxa"/>
          </w:tcPr>
          <w:p w14:paraId="0C04306B" w14:textId="5FB2C5EF" w:rsidR="008B59E5" w:rsidRPr="002F3A26" w:rsidRDefault="008B59E5" w:rsidP="008B59E5">
            <w:pPr>
              <w:pStyle w:val="TableParagraph"/>
              <w:ind w:left="170"/>
            </w:pPr>
          </w:p>
        </w:tc>
        <w:tc>
          <w:tcPr>
            <w:tcW w:w="1063" w:type="dxa"/>
          </w:tcPr>
          <w:p w14:paraId="17C22BC0" w14:textId="686051C4" w:rsidR="008B59E5" w:rsidRPr="002F3A26" w:rsidRDefault="008B59E5" w:rsidP="008B59E5">
            <w:pPr>
              <w:pStyle w:val="TableParagraph"/>
              <w:ind w:left="170"/>
            </w:pPr>
          </w:p>
        </w:tc>
      </w:tr>
    </w:tbl>
    <w:p w14:paraId="5002F23A" w14:textId="0DC3482C" w:rsidR="006847E6" w:rsidRDefault="00500DF0" w:rsidP="00500DF0">
      <w:pPr>
        <w:pStyle w:val="Notes"/>
        <w:sectPr w:rsidR="006847E6" w:rsidSect="00925C36">
          <w:pgSz w:w="16838" w:h="11906" w:orient="landscape"/>
          <w:pgMar w:top="1440" w:right="1440" w:bottom="1440" w:left="1440" w:header="708" w:footer="397" w:gutter="0"/>
          <w:cols w:space="708"/>
          <w:docGrid w:linePitch="360"/>
        </w:sectPr>
      </w:pPr>
      <w:r w:rsidRPr="002F3A26">
        <w:t xml:space="preserve">Notes: Data from PLIDA.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Statistical significance: * p &lt; 0.05, ** p &lt; 0.01, *** p &lt; 0.001.</w:t>
      </w:r>
    </w:p>
    <w:p w14:paraId="10BC6351" w14:textId="0F502258" w:rsidR="006847E6" w:rsidRPr="002F3A26" w:rsidRDefault="006847E6" w:rsidP="00D23949">
      <w:pPr>
        <w:pStyle w:val="Caption"/>
      </w:pPr>
      <w:bookmarkStart w:id="92" w:name="_Ref191540539"/>
      <w:bookmarkStart w:id="93" w:name="_Ref191540532"/>
      <w:r>
        <w:lastRenderedPageBreak/>
        <w:t xml:space="preserve">Figure </w:t>
      </w:r>
      <w:fldSimple w:instr=" STYLEREF 7 \s ">
        <w:r w:rsidR="00627572">
          <w:rPr>
            <w:noProof/>
          </w:rPr>
          <w:t>B</w:t>
        </w:r>
      </w:fldSimple>
      <w:r>
        <w:noBreakHyphen/>
      </w:r>
      <w:fldSimple w:instr=" SEQ Figure_ap \* ARABIC \s 7 ">
        <w:r w:rsidR="00627572">
          <w:rPr>
            <w:noProof/>
          </w:rPr>
          <w:t>1</w:t>
        </w:r>
      </w:fldSimple>
      <w:bookmarkEnd w:id="92"/>
      <w:r w:rsidR="006D4F66">
        <w:rPr>
          <w:noProof/>
        </w:rPr>
        <w:t>:</w:t>
      </w:r>
      <w:r w:rsidR="00954558">
        <w:t xml:space="preserve"> </w:t>
      </w:r>
      <w:r w:rsidRPr="002F3A26">
        <w:t xml:space="preserve">Adjusted proportions of students enrolled in fields of </w:t>
      </w:r>
      <w:r w:rsidRPr="006847E6">
        <w:t xml:space="preserve">study by </w:t>
      </w:r>
      <w:r w:rsidR="00E61E05">
        <w:t>First-in-Family</w:t>
      </w:r>
      <w:r w:rsidRPr="006847E6">
        <w:t xml:space="preserve"> status and equity</w:t>
      </w:r>
      <w:r w:rsidR="006D4F66">
        <w:t xml:space="preserve"> </w:t>
      </w:r>
      <w:r w:rsidRPr="006847E6">
        <w:t>group membership</w:t>
      </w:r>
      <w:bookmarkEnd w:id="93"/>
    </w:p>
    <w:p w14:paraId="263AE0C9" w14:textId="2D855FF7" w:rsidR="006847E6" w:rsidRPr="002F3A26" w:rsidRDefault="005A39A2" w:rsidP="006847E6">
      <w:r>
        <w:rPr>
          <w:noProof/>
          <w14:ligatures w14:val="standardContextual"/>
        </w:rPr>
        <w:drawing>
          <wp:inline distT="0" distB="0" distL="0" distR="0" wp14:anchorId="70BF5A6C" wp14:editId="505844F8">
            <wp:extent cx="5731510" cy="7161530"/>
            <wp:effectExtent l="0" t="0" r="0" b="0"/>
            <wp:docPr id="989818537" name="Picture 14" descr="Figure B-1 illustrates the adjusted, i.e. predicted proportion of students enrolled in each field of study. The estimates were calculated for combinations of First-in-Family status and equity group membership. For example, the first panel presents predictions for 1) people who are First-in-family and come from low SES backgrounds, 2) people from low SES backgrounds who are not First-in-Family, 3) people who are First-in-family but do not come from low SES backgrounds, 4) people who are neither First-in-Family nor come from low SES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18537" name="Picture 14" descr="Figure B-1 illustrates the adjusted, i.e. predicted proportion of students enrolled in each field of study. The estimates were calculated for combinations of First-in-Family status and equity group membership. For example, the first panel presents predictions for 1) people who are First-in-family and come from low SES backgrounds, 2) people from low SES backgrounds who are not First-in-Family, 3) people who are First-in-family but do not come from low SES backgrounds, 4) people who are neither First-in-Family nor come from low SES backgrounds. "/>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1510" cy="7161530"/>
                    </a:xfrm>
                    <a:prstGeom prst="rect">
                      <a:avLst/>
                    </a:prstGeom>
                  </pic:spPr>
                </pic:pic>
              </a:graphicData>
            </a:graphic>
          </wp:inline>
        </w:drawing>
      </w:r>
    </w:p>
    <w:p w14:paraId="76ABF9D4" w14:textId="62D8BD78" w:rsidR="00954558" w:rsidRDefault="006847E6" w:rsidP="00954558">
      <w:pPr>
        <w:pStyle w:val="Notes"/>
      </w:pPr>
      <w:r w:rsidRPr="002F3A26">
        <w:t xml:space="preserve">Notes: Data from PLIDA. </w:t>
      </w:r>
      <w:r w:rsidR="006D4F66">
        <w:t xml:space="preserve">EG: equity group.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Pr="002F3A26">
        <w:rPr>
          <w:rFonts w:cstheme="minorHAnsi"/>
        </w:rPr>
        <w:t>in</w:t>
      </w:r>
      <w:r>
        <w:rPr>
          <w:rFonts w:cstheme="minorHAnsi"/>
        </w:rPr>
        <w:t xml:space="preserve"> </w:t>
      </w:r>
      <w:r w:rsidRPr="006847E6">
        <w:fldChar w:fldCharType="begin"/>
      </w:r>
      <w:r w:rsidRPr="006847E6">
        <w:instrText xml:space="preserve"> REF _Ref191531901 \h </w:instrText>
      </w:r>
      <w:r>
        <w:instrText xml:space="preserve"> \* MERGEFORMAT </w:instrText>
      </w:r>
      <w:r w:rsidRPr="006847E6">
        <w:fldChar w:fldCharType="separate"/>
      </w:r>
      <w:r w:rsidR="00627572">
        <w:t xml:space="preserve">Table </w:t>
      </w:r>
      <w:r w:rsidR="00627572">
        <w:rPr>
          <w:noProof/>
        </w:rPr>
        <w:t>B</w:t>
      </w:r>
      <w:r w:rsidR="00627572">
        <w:rPr>
          <w:noProof/>
        </w:rPr>
        <w:noBreakHyphen/>
        <w:t>6</w:t>
      </w:r>
      <w:r w:rsidRPr="006847E6">
        <w:fldChar w:fldCharType="end"/>
      </w:r>
      <w:r>
        <w:rPr>
          <w:rFonts w:cstheme="minorHAnsi"/>
        </w:rPr>
        <w:t xml:space="preserve"> </w:t>
      </w:r>
      <w:r w:rsidRPr="006847E6">
        <w:rPr>
          <w:rFonts w:cstheme="minorHAnsi"/>
        </w:rPr>
        <w:t xml:space="preserve">in </w:t>
      </w:r>
      <w:r w:rsidRPr="006847E6">
        <w:fldChar w:fldCharType="begin"/>
      </w:r>
      <w:r w:rsidRPr="006847E6">
        <w:instrText xml:space="preserve"> REF _Ref191461978 \n \h </w:instrText>
      </w:r>
      <w:r>
        <w:instrText xml:space="preserve"> \* MERGEFORMAT </w:instrText>
      </w:r>
      <w:r w:rsidRPr="006847E6">
        <w:fldChar w:fldCharType="separate"/>
      </w:r>
      <w:r w:rsidR="00627572">
        <w:t>Appendix B</w:t>
      </w:r>
      <w:r w:rsidRPr="006847E6">
        <w:fldChar w:fldCharType="end"/>
      </w:r>
      <w:bookmarkStart w:id="94" w:name="_Ref191542474"/>
      <w:r w:rsidR="006D4F66">
        <w:t>.</w:t>
      </w:r>
    </w:p>
    <w:p w14:paraId="21173DE9" w14:textId="1E4ABD87" w:rsidR="008B59E5" w:rsidRDefault="00925C36" w:rsidP="00954558">
      <w:pPr>
        <w:pStyle w:val="Heading7"/>
      </w:pPr>
      <w:r>
        <w:lastRenderedPageBreak/>
        <w:t xml:space="preserve">– </w:t>
      </w:r>
      <w:r w:rsidR="00954558">
        <w:t>Field of study at selective institutions</w:t>
      </w:r>
      <w:bookmarkEnd w:id="94"/>
    </w:p>
    <w:p w14:paraId="3F66DF2B" w14:textId="2840784D" w:rsidR="00954558" w:rsidRPr="002F3A26" w:rsidRDefault="00954558" w:rsidP="00D23949">
      <w:pPr>
        <w:pStyle w:val="Caption"/>
      </w:pPr>
      <w:r>
        <w:t xml:space="preserve">Figure </w:t>
      </w:r>
      <w:fldSimple w:instr=" STYLEREF 7 \s ">
        <w:r w:rsidR="00627572">
          <w:rPr>
            <w:noProof/>
          </w:rPr>
          <w:t>C</w:t>
        </w:r>
      </w:fldSimple>
      <w:r>
        <w:noBreakHyphen/>
      </w:r>
      <w:fldSimple w:instr=" SEQ Figure_ap \* ARABIC \s 7 ">
        <w:r w:rsidR="00627572">
          <w:rPr>
            <w:noProof/>
          </w:rPr>
          <w:t>1</w:t>
        </w:r>
      </w:fldSimple>
      <w:r w:rsidR="006D4F66">
        <w:rPr>
          <w:noProof/>
        </w:rPr>
        <w:t>:</w:t>
      </w:r>
      <w:r>
        <w:t xml:space="preserve"> </w:t>
      </w:r>
      <w:r w:rsidRPr="002F3A26">
        <w:t>Adjusted proportions of students enrolled in fields of study</w:t>
      </w:r>
      <w:r w:rsidR="00A86D05">
        <w:t xml:space="preserve"> at </w:t>
      </w:r>
      <w:r w:rsidR="00A86D05" w:rsidRPr="00A86D05">
        <w:t>selective institutions</w:t>
      </w:r>
      <w:r w:rsidRPr="00A86D05">
        <w:t xml:space="preserve"> by </w:t>
      </w:r>
      <w:r w:rsidR="00E61E05">
        <w:t>First-in-Family</w:t>
      </w:r>
      <w:r w:rsidRPr="00A86D05">
        <w:t xml:space="preserve"> status and equity</w:t>
      </w:r>
      <w:r w:rsidR="006D4F66">
        <w:t xml:space="preserve"> </w:t>
      </w:r>
      <w:r w:rsidRPr="00A86D05">
        <w:t>group membership</w:t>
      </w:r>
    </w:p>
    <w:p w14:paraId="688C4DC9" w14:textId="31EFE050" w:rsidR="00954558" w:rsidRPr="002F3A26" w:rsidRDefault="00EB4C65" w:rsidP="00954558">
      <w:r>
        <w:rPr>
          <w:noProof/>
          <w14:ligatures w14:val="standardContextual"/>
        </w:rPr>
        <w:drawing>
          <wp:inline distT="0" distB="0" distL="0" distR="0" wp14:anchorId="5A7D1EEC" wp14:editId="30FF5B33">
            <wp:extent cx="5731510" cy="7161530"/>
            <wp:effectExtent l="0" t="0" r="0" b="0"/>
            <wp:docPr id="1115700915" name="Picture 16" descr="Figure C-1  shows the adjusted percentage of students in selective institutions enrolled in various fields of study, comparing those from equity groups (EG) with those not in equity groups (non-E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00915" name="Picture 16" descr="Figure C-1  shows the adjusted percentage of students in selective institutions enrolled in various fields of study, comparing those from equity groups (EG) with those not in equity groups (non-EG). "/>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31510" cy="7161530"/>
                    </a:xfrm>
                    <a:prstGeom prst="rect">
                      <a:avLst/>
                    </a:prstGeom>
                  </pic:spPr>
                </pic:pic>
              </a:graphicData>
            </a:graphic>
          </wp:inline>
        </w:drawing>
      </w:r>
    </w:p>
    <w:p w14:paraId="6990F7B3" w14:textId="6A181351" w:rsidR="00954558" w:rsidRDefault="00954558" w:rsidP="00954558">
      <w:pPr>
        <w:pStyle w:val="Notes"/>
        <w:rPr>
          <w:rFonts w:cstheme="minorHAnsi"/>
        </w:rPr>
      </w:pPr>
      <w:r w:rsidRPr="002F3A26">
        <w:t xml:space="preserve">Notes: Data from PLIDA. </w:t>
      </w:r>
      <w:r w:rsidR="006D4F66">
        <w:t xml:space="preserve">EG: equity group.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Pr="002F3A26">
        <w:rPr>
          <w:rFonts w:cstheme="minorHAnsi"/>
        </w:rPr>
        <w:t xml:space="preserve">in </w:t>
      </w:r>
      <w:r>
        <w:rPr>
          <w:rFonts w:cstheme="minorHAnsi"/>
          <w:highlight w:val="yellow"/>
        </w:rPr>
        <w:fldChar w:fldCharType="begin"/>
      </w:r>
      <w:r>
        <w:rPr>
          <w:rFonts w:cstheme="minorHAnsi"/>
        </w:rPr>
        <w:instrText xml:space="preserve"> REF _Ref191543015 \h </w:instrText>
      </w:r>
      <w:r>
        <w:rPr>
          <w:rFonts w:cstheme="minorHAnsi"/>
          <w:highlight w:val="yellow"/>
        </w:rPr>
      </w:r>
      <w:r>
        <w:rPr>
          <w:rFonts w:cstheme="minorHAnsi"/>
          <w:highlight w:val="yellow"/>
        </w:rPr>
        <w:fldChar w:fldCharType="separate"/>
      </w:r>
      <w:r w:rsidR="00627572">
        <w:t xml:space="preserve">Table </w:t>
      </w:r>
      <w:r w:rsidR="00627572">
        <w:rPr>
          <w:noProof/>
        </w:rPr>
        <w:t>C</w:t>
      </w:r>
      <w:r w:rsidR="00627572">
        <w:noBreakHyphen/>
      </w:r>
      <w:r w:rsidR="00627572">
        <w:rPr>
          <w:noProof/>
        </w:rPr>
        <w:t>2</w:t>
      </w:r>
      <w:r>
        <w:rPr>
          <w:rFonts w:cstheme="minorHAnsi"/>
          <w:highlight w:val="yellow"/>
        </w:rPr>
        <w:fldChar w:fldCharType="end"/>
      </w:r>
      <w:r w:rsidR="006D4F66">
        <w:rPr>
          <w:rFonts w:cstheme="minorHAnsi"/>
        </w:rPr>
        <w:t>.</w:t>
      </w:r>
    </w:p>
    <w:p w14:paraId="5B1A6AB4" w14:textId="7E7C8932" w:rsidR="00954558" w:rsidRPr="002F3A26" w:rsidRDefault="00954558" w:rsidP="00D23949">
      <w:pPr>
        <w:pStyle w:val="Caption"/>
      </w:pPr>
      <w:r>
        <w:lastRenderedPageBreak/>
        <w:t xml:space="preserve">Figure </w:t>
      </w:r>
      <w:fldSimple w:instr=" STYLEREF 7 \s ">
        <w:r w:rsidR="00627572">
          <w:rPr>
            <w:noProof/>
          </w:rPr>
          <w:t>C</w:t>
        </w:r>
      </w:fldSimple>
      <w:r>
        <w:noBreakHyphen/>
      </w:r>
      <w:fldSimple w:instr=" SEQ Figure_ap \* ARABIC \s 7 ">
        <w:r w:rsidR="00627572">
          <w:rPr>
            <w:noProof/>
          </w:rPr>
          <w:t>2</w:t>
        </w:r>
      </w:fldSimple>
      <w:r w:rsidR="006D4F66">
        <w:rPr>
          <w:noProof/>
        </w:rPr>
        <w:t>:</w:t>
      </w:r>
      <w:r>
        <w:t xml:space="preserve"> </w:t>
      </w:r>
      <w:r w:rsidRPr="002F3A26">
        <w:t xml:space="preserve">Adjusted proportions of students enrolled in fields of </w:t>
      </w:r>
      <w:r w:rsidRPr="006847E6">
        <w:t>study</w:t>
      </w:r>
      <w:r w:rsidR="00A86D05">
        <w:t xml:space="preserve"> at selective institutions</w:t>
      </w:r>
      <w:r w:rsidRPr="006847E6">
        <w:t xml:space="preserve"> by </w:t>
      </w:r>
      <w:r w:rsidR="00E61E05">
        <w:t>First-in-Family</w:t>
      </w:r>
      <w:r w:rsidRPr="006847E6">
        <w:t xml:space="preserve"> status and equity</w:t>
      </w:r>
      <w:r w:rsidR="00EE2BEB">
        <w:t xml:space="preserve"> </w:t>
      </w:r>
      <w:r w:rsidRPr="006847E6">
        <w:t>group membership</w:t>
      </w:r>
    </w:p>
    <w:p w14:paraId="1F7C5E73" w14:textId="7F419E60" w:rsidR="00954558" w:rsidRPr="002F3A26" w:rsidRDefault="000426FB" w:rsidP="00954558">
      <w:r>
        <w:rPr>
          <w:noProof/>
          <w14:ligatures w14:val="standardContextual"/>
        </w:rPr>
        <w:drawing>
          <wp:inline distT="0" distB="0" distL="0" distR="0" wp14:anchorId="1365C868" wp14:editId="31276B9D">
            <wp:extent cx="5731510" cy="7161530"/>
            <wp:effectExtent l="0" t="0" r="0" b="0"/>
            <wp:docPr id="625729882" name="Picture 17" descr="Figure C-2 illustrates the adjusted, i.e. predicted proportion of students at selective institutions enrolled in each field of study. The estimates were calculated for combinations of First-in-Family status and equity group membership. For example, the first panel presents predictions for 1) people who are First-in-family and come from low SES backgrounds, 2) people from low SES backgrounds who are not First-in-Family, 3) people who are First-in-family but do not come from low SES backgrounds, 4) people who are neither First-in-Family nor come from low SES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9882" name="Picture 17" descr="Figure C-2 illustrates the adjusted, i.e. predicted proportion of students at selective institutions enrolled in each field of study. The estimates were calculated for combinations of First-in-Family status and equity group membership. For example, the first panel presents predictions for 1) people who are First-in-family and come from low SES backgrounds, 2) people from low SES backgrounds who are not First-in-Family, 3) people who are First-in-family but do not come from low SES backgrounds, 4) people who are neither First-in-Family nor come from low SES backgrounds. "/>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31510" cy="7161530"/>
                    </a:xfrm>
                    <a:prstGeom prst="rect">
                      <a:avLst/>
                    </a:prstGeom>
                  </pic:spPr>
                </pic:pic>
              </a:graphicData>
            </a:graphic>
          </wp:inline>
        </w:drawing>
      </w:r>
    </w:p>
    <w:p w14:paraId="01401A34" w14:textId="309E30CA" w:rsidR="00954558" w:rsidRDefault="00954558" w:rsidP="00954558">
      <w:pPr>
        <w:pStyle w:val="Notes"/>
      </w:pPr>
      <w:r w:rsidRPr="002F3A26">
        <w:t xml:space="preserve">Notes: Data from PLIDA. </w:t>
      </w:r>
      <w:r w:rsidR="00EE2BEB">
        <w:t xml:space="preserve">EG: equity group.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Pr="002F3A26">
        <w:rPr>
          <w:rFonts w:cstheme="minorHAnsi"/>
        </w:rPr>
        <w:t>in</w:t>
      </w:r>
      <w:r>
        <w:rPr>
          <w:rFonts w:cstheme="minorHAnsi"/>
        </w:rPr>
        <w:t xml:space="preserve"> </w:t>
      </w:r>
      <w:r>
        <w:fldChar w:fldCharType="begin"/>
      </w:r>
      <w:r>
        <w:rPr>
          <w:rFonts w:cstheme="minorHAnsi"/>
        </w:rPr>
        <w:instrText xml:space="preserve"> REF _Ref191543037 \h </w:instrText>
      </w:r>
      <w:r>
        <w:fldChar w:fldCharType="separate"/>
      </w:r>
      <w:r w:rsidR="00627572">
        <w:t xml:space="preserve">Table </w:t>
      </w:r>
      <w:r w:rsidR="00627572">
        <w:rPr>
          <w:noProof/>
        </w:rPr>
        <w:t>C</w:t>
      </w:r>
      <w:r w:rsidR="00627572">
        <w:noBreakHyphen/>
      </w:r>
      <w:r w:rsidR="00627572">
        <w:rPr>
          <w:noProof/>
        </w:rPr>
        <w:t>3</w:t>
      </w:r>
      <w:r>
        <w:fldChar w:fldCharType="end"/>
      </w:r>
      <w:r w:rsidR="00EE2BEB">
        <w:t>.</w:t>
      </w:r>
    </w:p>
    <w:p w14:paraId="5A49C514" w14:textId="77777777" w:rsidR="00954558" w:rsidRPr="002F3A26" w:rsidRDefault="00954558" w:rsidP="00954558">
      <w:pPr>
        <w:pStyle w:val="Notes"/>
        <w:rPr>
          <w:rFonts w:cstheme="minorHAnsi"/>
        </w:rPr>
      </w:pPr>
    </w:p>
    <w:p w14:paraId="609FF4D7" w14:textId="69315E14" w:rsidR="00954558" w:rsidRPr="002F3A26" w:rsidRDefault="00954558" w:rsidP="00D23949">
      <w:pPr>
        <w:pStyle w:val="Caption"/>
      </w:pPr>
      <w:r>
        <w:lastRenderedPageBreak/>
        <w:t xml:space="preserve">Figure </w:t>
      </w:r>
      <w:fldSimple w:instr=" STYLEREF 7 \s ">
        <w:r w:rsidR="00627572">
          <w:rPr>
            <w:noProof/>
          </w:rPr>
          <w:t>C</w:t>
        </w:r>
      </w:fldSimple>
      <w:r>
        <w:noBreakHyphen/>
      </w:r>
      <w:fldSimple w:instr=" SEQ Figure_ap \* ARABIC \s 7 ">
        <w:r w:rsidR="00627572">
          <w:rPr>
            <w:noProof/>
          </w:rPr>
          <w:t>3</w:t>
        </w:r>
      </w:fldSimple>
      <w:r w:rsidR="00EE2BEB">
        <w:rPr>
          <w:noProof/>
        </w:rPr>
        <w:t>:</w:t>
      </w:r>
      <w:r>
        <w:t xml:space="preserve"> </w:t>
      </w:r>
      <w:r w:rsidRPr="00A86D05">
        <w:t xml:space="preserve">Average marginal effects of </w:t>
      </w:r>
      <w:r w:rsidR="00E61E05">
        <w:t>First-in-Family</w:t>
      </w:r>
      <w:r w:rsidRPr="00A86D05">
        <w:t xml:space="preserve"> status on field of study at a selective institution by equity-group membership</w:t>
      </w:r>
    </w:p>
    <w:p w14:paraId="7380CBAC" w14:textId="4B2BA813" w:rsidR="00954558" w:rsidRPr="002F3A26" w:rsidRDefault="009A1C40" w:rsidP="00954558">
      <w:r>
        <w:rPr>
          <w:noProof/>
          <w14:ligatures w14:val="standardContextual"/>
        </w:rPr>
        <w:drawing>
          <wp:inline distT="0" distB="0" distL="0" distR="0" wp14:anchorId="64DBCC93" wp14:editId="71F723DB">
            <wp:extent cx="5731510" cy="7161530"/>
            <wp:effectExtent l="0" t="0" r="0" b="0"/>
            <wp:docPr id="1810891443" name="Picture 18" descr="Figure C-3 illustrates the average marginal effect of First-in-Family status on field of study at selective institutions for both members and non-members of equity groups  (low SES, RR, Indigenous, people with disability, women, and NE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91443" name="Picture 18" descr="Figure C-3 illustrates the average marginal effect of First-in-Family status on field of study at selective institutions for both members and non-members of equity groups  (low SES, RR, Indigenous, people with disability, women, and NESB)."/>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31510" cy="7161530"/>
                    </a:xfrm>
                    <a:prstGeom prst="rect">
                      <a:avLst/>
                    </a:prstGeom>
                  </pic:spPr>
                </pic:pic>
              </a:graphicData>
            </a:graphic>
          </wp:inline>
        </w:drawing>
      </w:r>
    </w:p>
    <w:p w14:paraId="0DB37B1C" w14:textId="79EF4279" w:rsidR="00954558" w:rsidRPr="00954558" w:rsidRDefault="00954558" w:rsidP="00954558">
      <w:pPr>
        <w:pStyle w:val="Notes"/>
        <w:rPr>
          <w:rFonts w:cstheme="minorHAnsi"/>
        </w:rPr>
      </w:pPr>
      <w:r w:rsidRPr="002F3A26">
        <w:t xml:space="preserve">Notes: Data from PLIDA. </w:t>
      </w:r>
      <w:r w:rsidR="00EE2BEB">
        <w:t xml:space="preserve">EG: equity group.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 xml:space="preserve">Predicted probabilities based on the model results presented </w:t>
      </w:r>
      <w:r w:rsidRPr="002F3A26">
        <w:rPr>
          <w:rFonts w:cstheme="minorHAnsi"/>
        </w:rPr>
        <w:t xml:space="preserve">in </w:t>
      </w:r>
      <w:r>
        <w:fldChar w:fldCharType="begin"/>
      </w:r>
      <w:r>
        <w:rPr>
          <w:rFonts w:cstheme="minorHAnsi"/>
        </w:rPr>
        <w:instrText xml:space="preserve"> REF _Ref191543037 \h </w:instrText>
      </w:r>
      <w:r>
        <w:fldChar w:fldCharType="separate"/>
      </w:r>
      <w:r w:rsidR="00627572">
        <w:t xml:space="preserve">Table </w:t>
      </w:r>
      <w:r w:rsidR="00627572">
        <w:rPr>
          <w:noProof/>
        </w:rPr>
        <w:t>C</w:t>
      </w:r>
      <w:r w:rsidR="00627572">
        <w:noBreakHyphen/>
      </w:r>
      <w:r w:rsidR="00627572">
        <w:rPr>
          <w:noProof/>
        </w:rPr>
        <w:t>3</w:t>
      </w:r>
      <w:r>
        <w:fldChar w:fldCharType="end"/>
      </w:r>
      <w:r w:rsidR="00EE2BEB">
        <w:t>.</w:t>
      </w:r>
    </w:p>
    <w:p w14:paraId="08615FE4" w14:textId="77777777" w:rsidR="00954558" w:rsidRDefault="00954558" w:rsidP="00954558">
      <w:pPr>
        <w:rPr>
          <w:lang w:eastAsia="en-AU"/>
        </w:rPr>
      </w:pPr>
    </w:p>
    <w:p w14:paraId="07D704C9" w14:textId="77777777" w:rsidR="00954558" w:rsidRDefault="00954558" w:rsidP="00954558">
      <w:pPr>
        <w:rPr>
          <w:lang w:eastAsia="en-AU"/>
        </w:rPr>
        <w:sectPr w:rsidR="00954558" w:rsidSect="00925C36">
          <w:pgSz w:w="11906" w:h="16838"/>
          <w:pgMar w:top="1440" w:right="1440" w:bottom="1440" w:left="1440" w:header="708" w:footer="397" w:gutter="0"/>
          <w:cols w:space="708"/>
          <w:docGrid w:linePitch="360"/>
        </w:sectPr>
      </w:pPr>
    </w:p>
    <w:p w14:paraId="7996A8DE" w14:textId="2B87C881" w:rsidR="00867F02" w:rsidRPr="002F3A26" w:rsidRDefault="00500DF0" w:rsidP="00D23949">
      <w:pPr>
        <w:pStyle w:val="Caption"/>
      </w:pPr>
      <w:r>
        <w:lastRenderedPageBreak/>
        <w:t xml:space="preserve">Table </w:t>
      </w:r>
      <w:fldSimple w:instr=" STYLEREF 7 \s ">
        <w:r w:rsidR="00627572">
          <w:rPr>
            <w:noProof/>
          </w:rPr>
          <w:t>C</w:t>
        </w:r>
      </w:fldSimple>
      <w:r>
        <w:noBreakHyphen/>
      </w:r>
      <w:fldSimple w:instr=" SEQ Table_ap \* ARABIC \s 7 ">
        <w:r w:rsidR="00627572">
          <w:rPr>
            <w:noProof/>
          </w:rPr>
          <w:t>1</w:t>
        </w:r>
      </w:fldSimple>
      <w:r w:rsidR="00EE2BEB">
        <w:rPr>
          <w:noProof/>
        </w:rPr>
        <w:t>:</w:t>
      </w:r>
      <w:r w:rsidR="00954558">
        <w:t xml:space="preserve"> M</w:t>
      </w:r>
      <w:r w:rsidR="00954558" w:rsidRPr="002F3A26">
        <w:t>odel coefficients (</w:t>
      </w:r>
      <w:r w:rsidR="009F5FEC">
        <w:t>RR</w:t>
      </w:r>
      <w:r w:rsidR="00954558" w:rsidRPr="002F3A26">
        <w:t xml:space="preserve">) from </w:t>
      </w:r>
      <w:r w:rsidR="00EE2BEB">
        <w:t>M</w:t>
      </w:r>
      <w:r w:rsidR="00954558">
        <w:t xml:space="preserve">odel X, multinomial </w:t>
      </w:r>
      <w:r w:rsidR="00954558" w:rsidRPr="002F3A26">
        <w:t xml:space="preserve">logistic regression models of </w:t>
      </w:r>
      <w:r w:rsidR="00954558">
        <w:t>field of study at selective institutions</w:t>
      </w:r>
    </w:p>
    <w:tbl>
      <w:tblPr>
        <w:tblStyle w:val="ACSEStable"/>
        <w:tblW w:w="0" w:type="auto"/>
        <w:tblCellMar>
          <w:top w:w="28" w:type="dxa"/>
          <w:left w:w="68" w:type="dxa"/>
          <w:bottom w:w="28" w:type="dxa"/>
          <w:right w:w="68" w:type="dxa"/>
        </w:tblCellMar>
        <w:tblLook w:val="04A0" w:firstRow="1" w:lastRow="0" w:firstColumn="1" w:lastColumn="0" w:noHBand="0" w:noVBand="1"/>
      </w:tblPr>
      <w:tblGrid>
        <w:gridCol w:w="2263"/>
        <w:gridCol w:w="1062"/>
        <w:gridCol w:w="1062"/>
        <w:gridCol w:w="1062"/>
        <w:gridCol w:w="1063"/>
        <w:gridCol w:w="1062"/>
        <w:gridCol w:w="1062"/>
        <w:gridCol w:w="1062"/>
        <w:gridCol w:w="1063"/>
        <w:gridCol w:w="1062"/>
        <w:gridCol w:w="1062"/>
        <w:gridCol w:w="1063"/>
      </w:tblGrid>
      <w:tr w:rsidR="00FB6FA8" w:rsidRPr="002F3A26" w14:paraId="1D7C6275" w14:textId="77777777" w:rsidTr="00954558">
        <w:trPr>
          <w:cnfStyle w:val="100000000000" w:firstRow="1" w:lastRow="0" w:firstColumn="0" w:lastColumn="0" w:oddVBand="0" w:evenVBand="0" w:oddHBand="0" w:evenHBand="0" w:firstRowFirstColumn="0" w:firstRowLastColumn="0" w:lastRowFirstColumn="0" w:lastRowLastColumn="0"/>
          <w:trHeight w:val="1722"/>
        </w:trPr>
        <w:tc>
          <w:tcPr>
            <w:tcW w:w="2263" w:type="dxa"/>
          </w:tcPr>
          <w:p w14:paraId="68367128" w14:textId="2B015060" w:rsidR="00634F39" w:rsidRPr="002F3A26" w:rsidRDefault="00634F39" w:rsidP="00634F39">
            <w:pPr>
              <w:pStyle w:val="TOCHeading"/>
            </w:pPr>
            <w:r w:rsidRPr="002F3A26">
              <w:rPr>
                <w:b/>
                <w:bCs/>
              </w:rPr>
              <w:t>Outcome (ref. Society &amp; Culture)</w:t>
            </w:r>
          </w:p>
        </w:tc>
        <w:tc>
          <w:tcPr>
            <w:tcW w:w="1062" w:type="dxa"/>
            <w:textDirection w:val="btLr"/>
            <w:vAlign w:val="center"/>
          </w:tcPr>
          <w:p w14:paraId="0B9FEED1" w14:textId="69A58A51" w:rsidR="00634F39" w:rsidRPr="002F3A26" w:rsidRDefault="00634F39" w:rsidP="00634F39">
            <w:pPr>
              <w:pStyle w:val="TOCHeading"/>
              <w:jc w:val="center"/>
            </w:pPr>
            <w:r w:rsidRPr="002F3A26">
              <w:rPr>
                <w:b/>
                <w:bCs/>
              </w:rPr>
              <w:t>Natural &amp; Physical Sciences</w:t>
            </w:r>
          </w:p>
        </w:tc>
        <w:tc>
          <w:tcPr>
            <w:tcW w:w="1062" w:type="dxa"/>
            <w:textDirection w:val="btLr"/>
            <w:vAlign w:val="center"/>
          </w:tcPr>
          <w:p w14:paraId="11996EE4" w14:textId="4AFB69B3" w:rsidR="00634F39" w:rsidRPr="002F3A26" w:rsidRDefault="00634F39" w:rsidP="00634F39">
            <w:pPr>
              <w:pStyle w:val="TOCHeading"/>
              <w:jc w:val="center"/>
            </w:pPr>
            <w:r w:rsidRPr="002F3A26">
              <w:rPr>
                <w:b/>
                <w:bCs/>
              </w:rPr>
              <w:t>Information Technology</w:t>
            </w:r>
          </w:p>
        </w:tc>
        <w:tc>
          <w:tcPr>
            <w:tcW w:w="1062" w:type="dxa"/>
            <w:textDirection w:val="btLr"/>
            <w:vAlign w:val="center"/>
          </w:tcPr>
          <w:p w14:paraId="463FE5B0" w14:textId="2F0A0352" w:rsidR="00634F39" w:rsidRPr="002F3A26" w:rsidRDefault="00634F39" w:rsidP="00634F39">
            <w:pPr>
              <w:pStyle w:val="TOCHeading"/>
              <w:jc w:val="center"/>
            </w:pPr>
            <w:r w:rsidRPr="002F3A26">
              <w:rPr>
                <w:b/>
                <w:bCs/>
              </w:rPr>
              <w:t>Engineering &amp; Related Technology</w:t>
            </w:r>
          </w:p>
        </w:tc>
        <w:tc>
          <w:tcPr>
            <w:tcW w:w="1063" w:type="dxa"/>
            <w:textDirection w:val="btLr"/>
            <w:vAlign w:val="center"/>
          </w:tcPr>
          <w:p w14:paraId="1C5B6802" w14:textId="3E7AC4F0" w:rsidR="00634F39" w:rsidRPr="002F3A26" w:rsidRDefault="00634F39" w:rsidP="00634F39">
            <w:pPr>
              <w:pStyle w:val="TOCHeading"/>
              <w:jc w:val="center"/>
            </w:pPr>
            <w:r w:rsidRPr="002F3A26">
              <w:rPr>
                <w:b/>
                <w:bCs/>
              </w:rPr>
              <w:t>Architecture &amp; Building</w:t>
            </w:r>
          </w:p>
        </w:tc>
        <w:tc>
          <w:tcPr>
            <w:tcW w:w="1062" w:type="dxa"/>
            <w:textDirection w:val="btLr"/>
            <w:vAlign w:val="center"/>
          </w:tcPr>
          <w:p w14:paraId="79B1CABF" w14:textId="25CB4788" w:rsidR="00634F39" w:rsidRPr="002F3A26" w:rsidRDefault="00634F39" w:rsidP="00634F39">
            <w:pPr>
              <w:pStyle w:val="TOCHeading"/>
              <w:jc w:val="center"/>
            </w:pPr>
            <w:r w:rsidRPr="002F3A26">
              <w:rPr>
                <w:b/>
                <w:bCs/>
              </w:rPr>
              <w:t>Agriculture Environmental &amp; Rel. Studies</w:t>
            </w:r>
          </w:p>
        </w:tc>
        <w:tc>
          <w:tcPr>
            <w:tcW w:w="1062" w:type="dxa"/>
            <w:textDirection w:val="btLr"/>
            <w:vAlign w:val="center"/>
          </w:tcPr>
          <w:p w14:paraId="34BC002B" w14:textId="193EE69F" w:rsidR="00634F39" w:rsidRPr="002F3A26" w:rsidRDefault="00634F39" w:rsidP="00634F39">
            <w:pPr>
              <w:pStyle w:val="TOCHeading"/>
              <w:jc w:val="center"/>
            </w:pPr>
            <w:r w:rsidRPr="002F3A26">
              <w:rPr>
                <w:b/>
                <w:bCs/>
              </w:rPr>
              <w:t>Other Health</w:t>
            </w:r>
          </w:p>
        </w:tc>
        <w:tc>
          <w:tcPr>
            <w:tcW w:w="1062" w:type="dxa"/>
            <w:textDirection w:val="btLr"/>
            <w:vAlign w:val="center"/>
          </w:tcPr>
          <w:p w14:paraId="2B5F31FC" w14:textId="3EF4B514" w:rsidR="00634F39" w:rsidRPr="002F3A26" w:rsidRDefault="00634F39" w:rsidP="00634F39">
            <w:pPr>
              <w:pStyle w:val="TOCHeading"/>
              <w:jc w:val="center"/>
            </w:pPr>
            <w:r w:rsidRPr="002F3A26">
              <w:rPr>
                <w:b/>
                <w:bCs/>
              </w:rPr>
              <w:t>Education</w:t>
            </w:r>
          </w:p>
        </w:tc>
        <w:tc>
          <w:tcPr>
            <w:tcW w:w="1063" w:type="dxa"/>
            <w:textDirection w:val="btLr"/>
            <w:vAlign w:val="center"/>
          </w:tcPr>
          <w:p w14:paraId="7E0D6B82" w14:textId="6B75BEDE" w:rsidR="00634F39" w:rsidRPr="002F3A26" w:rsidRDefault="00634F39" w:rsidP="00634F39">
            <w:pPr>
              <w:pStyle w:val="TOCHeading"/>
              <w:jc w:val="center"/>
            </w:pPr>
            <w:r w:rsidRPr="002F3A26">
              <w:rPr>
                <w:b/>
                <w:bCs/>
              </w:rPr>
              <w:t>Management &amp; Commerce</w:t>
            </w:r>
          </w:p>
        </w:tc>
        <w:tc>
          <w:tcPr>
            <w:tcW w:w="1062" w:type="dxa"/>
            <w:textDirection w:val="btLr"/>
            <w:vAlign w:val="center"/>
          </w:tcPr>
          <w:p w14:paraId="7AE56009" w14:textId="667C0DFF" w:rsidR="00634F39" w:rsidRPr="002F3A26" w:rsidRDefault="00634F39" w:rsidP="00634F39">
            <w:pPr>
              <w:pStyle w:val="TOCHeading"/>
              <w:jc w:val="center"/>
            </w:pPr>
            <w:r w:rsidRPr="002F3A26">
              <w:rPr>
                <w:b/>
                <w:bCs/>
              </w:rPr>
              <w:t>Creative Arts</w:t>
            </w:r>
          </w:p>
        </w:tc>
        <w:tc>
          <w:tcPr>
            <w:tcW w:w="1062" w:type="dxa"/>
            <w:textDirection w:val="btLr"/>
            <w:vAlign w:val="center"/>
          </w:tcPr>
          <w:p w14:paraId="4CA23A72" w14:textId="543E5A22" w:rsidR="00634F39" w:rsidRPr="002F3A26" w:rsidRDefault="00634F39" w:rsidP="00634F39">
            <w:pPr>
              <w:pStyle w:val="TOCHeading"/>
              <w:jc w:val="center"/>
            </w:pPr>
            <w:r w:rsidRPr="002F3A26">
              <w:rPr>
                <w:b/>
                <w:bCs/>
              </w:rPr>
              <w:t>Medical Studies</w:t>
            </w:r>
          </w:p>
        </w:tc>
        <w:tc>
          <w:tcPr>
            <w:tcW w:w="1063" w:type="dxa"/>
            <w:textDirection w:val="btLr"/>
            <w:vAlign w:val="center"/>
          </w:tcPr>
          <w:p w14:paraId="06A906F4" w14:textId="7010C4C5" w:rsidR="00634F39" w:rsidRPr="002F3A26" w:rsidRDefault="00634F39" w:rsidP="00634F39">
            <w:pPr>
              <w:pStyle w:val="TOCHeading"/>
              <w:jc w:val="center"/>
            </w:pPr>
            <w:r w:rsidRPr="002F3A26">
              <w:rPr>
                <w:b/>
                <w:bCs/>
              </w:rPr>
              <w:t>Law</w:t>
            </w:r>
          </w:p>
        </w:tc>
      </w:tr>
      <w:tr w:rsidR="00634F39" w:rsidRPr="002F3A26" w14:paraId="181C2B0A" w14:textId="77777777" w:rsidTr="00954558">
        <w:trPr>
          <w:trHeight w:val="230"/>
        </w:trPr>
        <w:tc>
          <w:tcPr>
            <w:tcW w:w="2263" w:type="dxa"/>
          </w:tcPr>
          <w:p w14:paraId="47D9F599" w14:textId="2BC3B257" w:rsidR="00867F02" w:rsidRPr="002F3A26" w:rsidRDefault="003702B8" w:rsidP="00867F02">
            <w:pPr>
              <w:pStyle w:val="TableParagraph"/>
            </w:pPr>
            <w:r w:rsidRPr="002F3A26">
              <w:t>FiF</w:t>
            </w:r>
          </w:p>
        </w:tc>
        <w:tc>
          <w:tcPr>
            <w:tcW w:w="1062" w:type="dxa"/>
          </w:tcPr>
          <w:p w14:paraId="0FAFD948" w14:textId="4AE04748" w:rsidR="00867F02" w:rsidRPr="002F3A26" w:rsidRDefault="00867F02" w:rsidP="008B59E5">
            <w:pPr>
              <w:pStyle w:val="TableParagraph"/>
              <w:ind w:left="170"/>
            </w:pPr>
            <w:r w:rsidRPr="002F3A26">
              <w:t>0.86</w:t>
            </w:r>
            <w:r w:rsidRPr="002F3A26">
              <w:rPr>
                <w:vertAlign w:val="superscript"/>
              </w:rPr>
              <w:t>***</w:t>
            </w:r>
          </w:p>
        </w:tc>
        <w:tc>
          <w:tcPr>
            <w:tcW w:w="1062" w:type="dxa"/>
          </w:tcPr>
          <w:p w14:paraId="682F6BCE" w14:textId="4DC5AF91" w:rsidR="00867F02" w:rsidRPr="002F3A26" w:rsidRDefault="00867F02" w:rsidP="008B59E5">
            <w:pPr>
              <w:pStyle w:val="TableParagraph"/>
              <w:ind w:left="170"/>
            </w:pPr>
            <w:r w:rsidRPr="002F3A26">
              <w:t>0.90</w:t>
            </w:r>
            <w:r w:rsidRPr="002F3A26">
              <w:rPr>
                <w:vertAlign w:val="superscript"/>
              </w:rPr>
              <w:t>*</w:t>
            </w:r>
          </w:p>
        </w:tc>
        <w:tc>
          <w:tcPr>
            <w:tcW w:w="1062" w:type="dxa"/>
          </w:tcPr>
          <w:p w14:paraId="7E47B711" w14:textId="2A9655B3" w:rsidR="00867F02" w:rsidRPr="002F3A26" w:rsidRDefault="00867F02" w:rsidP="008B59E5">
            <w:pPr>
              <w:pStyle w:val="TableParagraph"/>
              <w:ind w:left="170"/>
            </w:pPr>
            <w:r w:rsidRPr="002F3A26">
              <w:t>0.80</w:t>
            </w:r>
            <w:r w:rsidRPr="002F3A26">
              <w:rPr>
                <w:vertAlign w:val="superscript"/>
              </w:rPr>
              <w:t>***</w:t>
            </w:r>
          </w:p>
        </w:tc>
        <w:tc>
          <w:tcPr>
            <w:tcW w:w="1063" w:type="dxa"/>
          </w:tcPr>
          <w:p w14:paraId="20470356" w14:textId="2F20C66A" w:rsidR="00867F02" w:rsidRPr="002F3A26" w:rsidRDefault="00867F02" w:rsidP="008B59E5">
            <w:pPr>
              <w:pStyle w:val="TableParagraph"/>
              <w:ind w:left="170"/>
            </w:pPr>
            <w:r w:rsidRPr="002F3A26">
              <w:t>1.02</w:t>
            </w:r>
          </w:p>
        </w:tc>
        <w:tc>
          <w:tcPr>
            <w:tcW w:w="1062" w:type="dxa"/>
          </w:tcPr>
          <w:p w14:paraId="5F57ACF8" w14:textId="23EBFA8F" w:rsidR="00867F02" w:rsidRPr="002F3A26" w:rsidRDefault="00867F02" w:rsidP="008B59E5">
            <w:pPr>
              <w:pStyle w:val="TableParagraph"/>
              <w:ind w:left="170"/>
            </w:pPr>
            <w:r w:rsidRPr="002F3A26">
              <w:t>1.60</w:t>
            </w:r>
            <w:r w:rsidRPr="002F3A26">
              <w:rPr>
                <w:vertAlign w:val="superscript"/>
              </w:rPr>
              <w:t>***</w:t>
            </w:r>
          </w:p>
        </w:tc>
        <w:tc>
          <w:tcPr>
            <w:tcW w:w="1062" w:type="dxa"/>
          </w:tcPr>
          <w:p w14:paraId="41937ECF" w14:textId="7D80FD62" w:rsidR="00867F02" w:rsidRPr="002F3A26" w:rsidRDefault="00867F02" w:rsidP="008B59E5">
            <w:pPr>
              <w:pStyle w:val="TableParagraph"/>
              <w:ind w:left="170"/>
            </w:pPr>
            <w:r w:rsidRPr="002F3A26">
              <w:t>1.25</w:t>
            </w:r>
            <w:r w:rsidRPr="002F3A26">
              <w:rPr>
                <w:vertAlign w:val="superscript"/>
              </w:rPr>
              <w:t>***</w:t>
            </w:r>
          </w:p>
        </w:tc>
        <w:tc>
          <w:tcPr>
            <w:tcW w:w="1062" w:type="dxa"/>
          </w:tcPr>
          <w:p w14:paraId="5274A76F" w14:textId="14B79174" w:rsidR="00867F02" w:rsidRPr="002F3A26" w:rsidRDefault="00867F02" w:rsidP="008B59E5">
            <w:pPr>
              <w:pStyle w:val="TableParagraph"/>
              <w:ind w:left="170"/>
            </w:pPr>
            <w:r w:rsidRPr="002F3A26">
              <w:t>1.71</w:t>
            </w:r>
            <w:r w:rsidRPr="002F3A26">
              <w:rPr>
                <w:vertAlign w:val="superscript"/>
              </w:rPr>
              <w:t>***</w:t>
            </w:r>
          </w:p>
        </w:tc>
        <w:tc>
          <w:tcPr>
            <w:tcW w:w="1063" w:type="dxa"/>
          </w:tcPr>
          <w:p w14:paraId="60483E2A" w14:textId="66079170" w:rsidR="00867F02" w:rsidRPr="002F3A26" w:rsidRDefault="00867F02" w:rsidP="008B59E5">
            <w:pPr>
              <w:pStyle w:val="TableParagraph"/>
              <w:ind w:left="170"/>
            </w:pPr>
            <w:r w:rsidRPr="002F3A26">
              <w:t>0.94</w:t>
            </w:r>
            <w:r w:rsidRPr="002F3A26">
              <w:rPr>
                <w:vertAlign w:val="superscript"/>
              </w:rPr>
              <w:t>*</w:t>
            </w:r>
          </w:p>
        </w:tc>
        <w:tc>
          <w:tcPr>
            <w:tcW w:w="1062" w:type="dxa"/>
          </w:tcPr>
          <w:p w14:paraId="7C2C4B48" w14:textId="0FC894C3" w:rsidR="00867F02" w:rsidRPr="002F3A26" w:rsidRDefault="00867F02" w:rsidP="008B59E5">
            <w:pPr>
              <w:pStyle w:val="TableParagraph"/>
              <w:ind w:left="170"/>
            </w:pPr>
            <w:r w:rsidRPr="002F3A26">
              <w:t>1.09</w:t>
            </w:r>
            <w:r w:rsidRPr="002F3A26">
              <w:rPr>
                <w:vertAlign w:val="superscript"/>
              </w:rPr>
              <w:t>*</w:t>
            </w:r>
          </w:p>
        </w:tc>
        <w:tc>
          <w:tcPr>
            <w:tcW w:w="1062" w:type="dxa"/>
          </w:tcPr>
          <w:p w14:paraId="4A50FDAB" w14:textId="187AC0D5" w:rsidR="00867F02" w:rsidRPr="002F3A26" w:rsidRDefault="00867F02" w:rsidP="008B59E5">
            <w:pPr>
              <w:pStyle w:val="TableParagraph"/>
              <w:ind w:left="170"/>
            </w:pPr>
            <w:r w:rsidRPr="002F3A26">
              <w:t>0.28</w:t>
            </w:r>
            <w:r w:rsidRPr="002F3A26">
              <w:rPr>
                <w:vertAlign w:val="superscript"/>
              </w:rPr>
              <w:t>***</w:t>
            </w:r>
          </w:p>
        </w:tc>
        <w:tc>
          <w:tcPr>
            <w:tcW w:w="1063" w:type="dxa"/>
          </w:tcPr>
          <w:p w14:paraId="20207459" w14:textId="34844BE0" w:rsidR="00867F02" w:rsidRPr="002F3A26" w:rsidRDefault="00867F02" w:rsidP="008B59E5">
            <w:pPr>
              <w:pStyle w:val="TableParagraph"/>
              <w:ind w:left="170"/>
            </w:pPr>
            <w:r w:rsidRPr="002F3A26">
              <w:t>0.70</w:t>
            </w:r>
            <w:r w:rsidRPr="002F3A26">
              <w:rPr>
                <w:vertAlign w:val="superscript"/>
              </w:rPr>
              <w:t>***</w:t>
            </w:r>
          </w:p>
        </w:tc>
      </w:tr>
      <w:tr w:rsidR="003702B8" w:rsidRPr="002F3A26" w14:paraId="36839288" w14:textId="77777777" w:rsidTr="00954558">
        <w:trPr>
          <w:trHeight w:val="218"/>
        </w:trPr>
        <w:tc>
          <w:tcPr>
            <w:tcW w:w="2263" w:type="dxa"/>
          </w:tcPr>
          <w:p w14:paraId="0BABD4A9" w14:textId="76683710" w:rsidR="003702B8" w:rsidRPr="002F3A26" w:rsidRDefault="003702B8" w:rsidP="003702B8">
            <w:pPr>
              <w:pStyle w:val="TableParagraph"/>
              <w:rPr>
                <w:rFonts w:cs="Arial"/>
              </w:rPr>
            </w:pPr>
            <w:r w:rsidRPr="002F3A26">
              <w:t>Father: not manager/professional</w:t>
            </w:r>
          </w:p>
        </w:tc>
        <w:tc>
          <w:tcPr>
            <w:tcW w:w="1062" w:type="dxa"/>
          </w:tcPr>
          <w:p w14:paraId="5A0A0972" w14:textId="38CA4BE8" w:rsidR="003702B8" w:rsidRPr="002F3A26" w:rsidRDefault="003702B8" w:rsidP="008B59E5">
            <w:pPr>
              <w:pStyle w:val="TableParagraph"/>
              <w:ind w:left="170"/>
              <w:rPr>
                <w:rFonts w:cs="Arial"/>
              </w:rPr>
            </w:pPr>
            <w:r w:rsidRPr="002F3A26">
              <w:t>1.04</w:t>
            </w:r>
          </w:p>
        </w:tc>
        <w:tc>
          <w:tcPr>
            <w:tcW w:w="1062" w:type="dxa"/>
          </w:tcPr>
          <w:p w14:paraId="4E194124" w14:textId="70D7ED83" w:rsidR="003702B8" w:rsidRPr="002F3A26" w:rsidRDefault="003702B8" w:rsidP="008B59E5">
            <w:pPr>
              <w:pStyle w:val="TableParagraph"/>
              <w:ind w:left="170"/>
              <w:rPr>
                <w:rFonts w:cs="Arial"/>
              </w:rPr>
            </w:pPr>
            <w:r w:rsidRPr="002F3A26">
              <w:t>1.15</w:t>
            </w:r>
            <w:r w:rsidRPr="002F3A26">
              <w:rPr>
                <w:vertAlign w:val="superscript"/>
              </w:rPr>
              <w:t>**</w:t>
            </w:r>
          </w:p>
        </w:tc>
        <w:tc>
          <w:tcPr>
            <w:tcW w:w="1062" w:type="dxa"/>
          </w:tcPr>
          <w:p w14:paraId="39E4DD0B" w14:textId="2037DFEB" w:rsidR="003702B8" w:rsidRPr="002F3A26" w:rsidRDefault="003702B8" w:rsidP="008B59E5">
            <w:pPr>
              <w:pStyle w:val="TableParagraph"/>
              <w:ind w:left="170"/>
              <w:rPr>
                <w:rFonts w:cs="Arial"/>
              </w:rPr>
            </w:pPr>
            <w:r w:rsidRPr="002F3A26">
              <w:t>1.07</w:t>
            </w:r>
            <w:r w:rsidRPr="002F3A26">
              <w:rPr>
                <w:vertAlign w:val="superscript"/>
              </w:rPr>
              <w:t>*</w:t>
            </w:r>
          </w:p>
        </w:tc>
        <w:tc>
          <w:tcPr>
            <w:tcW w:w="1063" w:type="dxa"/>
          </w:tcPr>
          <w:p w14:paraId="1C00B61B" w14:textId="0661FD88" w:rsidR="003702B8" w:rsidRPr="002F3A26" w:rsidRDefault="003702B8" w:rsidP="008B59E5">
            <w:pPr>
              <w:pStyle w:val="TableParagraph"/>
              <w:ind w:left="170"/>
            </w:pPr>
            <w:r w:rsidRPr="002F3A26">
              <w:t>0.97</w:t>
            </w:r>
          </w:p>
        </w:tc>
        <w:tc>
          <w:tcPr>
            <w:tcW w:w="1062" w:type="dxa"/>
          </w:tcPr>
          <w:p w14:paraId="6256EBBE" w14:textId="7D36F505" w:rsidR="003702B8" w:rsidRPr="002F3A26" w:rsidRDefault="003702B8" w:rsidP="008B59E5">
            <w:pPr>
              <w:pStyle w:val="TableParagraph"/>
              <w:ind w:left="170"/>
            </w:pPr>
            <w:r w:rsidRPr="002F3A26">
              <w:t>0.76</w:t>
            </w:r>
            <w:r w:rsidRPr="002F3A26">
              <w:rPr>
                <w:vertAlign w:val="superscript"/>
              </w:rPr>
              <w:t>**</w:t>
            </w:r>
          </w:p>
        </w:tc>
        <w:tc>
          <w:tcPr>
            <w:tcW w:w="1062" w:type="dxa"/>
          </w:tcPr>
          <w:p w14:paraId="3B9ED23B" w14:textId="26DBB6D8" w:rsidR="003702B8" w:rsidRPr="002F3A26" w:rsidRDefault="003702B8" w:rsidP="008B59E5">
            <w:pPr>
              <w:pStyle w:val="TableParagraph"/>
              <w:ind w:left="170"/>
            </w:pPr>
            <w:r w:rsidRPr="002F3A26">
              <w:t>1.22</w:t>
            </w:r>
            <w:r w:rsidRPr="002F3A26">
              <w:rPr>
                <w:vertAlign w:val="superscript"/>
              </w:rPr>
              <w:t>***</w:t>
            </w:r>
          </w:p>
        </w:tc>
        <w:tc>
          <w:tcPr>
            <w:tcW w:w="1062" w:type="dxa"/>
          </w:tcPr>
          <w:p w14:paraId="56F40516" w14:textId="2D38459D" w:rsidR="003702B8" w:rsidRPr="002F3A26" w:rsidRDefault="003702B8" w:rsidP="008B59E5">
            <w:pPr>
              <w:pStyle w:val="TableParagraph"/>
              <w:ind w:left="170"/>
            </w:pPr>
            <w:r w:rsidRPr="002F3A26">
              <w:t>1.24</w:t>
            </w:r>
            <w:r w:rsidRPr="002F3A26">
              <w:rPr>
                <w:vertAlign w:val="superscript"/>
              </w:rPr>
              <w:t>***</w:t>
            </w:r>
          </w:p>
        </w:tc>
        <w:tc>
          <w:tcPr>
            <w:tcW w:w="1063" w:type="dxa"/>
          </w:tcPr>
          <w:p w14:paraId="6A740D28" w14:textId="61FE6FFD" w:rsidR="003702B8" w:rsidRPr="002F3A26" w:rsidRDefault="003702B8" w:rsidP="008B59E5">
            <w:pPr>
              <w:pStyle w:val="TableParagraph"/>
              <w:ind w:left="170"/>
            </w:pPr>
            <w:r w:rsidRPr="002F3A26">
              <w:t>0.99</w:t>
            </w:r>
          </w:p>
        </w:tc>
        <w:tc>
          <w:tcPr>
            <w:tcW w:w="1062" w:type="dxa"/>
          </w:tcPr>
          <w:p w14:paraId="37FEDE88" w14:textId="0E55335D" w:rsidR="003702B8" w:rsidRPr="002F3A26" w:rsidRDefault="003702B8" w:rsidP="008B59E5">
            <w:pPr>
              <w:pStyle w:val="TableParagraph"/>
              <w:ind w:left="170"/>
            </w:pPr>
            <w:r w:rsidRPr="002F3A26">
              <w:t>0.92</w:t>
            </w:r>
            <w:r w:rsidRPr="002F3A26">
              <w:rPr>
                <w:vertAlign w:val="superscript"/>
              </w:rPr>
              <w:t>*</w:t>
            </w:r>
          </w:p>
        </w:tc>
        <w:tc>
          <w:tcPr>
            <w:tcW w:w="1062" w:type="dxa"/>
          </w:tcPr>
          <w:p w14:paraId="47ABD230" w14:textId="1C991CFB" w:rsidR="003702B8" w:rsidRPr="002F3A26" w:rsidRDefault="003702B8" w:rsidP="008B59E5">
            <w:pPr>
              <w:pStyle w:val="TableParagraph"/>
              <w:ind w:left="170"/>
            </w:pPr>
            <w:r w:rsidRPr="002F3A26">
              <w:t>0.69</w:t>
            </w:r>
            <w:r w:rsidRPr="002F3A26">
              <w:rPr>
                <w:vertAlign w:val="superscript"/>
              </w:rPr>
              <w:t>***</w:t>
            </w:r>
          </w:p>
        </w:tc>
        <w:tc>
          <w:tcPr>
            <w:tcW w:w="1063" w:type="dxa"/>
          </w:tcPr>
          <w:p w14:paraId="25AB4505" w14:textId="56EDE888" w:rsidR="003702B8" w:rsidRPr="002F3A26" w:rsidRDefault="003702B8" w:rsidP="008B59E5">
            <w:pPr>
              <w:pStyle w:val="TableParagraph"/>
              <w:ind w:left="170"/>
            </w:pPr>
            <w:r w:rsidRPr="002F3A26">
              <w:t>0.87</w:t>
            </w:r>
            <w:r w:rsidRPr="002F3A26">
              <w:rPr>
                <w:vertAlign w:val="superscript"/>
              </w:rPr>
              <w:t>*</w:t>
            </w:r>
          </w:p>
        </w:tc>
      </w:tr>
      <w:tr w:rsidR="003702B8" w:rsidRPr="002F3A26" w14:paraId="0C2DC2C4" w14:textId="77777777" w:rsidTr="00954558">
        <w:trPr>
          <w:trHeight w:val="218"/>
        </w:trPr>
        <w:tc>
          <w:tcPr>
            <w:tcW w:w="2263" w:type="dxa"/>
          </w:tcPr>
          <w:p w14:paraId="70992A58" w14:textId="281B4084" w:rsidR="003702B8" w:rsidRPr="002F3A26" w:rsidRDefault="003702B8" w:rsidP="003702B8">
            <w:pPr>
              <w:pStyle w:val="TableParagraph"/>
              <w:rPr>
                <w:rFonts w:cs="Arial"/>
              </w:rPr>
            </w:pPr>
            <w:r w:rsidRPr="002F3A26">
              <w:t>Mother: not manager/professional</w:t>
            </w:r>
          </w:p>
        </w:tc>
        <w:tc>
          <w:tcPr>
            <w:tcW w:w="1062" w:type="dxa"/>
          </w:tcPr>
          <w:p w14:paraId="3EFA61FD" w14:textId="61686048" w:rsidR="003702B8" w:rsidRPr="002F3A26" w:rsidRDefault="003702B8" w:rsidP="008B59E5">
            <w:pPr>
              <w:pStyle w:val="TableParagraph"/>
              <w:ind w:left="170"/>
              <w:rPr>
                <w:rFonts w:cs="Arial"/>
              </w:rPr>
            </w:pPr>
            <w:r w:rsidRPr="002F3A26">
              <w:t>1.13</w:t>
            </w:r>
            <w:r w:rsidRPr="002F3A26">
              <w:rPr>
                <w:vertAlign w:val="superscript"/>
              </w:rPr>
              <w:t>***</w:t>
            </w:r>
          </w:p>
        </w:tc>
        <w:tc>
          <w:tcPr>
            <w:tcW w:w="1062" w:type="dxa"/>
          </w:tcPr>
          <w:p w14:paraId="268DEFAB" w14:textId="221BB94A" w:rsidR="003702B8" w:rsidRPr="002F3A26" w:rsidRDefault="003702B8" w:rsidP="008B59E5">
            <w:pPr>
              <w:pStyle w:val="TableParagraph"/>
              <w:ind w:left="170"/>
              <w:rPr>
                <w:rFonts w:cs="Arial"/>
              </w:rPr>
            </w:pPr>
            <w:r w:rsidRPr="002F3A26">
              <w:t>1.44</w:t>
            </w:r>
            <w:r w:rsidRPr="002F3A26">
              <w:rPr>
                <w:vertAlign w:val="superscript"/>
              </w:rPr>
              <w:t>***</w:t>
            </w:r>
          </w:p>
        </w:tc>
        <w:tc>
          <w:tcPr>
            <w:tcW w:w="1062" w:type="dxa"/>
          </w:tcPr>
          <w:p w14:paraId="2E3034E9" w14:textId="436A2332" w:rsidR="003702B8" w:rsidRPr="002F3A26" w:rsidRDefault="003702B8" w:rsidP="008B59E5">
            <w:pPr>
              <w:pStyle w:val="TableParagraph"/>
              <w:ind w:left="170"/>
              <w:rPr>
                <w:rFonts w:cs="Arial"/>
              </w:rPr>
            </w:pPr>
            <w:r w:rsidRPr="002F3A26">
              <w:t>1.21</w:t>
            </w:r>
            <w:r w:rsidRPr="002F3A26">
              <w:rPr>
                <w:vertAlign w:val="superscript"/>
              </w:rPr>
              <w:t>***</w:t>
            </w:r>
          </w:p>
        </w:tc>
        <w:tc>
          <w:tcPr>
            <w:tcW w:w="1063" w:type="dxa"/>
          </w:tcPr>
          <w:p w14:paraId="0A6A948E" w14:textId="5BA24292" w:rsidR="003702B8" w:rsidRPr="002F3A26" w:rsidRDefault="003702B8" w:rsidP="008B59E5">
            <w:pPr>
              <w:pStyle w:val="TableParagraph"/>
              <w:ind w:left="170"/>
            </w:pPr>
            <w:r w:rsidRPr="002F3A26">
              <w:t>1.09</w:t>
            </w:r>
          </w:p>
        </w:tc>
        <w:tc>
          <w:tcPr>
            <w:tcW w:w="1062" w:type="dxa"/>
          </w:tcPr>
          <w:p w14:paraId="35D1D11F" w14:textId="1CA149B8" w:rsidR="003702B8" w:rsidRPr="002F3A26" w:rsidRDefault="003702B8" w:rsidP="008B59E5">
            <w:pPr>
              <w:pStyle w:val="TableParagraph"/>
              <w:ind w:left="170"/>
            </w:pPr>
            <w:r w:rsidRPr="002F3A26">
              <w:t>0.87</w:t>
            </w:r>
          </w:p>
        </w:tc>
        <w:tc>
          <w:tcPr>
            <w:tcW w:w="1062" w:type="dxa"/>
          </w:tcPr>
          <w:p w14:paraId="4D505B51" w14:textId="799A03F4" w:rsidR="003702B8" w:rsidRPr="002F3A26" w:rsidRDefault="003702B8" w:rsidP="008B59E5">
            <w:pPr>
              <w:pStyle w:val="TableParagraph"/>
              <w:ind w:left="170"/>
            </w:pPr>
            <w:r w:rsidRPr="002F3A26">
              <w:t>1.15</w:t>
            </w:r>
            <w:r w:rsidRPr="002F3A26">
              <w:rPr>
                <w:vertAlign w:val="superscript"/>
              </w:rPr>
              <w:t>***</w:t>
            </w:r>
          </w:p>
        </w:tc>
        <w:tc>
          <w:tcPr>
            <w:tcW w:w="1062" w:type="dxa"/>
          </w:tcPr>
          <w:p w14:paraId="1ECC1017" w14:textId="4466C78F" w:rsidR="003702B8" w:rsidRPr="002F3A26" w:rsidRDefault="003702B8" w:rsidP="008B59E5">
            <w:pPr>
              <w:pStyle w:val="TableParagraph"/>
              <w:ind w:left="170"/>
            </w:pPr>
            <w:r w:rsidRPr="002F3A26">
              <w:t>1.00</w:t>
            </w:r>
          </w:p>
        </w:tc>
        <w:tc>
          <w:tcPr>
            <w:tcW w:w="1063" w:type="dxa"/>
          </w:tcPr>
          <w:p w14:paraId="1591F7C8" w14:textId="1ADD4B88" w:rsidR="003702B8" w:rsidRPr="002F3A26" w:rsidRDefault="003702B8" w:rsidP="008B59E5">
            <w:pPr>
              <w:pStyle w:val="TableParagraph"/>
              <w:ind w:left="170"/>
            </w:pPr>
            <w:r w:rsidRPr="002F3A26">
              <w:t>1.28</w:t>
            </w:r>
            <w:r w:rsidRPr="002F3A26">
              <w:rPr>
                <w:vertAlign w:val="superscript"/>
              </w:rPr>
              <w:t>***</w:t>
            </w:r>
          </w:p>
        </w:tc>
        <w:tc>
          <w:tcPr>
            <w:tcW w:w="1062" w:type="dxa"/>
          </w:tcPr>
          <w:p w14:paraId="4DFE9345" w14:textId="687B0697" w:rsidR="003702B8" w:rsidRPr="002F3A26" w:rsidRDefault="003702B8" w:rsidP="008B59E5">
            <w:pPr>
              <w:pStyle w:val="TableParagraph"/>
              <w:ind w:left="170"/>
            </w:pPr>
            <w:r w:rsidRPr="002F3A26">
              <w:t>1.00</w:t>
            </w:r>
          </w:p>
        </w:tc>
        <w:tc>
          <w:tcPr>
            <w:tcW w:w="1062" w:type="dxa"/>
          </w:tcPr>
          <w:p w14:paraId="3A649608" w14:textId="127CD735" w:rsidR="003702B8" w:rsidRPr="002F3A26" w:rsidRDefault="003702B8" w:rsidP="008B59E5">
            <w:pPr>
              <w:pStyle w:val="TableParagraph"/>
              <w:ind w:left="170"/>
            </w:pPr>
            <w:r w:rsidRPr="002F3A26">
              <w:t>0.88</w:t>
            </w:r>
          </w:p>
        </w:tc>
        <w:tc>
          <w:tcPr>
            <w:tcW w:w="1063" w:type="dxa"/>
          </w:tcPr>
          <w:p w14:paraId="3FDC9430" w14:textId="1C2A3ECE" w:rsidR="003702B8" w:rsidRPr="002F3A26" w:rsidRDefault="003702B8" w:rsidP="008B59E5">
            <w:pPr>
              <w:pStyle w:val="TableParagraph"/>
              <w:ind w:left="170"/>
            </w:pPr>
            <w:r w:rsidRPr="002F3A26">
              <w:t>1.03</w:t>
            </w:r>
          </w:p>
        </w:tc>
      </w:tr>
      <w:tr w:rsidR="003702B8" w:rsidRPr="002F3A26" w14:paraId="6A1C96C7" w14:textId="77777777" w:rsidTr="00954558">
        <w:trPr>
          <w:trHeight w:val="218"/>
        </w:trPr>
        <w:tc>
          <w:tcPr>
            <w:tcW w:w="2263" w:type="dxa"/>
          </w:tcPr>
          <w:p w14:paraId="52959E10" w14:textId="25EAC473" w:rsidR="003702B8" w:rsidRPr="002F3A26" w:rsidRDefault="003702B8" w:rsidP="003702B8">
            <w:pPr>
              <w:pStyle w:val="TableParagraph"/>
              <w:rPr>
                <w:rFonts w:cs="Arial"/>
              </w:rPr>
            </w:pPr>
            <w:r w:rsidRPr="002F3A26">
              <w:t>Single parent</w:t>
            </w:r>
          </w:p>
        </w:tc>
        <w:tc>
          <w:tcPr>
            <w:tcW w:w="1062" w:type="dxa"/>
          </w:tcPr>
          <w:p w14:paraId="50DDA2E1" w14:textId="7FEB6DD8" w:rsidR="003702B8" w:rsidRPr="002F3A26" w:rsidRDefault="003702B8" w:rsidP="008B59E5">
            <w:pPr>
              <w:pStyle w:val="TableParagraph"/>
              <w:ind w:left="170"/>
              <w:rPr>
                <w:rFonts w:cs="Arial"/>
              </w:rPr>
            </w:pPr>
            <w:r w:rsidRPr="002F3A26">
              <w:t>0.70</w:t>
            </w:r>
            <w:r w:rsidRPr="002F3A26">
              <w:rPr>
                <w:vertAlign w:val="superscript"/>
              </w:rPr>
              <w:t>***</w:t>
            </w:r>
          </w:p>
        </w:tc>
        <w:tc>
          <w:tcPr>
            <w:tcW w:w="1062" w:type="dxa"/>
          </w:tcPr>
          <w:p w14:paraId="61BE6E20" w14:textId="484EFA03" w:rsidR="003702B8" w:rsidRPr="002F3A26" w:rsidRDefault="003702B8" w:rsidP="008B59E5">
            <w:pPr>
              <w:pStyle w:val="TableParagraph"/>
              <w:ind w:left="170"/>
              <w:rPr>
                <w:rFonts w:cs="Arial"/>
              </w:rPr>
            </w:pPr>
            <w:r w:rsidRPr="002F3A26">
              <w:t>0.66</w:t>
            </w:r>
            <w:r w:rsidRPr="002F3A26">
              <w:rPr>
                <w:vertAlign w:val="superscript"/>
              </w:rPr>
              <w:t>***</w:t>
            </w:r>
          </w:p>
        </w:tc>
        <w:tc>
          <w:tcPr>
            <w:tcW w:w="1062" w:type="dxa"/>
          </w:tcPr>
          <w:p w14:paraId="61939A0A" w14:textId="010CD738" w:rsidR="003702B8" w:rsidRPr="002F3A26" w:rsidRDefault="003702B8" w:rsidP="008B59E5">
            <w:pPr>
              <w:pStyle w:val="TableParagraph"/>
              <w:ind w:left="170"/>
              <w:rPr>
                <w:rFonts w:cs="Arial"/>
              </w:rPr>
            </w:pPr>
            <w:r w:rsidRPr="002F3A26">
              <w:t>0.63</w:t>
            </w:r>
            <w:r w:rsidRPr="002F3A26">
              <w:rPr>
                <w:vertAlign w:val="superscript"/>
              </w:rPr>
              <w:t>***</w:t>
            </w:r>
          </w:p>
        </w:tc>
        <w:tc>
          <w:tcPr>
            <w:tcW w:w="1063" w:type="dxa"/>
          </w:tcPr>
          <w:p w14:paraId="7689585B" w14:textId="472CB533" w:rsidR="003702B8" w:rsidRPr="002F3A26" w:rsidRDefault="003702B8" w:rsidP="008B59E5">
            <w:pPr>
              <w:pStyle w:val="TableParagraph"/>
              <w:ind w:left="170"/>
            </w:pPr>
            <w:r w:rsidRPr="002F3A26">
              <w:t>0.65</w:t>
            </w:r>
            <w:r w:rsidRPr="002F3A26">
              <w:rPr>
                <w:vertAlign w:val="superscript"/>
              </w:rPr>
              <w:t>***</w:t>
            </w:r>
          </w:p>
        </w:tc>
        <w:tc>
          <w:tcPr>
            <w:tcW w:w="1062" w:type="dxa"/>
          </w:tcPr>
          <w:p w14:paraId="0E0F9C63" w14:textId="6A6091CD" w:rsidR="003702B8" w:rsidRPr="002F3A26" w:rsidRDefault="003702B8" w:rsidP="008B59E5">
            <w:pPr>
              <w:pStyle w:val="TableParagraph"/>
              <w:ind w:left="170"/>
            </w:pPr>
            <w:r w:rsidRPr="002F3A26">
              <w:t>0.94</w:t>
            </w:r>
          </w:p>
        </w:tc>
        <w:tc>
          <w:tcPr>
            <w:tcW w:w="1062" w:type="dxa"/>
          </w:tcPr>
          <w:p w14:paraId="07EF4913" w14:textId="7600FD7C" w:rsidR="003702B8" w:rsidRPr="002F3A26" w:rsidRDefault="003702B8" w:rsidP="008B59E5">
            <w:pPr>
              <w:pStyle w:val="TableParagraph"/>
              <w:ind w:left="170"/>
            </w:pPr>
            <w:r w:rsidRPr="002F3A26">
              <w:t>0.60</w:t>
            </w:r>
            <w:r w:rsidRPr="002F3A26">
              <w:rPr>
                <w:vertAlign w:val="superscript"/>
              </w:rPr>
              <w:t>***</w:t>
            </w:r>
          </w:p>
        </w:tc>
        <w:tc>
          <w:tcPr>
            <w:tcW w:w="1062" w:type="dxa"/>
          </w:tcPr>
          <w:p w14:paraId="01D31FD8" w14:textId="47E18A28" w:rsidR="003702B8" w:rsidRPr="002F3A26" w:rsidRDefault="003702B8" w:rsidP="008B59E5">
            <w:pPr>
              <w:pStyle w:val="TableParagraph"/>
              <w:ind w:left="170"/>
            </w:pPr>
            <w:r w:rsidRPr="002F3A26">
              <w:t>0.71</w:t>
            </w:r>
            <w:r w:rsidRPr="002F3A26">
              <w:rPr>
                <w:vertAlign w:val="superscript"/>
              </w:rPr>
              <w:t>***</w:t>
            </w:r>
          </w:p>
        </w:tc>
        <w:tc>
          <w:tcPr>
            <w:tcW w:w="1063" w:type="dxa"/>
          </w:tcPr>
          <w:p w14:paraId="1B794EF4" w14:textId="246B5229" w:rsidR="003702B8" w:rsidRPr="002F3A26" w:rsidRDefault="003702B8" w:rsidP="008B59E5">
            <w:pPr>
              <w:pStyle w:val="TableParagraph"/>
              <w:ind w:left="170"/>
            </w:pPr>
            <w:r w:rsidRPr="002F3A26">
              <w:t>0.75</w:t>
            </w:r>
            <w:r w:rsidRPr="002F3A26">
              <w:rPr>
                <w:vertAlign w:val="superscript"/>
              </w:rPr>
              <w:t>***</w:t>
            </w:r>
          </w:p>
        </w:tc>
        <w:tc>
          <w:tcPr>
            <w:tcW w:w="1062" w:type="dxa"/>
          </w:tcPr>
          <w:p w14:paraId="205BE8A2" w14:textId="1BE62EF6" w:rsidR="003702B8" w:rsidRPr="002F3A26" w:rsidRDefault="003702B8" w:rsidP="008B59E5">
            <w:pPr>
              <w:pStyle w:val="TableParagraph"/>
              <w:ind w:left="170"/>
            </w:pPr>
            <w:r w:rsidRPr="002F3A26">
              <w:t>0.94</w:t>
            </w:r>
          </w:p>
        </w:tc>
        <w:tc>
          <w:tcPr>
            <w:tcW w:w="1062" w:type="dxa"/>
          </w:tcPr>
          <w:p w14:paraId="00F85C68" w14:textId="038623E4" w:rsidR="003702B8" w:rsidRPr="002F3A26" w:rsidRDefault="003702B8" w:rsidP="008B59E5">
            <w:pPr>
              <w:pStyle w:val="TableParagraph"/>
              <w:ind w:left="170"/>
            </w:pPr>
            <w:r w:rsidRPr="002F3A26">
              <w:t>0.52</w:t>
            </w:r>
            <w:r w:rsidRPr="002F3A26">
              <w:rPr>
                <w:vertAlign w:val="superscript"/>
              </w:rPr>
              <w:t>***</w:t>
            </w:r>
          </w:p>
        </w:tc>
        <w:tc>
          <w:tcPr>
            <w:tcW w:w="1063" w:type="dxa"/>
          </w:tcPr>
          <w:p w14:paraId="52FDB52E" w14:textId="5A46F6FB" w:rsidR="003702B8" w:rsidRPr="002F3A26" w:rsidRDefault="003702B8" w:rsidP="008B59E5">
            <w:pPr>
              <w:pStyle w:val="TableParagraph"/>
              <w:ind w:left="170"/>
            </w:pPr>
            <w:r w:rsidRPr="002F3A26">
              <w:t>1.09</w:t>
            </w:r>
          </w:p>
        </w:tc>
      </w:tr>
      <w:tr w:rsidR="003702B8" w:rsidRPr="002F3A26" w14:paraId="0CDA6564" w14:textId="77777777" w:rsidTr="00954558">
        <w:trPr>
          <w:trHeight w:val="218"/>
        </w:trPr>
        <w:tc>
          <w:tcPr>
            <w:tcW w:w="2263" w:type="dxa"/>
          </w:tcPr>
          <w:p w14:paraId="01D8C12B" w14:textId="3A7F45CC" w:rsidR="003702B8" w:rsidRPr="002F3A26" w:rsidRDefault="003702B8" w:rsidP="003702B8">
            <w:pPr>
              <w:pStyle w:val="TableParagraph"/>
            </w:pPr>
            <w:r w:rsidRPr="002F3A26">
              <w:t>Family income (ref. $3,000 or more)</w:t>
            </w:r>
          </w:p>
        </w:tc>
        <w:tc>
          <w:tcPr>
            <w:tcW w:w="1062" w:type="dxa"/>
          </w:tcPr>
          <w:p w14:paraId="73773641" w14:textId="77777777" w:rsidR="003702B8" w:rsidRPr="002F3A26" w:rsidRDefault="003702B8" w:rsidP="008B59E5">
            <w:pPr>
              <w:pStyle w:val="TableParagraph"/>
              <w:ind w:left="170"/>
            </w:pPr>
          </w:p>
        </w:tc>
        <w:tc>
          <w:tcPr>
            <w:tcW w:w="1062" w:type="dxa"/>
          </w:tcPr>
          <w:p w14:paraId="3F695F31" w14:textId="77777777" w:rsidR="003702B8" w:rsidRPr="002F3A26" w:rsidRDefault="003702B8" w:rsidP="008B59E5">
            <w:pPr>
              <w:pStyle w:val="TableParagraph"/>
              <w:ind w:left="170"/>
            </w:pPr>
          </w:p>
        </w:tc>
        <w:tc>
          <w:tcPr>
            <w:tcW w:w="1062" w:type="dxa"/>
          </w:tcPr>
          <w:p w14:paraId="4875A3B5" w14:textId="77777777" w:rsidR="003702B8" w:rsidRPr="002F3A26" w:rsidRDefault="003702B8" w:rsidP="008B59E5">
            <w:pPr>
              <w:pStyle w:val="TableParagraph"/>
              <w:ind w:left="170"/>
            </w:pPr>
          </w:p>
        </w:tc>
        <w:tc>
          <w:tcPr>
            <w:tcW w:w="1063" w:type="dxa"/>
          </w:tcPr>
          <w:p w14:paraId="6416267A" w14:textId="77777777" w:rsidR="003702B8" w:rsidRPr="002F3A26" w:rsidRDefault="003702B8" w:rsidP="008B59E5">
            <w:pPr>
              <w:pStyle w:val="TableParagraph"/>
              <w:ind w:left="170"/>
            </w:pPr>
          </w:p>
        </w:tc>
        <w:tc>
          <w:tcPr>
            <w:tcW w:w="1062" w:type="dxa"/>
          </w:tcPr>
          <w:p w14:paraId="40CEFA5A" w14:textId="77777777" w:rsidR="003702B8" w:rsidRPr="002F3A26" w:rsidRDefault="003702B8" w:rsidP="008B59E5">
            <w:pPr>
              <w:pStyle w:val="TableParagraph"/>
              <w:ind w:left="170"/>
            </w:pPr>
          </w:p>
        </w:tc>
        <w:tc>
          <w:tcPr>
            <w:tcW w:w="1062" w:type="dxa"/>
          </w:tcPr>
          <w:p w14:paraId="5F6714FA" w14:textId="77777777" w:rsidR="003702B8" w:rsidRPr="002F3A26" w:rsidRDefault="003702B8" w:rsidP="008B59E5">
            <w:pPr>
              <w:pStyle w:val="TableParagraph"/>
              <w:ind w:left="170"/>
            </w:pPr>
          </w:p>
        </w:tc>
        <w:tc>
          <w:tcPr>
            <w:tcW w:w="1062" w:type="dxa"/>
          </w:tcPr>
          <w:p w14:paraId="109CA333" w14:textId="77777777" w:rsidR="003702B8" w:rsidRPr="002F3A26" w:rsidRDefault="003702B8" w:rsidP="008B59E5">
            <w:pPr>
              <w:pStyle w:val="TableParagraph"/>
              <w:ind w:left="170"/>
            </w:pPr>
          </w:p>
        </w:tc>
        <w:tc>
          <w:tcPr>
            <w:tcW w:w="1063" w:type="dxa"/>
          </w:tcPr>
          <w:p w14:paraId="642D8FFA" w14:textId="77777777" w:rsidR="003702B8" w:rsidRPr="002F3A26" w:rsidRDefault="003702B8" w:rsidP="008B59E5">
            <w:pPr>
              <w:pStyle w:val="TableParagraph"/>
              <w:ind w:left="170"/>
            </w:pPr>
          </w:p>
        </w:tc>
        <w:tc>
          <w:tcPr>
            <w:tcW w:w="1062" w:type="dxa"/>
          </w:tcPr>
          <w:p w14:paraId="42F9495B" w14:textId="77777777" w:rsidR="003702B8" w:rsidRPr="002F3A26" w:rsidRDefault="003702B8" w:rsidP="008B59E5">
            <w:pPr>
              <w:pStyle w:val="TableParagraph"/>
              <w:ind w:left="170"/>
            </w:pPr>
          </w:p>
        </w:tc>
        <w:tc>
          <w:tcPr>
            <w:tcW w:w="1062" w:type="dxa"/>
          </w:tcPr>
          <w:p w14:paraId="707FF23C" w14:textId="77777777" w:rsidR="003702B8" w:rsidRPr="002F3A26" w:rsidRDefault="003702B8" w:rsidP="008B59E5">
            <w:pPr>
              <w:pStyle w:val="TableParagraph"/>
              <w:ind w:left="170"/>
            </w:pPr>
          </w:p>
        </w:tc>
        <w:tc>
          <w:tcPr>
            <w:tcW w:w="1063" w:type="dxa"/>
          </w:tcPr>
          <w:p w14:paraId="777CE141" w14:textId="77777777" w:rsidR="003702B8" w:rsidRPr="002F3A26" w:rsidRDefault="003702B8" w:rsidP="008B59E5">
            <w:pPr>
              <w:pStyle w:val="TableParagraph"/>
              <w:ind w:left="170"/>
            </w:pPr>
          </w:p>
        </w:tc>
      </w:tr>
      <w:tr w:rsidR="003702B8" w:rsidRPr="002F3A26" w14:paraId="32D1317A" w14:textId="77777777" w:rsidTr="00954558">
        <w:trPr>
          <w:trHeight w:val="218"/>
        </w:trPr>
        <w:tc>
          <w:tcPr>
            <w:tcW w:w="2263" w:type="dxa"/>
          </w:tcPr>
          <w:p w14:paraId="65D13944" w14:textId="47F9E781" w:rsidR="003702B8" w:rsidRPr="002F3A26" w:rsidRDefault="003702B8" w:rsidP="003702B8">
            <w:pPr>
              <w:pStyle w:val="TableParagraph"/>
              <w:rPr>
                <w:rFonts w:cs="Arial"/>
              </w:rPr>
            </w:pPr>
            <w:r w:rsidRPr="002F3A26">
              <w:t>$1,249 or less</w:t>
            </w:r>
          </w:p>
        </w:tc>
        <w:tc>
          <w:tcPr>
            <w:tcW w:w="1062" w:type="dxa"/>
          </w:tcPr>
          <w:p w14:paraId="268ED1E7" w14:textId="495F38FB" w:rsidR="003702B8" w:rsidRPr="002F3A26" w:rsidRDefault="003702B8" w:rsidP="008B59E5">
            <w:pPr>
              <w:pStyle w:val="TableParagraph"/>
              <w:ind w:left="170"/>
              <w:rPr>
                <w:rFonts w:cs="Arial"/>
              </w:rPr>
            </w:pPr>
            <w:r w:rsidRPr="002F3A26">
              <w:t>1.44</w:t>
            </w:r>
            <w:r w:rsidRPr="002F3A26">
              <w:rPr>
                <w:vertAlign w:val="superscript"/>
              </w:rPr>
              <w:t>***</w:t>
            </w:r>
          </w:p>
        </w:tc>
        <w:tc>
          <w:tcPr>
            <w:tcW w:w="1062" w:type="dxa"/>
          </w:tcPr>
          <w:p w14:paraId="5017497C" w14:textId="2AB7A463" w:rsidR="003702B8" w:rsidRPr="002F3A26" w:rsidRDefault="003702B8" w:rsidP="008B59E5">
            <w:pPr>
              <w:pStyle w:val="TableParagraph"/>
              <w:ind w:left="170"/>
              <w:rPr>
                <w:rFonts w:cs="Arial"/>
              </w:rPr>
            </w:pPr>
            <w:r w:rsidRPr="002F3A26">
              <w:t>1.57</w:t>
            </w:r>
            <w:r w:rsidRPr="002F3A26">
              <w:rPr>
                <w:vertAlign w:val="superscript"/>
              </w:rPr>
              <w:t>***</w:t>
            </w:r>
          </w:p>
        </w:tc>
        <w:tc>
          <w:tcPr>
            <w:tcW w:w="1062" w:type="dxa"/>
          </w:tcPr>
          <w:p w14:paraId="286AE73A" w14:textId="0844A0DC" w:rsidR="003702B8" w:rsidRPr="002F3A26" w:rsidRDefault="003702B8" w:rsidP="008B59E5">
            <w:pPr>
              <w:pStyle w:val="TableParagraph"/>
              <w:ind w:left="170"/>
              <w:rPr>
                <w:rFonts w:cs="Arial"/>
              </w:rPr>
            </w:pPr>
            <w:r w:rsidRPr="002F3A26">
              <w:t>1.34</w:t>
            </w:r>
            <w:r w:rsidRPr="002F3A26">
              <w:rPr>
                <w:vertAlign w:val="superscript"/>
              </w:rPr>
              <w:t>***</w:t>
            </w:r>
          </w:p>
        </w:tc>
        <w:tc>
          <w:tcPr>
            <w:tcW w:w="1063" w:type="dxa"/>
          </w:tcPr>
          <w:p w14:paraId="283552FF" w14:textId="4A5616E2" w:rsidR="003702B8" w:rsidRPr="002F3A26" w:rsidRDefault="003702B8" w:rsidP="008B59E5">
            <w:pPr>
              <w:pStyle w:val="TableParagraph"/>
              <w:ind w:left="170"/>
            </w:pPr>
            <w:r w:rsidRPr="002F3A26">
              <w:t>1.33</w:t>
            </w:r>
            <w:r w:rsidRPr="002F3A26">
              <w:rPr>
                <w:vertAlign w:val="superscript"/>
              </w:rPr>
              <w:t>***</w:t>
            </w:r>
          </w:p>
        </w:tc>
        <w:tc>
          <w:tcPr>
            <w:tcW w:w="1062" w:type="dxa"/>
          </w:tcPr>
          <w:p w14:paraId="20BDB996" w14:textId="3E00C90E" w:rsidR="003702B8" w:rsidRPr="002F3A26" w:rsidRDefault="003702B8" w:rsidP="008B59E5">
            <w:pPr>
              <w:pStyle w:val="TableParagraph"/>
              <w:ind w:left="170"/>
            </w:pPr>
            <w:r w:rsidRPr="002F3A26">
              <w:t>0.89</w:t>
            </w:r>
          </w:p>
        </w:tc>
        <w:tc>
          <w:tcPr>
            <w:tcW w:w="1062" w:type="dxa"/>
          </w:tcPr>
          <w:p w14:paraId="298564C5" w14:textId="5F53EA60" w:rsidR="003702B8" w:rsidRPr="002F3A26" w:rsidRDefault="003702B8" w:rsidP="008B59E5">
            <w:pPr>
              <w:pStyle w:val="TableParagraph"/>
              <w:ind w:left="170"/>
            </w:pPr>
            <w:r w:rsidRPr="002F3A26">
              <w:t>1.36</w:t>
            </w:r>
            <w:r w:rsidRPr="002F3A26">
              <w:rPr>
                <w:vertAlign w:val="superscript"/>
              </w:rPr>
              <w:t>***</w:t>
            </w:r>
          </w:p>
        </w:tc>
        <w:tc>
          <w:tcPr>
            <w:tcW w:w="1062" w:type="dxa"/>
          </w:tcPr>
          <w:p w14:paraId="7D7792A9" w14:textId="63153314" w:rsidR="003702B8" w:rsidRPr="002F3A26" w:rsidRDefault="003702B8" w:rsidP="008B59E5">
            <w:pPr>
              <w:pStyle w:val="TableParagraph"/>
              <w:ind w:left="170"/>
            </w:pPr>
            <w:r w:rsidRPr="002F3A26">
              <w:t>1.18</w:t>
            </w:r>
            <w:r w:rsidRPr="002F3A26">
              <w:rPr>
                <w:vertAlign w:val="superscript"/>
              </w:rPr>
              <w:t>*</w:t>
            </w:r>
          </w:p>
        </w:tc>
        <w:tc>
          <w:tcPr>
            <w:tcW w:w="1063" w:type="dxa"/>
          </w:tcPr>
          <w:p w14:paraId="6F4246F7" w14:textId="4DFAC7F0" w:rsidR="003702B8" w:rsidRPr="002F3A26" w:rsidRDefault="003702B8" w:rsidP="008B59E5">
            <w:pPr>
              <w:pStyle w:val="TableParagraph"/>
              <w:ind w:left="170"/>
            </w:pPr>
            <w:r w:rsidRPr="002F3A26">
              <w:t>1.08</w:t>
            </w:r>
            <w:r w:rsidRPr="002F3A26">
              <w:rPr>
                <w:vertAlign w:val="superscript"/>
              </w:rPr>
              <w:t>*</w:t>
            </w:r>
          </w:p>
        </w:tc>
        <w:tc>
          <w:tcPr>
            <w:tcW w:w="1062" w:type="dxa"/>
          </w:tcPr>
          <w:p w14:paraId="6B22F3F7" w14:textId="74B3F544" w:rsidR="003702B8" w:rsidRPr="002F3A26" w:rsidRDefault="003702B8" w:rsidP="008B59E5">
            <w:pPr>
              <w:pStyle w:val="TableParagraph"/>
              <w:ind w:left="170"/>
            </w:pPr>
            <w:r w:rsidRPr="002F3A26">
              <w:t>1.00</w:t>
            </w:r>
          </w:p>
        </w:tc>
        <w:tc>
          <w:tcPr>
            <w:tcW w:w="1062" w:type="dxa"/>
          </w:tcPr>
          <w:p w14:paraId="36F6441D" w14:textId="28730ADD" w:rsidR="003702B8" w:rsidRPr="002F3A26" w:rsidRDefault="003702B8" w:rsidP="008B59E5">
            <w:pPr>
              <w:pStyle w:val="TableParagraph"/>
              <w:ind w:left="170"/>
            </w:pPr>
            <w:r w:rsidRPr="002F3A26">
              <w:t>2.10</w:t>
            </w:r>
            <w:r w:rsidRPr="002F3A26">
              <w:rPr>
                <w:vertAlign w:val="superscript"/>
              </w:rPr>
              <w:t>***</w:t>
            </w:r>
          </w:p>
        </w:tc>
        <w:tc>
          <w:tcPr>
            <w:tcW w:w="1063" w:type="dxa"/>
          </w:tcPr>
          <w:p w14:paraId="209FF044" w14:textId="70026091" w:rsidR="003702B8" w:rsidRPr="002F3A26" w:rsidRDefault="003702B8" w:rsidP="008B59E5">
            <w:pPr>
              <w:pStyle w:val="TableParagraph"/>
              <w:ind w:left="170"/>
            </w:pPr>
            <w:r w:rsidRPr="002F3A26">
              <w:t>1.21</w:t>
            </w:r>
          </w:p>
        </w:tc>
      </w:tr>
      <w:tr w:rsidR="003702B8" w:rsidRPr="002F3A26" w14:paraId="31564098" w14:textId="77777777" w:rsidTr="00954558">
        <w:trPr>
          <w:trHeight w:val="218"/>
        </w:trPr>
        <w:tc>
          <w:tcPr>
            <w:tcW w:w="2263" w:type="dxa"/>
          </w:tcPr>
          <w:p w14:paraId="1E63E7D2" w14:textId="199312E0" w:rsidR="003702B8" w:rsidRPr="002F3A26" w:rsidRDefault="003702B8" w:rsidP="003702B8">
            <w:pPr>
              <w:pStyle w:val="TableParagraph"/>
              <w:rPr>
                <w:rFonts w:cs="Arial"/>
              </w:rPr>
            </w:pPr>
            <w:r w:rsidRPr="002F3A26">
              <w:t>$1,250-$1,999</w:t>
            </w:r>
          </w:p>
        </w:tc>
        <w:tc>
          <w:tcPr>
            <w:tcW w:w="1062" w:type="dxa"/>
          </w:tcPr>
          <w:p w14:paraId="79C1163D" w14:textId="70A9E0F8" w:rsidR="003702B8" w:rsidRPr="002F3A26" w:rsidRDefault="003702B8" w:rsidP="008B59E5">
            <w:pPr>
              <w:pStyle w:val="TableParagraph"/>
              <w:ind w:left="170"/>
              <w:rPr>
                <w:rFonts w:cs="Arial"/>
              </w:rPr>
            </w:pPr>
            <w:r w:rsidRPr="002F3A26">
              <w:t>1.25</w:t>
            </w:r>
            <w:r w:rsidRPr="002F3A26">
              <w:rPr>
                <w:vertAlign w:val="superscript"/>
              </w:rPr>
              <w:t>***</w:t>
            </w:r>
          </w:p>
        </w:tc>
        <w:tc>
          <w:tcPr>
            <w:tcW w:w="1062" w:type="dxa"/>
          </w:tcPr>
          <w:p w14:paraId="7F7F0FC7" w14:textId="6C0C9146" w:rsidR="003702B8" w:rsidRPr="002F3A26" w:rsidRDefault="003702B8" w:rsidP="008B59E5">
            <w:pPr>
              <w:pStyle w:val="TableParagraph"/>
              <w:ind w:left="170"/>
              <w:rPr>
                <w:rFonts w:cs="Arial"/>
              </w:rPr>
            </w:pPr>
            <w:r w:rsidRPr="002F3A26">
              <w:t>1.44</w:t>
            </w:r>
            <w:r w:rsidRPr="002F3A26">
              <w:rPr>
                <w:vertAlign w:val="superscript"/>
              </w:rPr>
              <w:t>***</w:t>
            </w:r>
          </w:p>
        </w:tc>
        <w:tc>
          <w:tcPr>
            <w:tcW w:w="1062" w:type="dxa"/>
          </w:tcPr>
          <w:p w14:paraId="488D3B9B" w14:textId="38BC5654" w:rsidR="003702B8" w:rsidRPr="002F3A26" w:rsidRDefault="003702B8" w:rsidP="008B59E5">
            <w:pPr>
              <w:pStyle w:val="TableParagraph"/>
              <w:ind w:left="170"/>
              <w:rPr>
                <w:rFonts w:cs="Arial"/>
              </w:rPr>
            </w:pPr>
            <w:r w:rsidRPr="002F3A26">
              <w:t>1.24</w:t>
            </w:r>
            <w:r w:rsidRPr="002F3A26">
              <w:rPr>
                <w:vertAlign w:val="superscript"/>
              </w:rPr>
              <w:t>***</w:t>
            </w:r>
          </w:p>
        </w:tc>
        <w:tc>
          <w:tcPr>
            <w:tcW w:w="1063" w:type="dxa"/>
          </w:tcPr>
          <w:p w14:paraId="6D347BF4" w14:textId="7BD1452B" w:rsidR="003702B8" w:rsidRPr="002F3A26" w:rsidRDefault="003702B8" w:rsidP="008B59E5">
            <w:pPr>
              <w:pStyle w:val="TableParagraph"/>
              <w:ind w:left="170"/>
            </w:pPr>
            <w:r w:rsidRPr="002F3A26">
              <w:t>1.21</w:t>
            </w:r>
            <w:r w:rsidRPr="002F3A26">
              <w:rPr>
                <w:vertAlign w:val="superscript"/>
              </w:rPr>
              <w:t>**</w:t>
            </w:r>
          </w:p>
        </w:tc>
        <w:tc>
          <w:tcPr>
            <w:tcW w:w="1062" w:type="dxa"/>
          </w:tcPr>
          <w:p w14:paraId="118426E5" w14:textId="02A2341A" w:rsidR="003702B8" w:rsidRPr="002F3A26" w:rsidRDefault="003702B8" w:rsidP="008B59E5">
            <w:pPr>
              <w:pStyle w:val="TableParagraph"/>
              <w:ind w:left="170"/>
            </w:pPr>
            <w:r w:rsidRPr="002F3A26">
              <w:t>1.21</w:t>
            </w:r>
          </w:p>
        </w:tc>
        <w:tc>
          <w:tcPr>
            <w:tcW w:w="1062" w:type="dxa"/>
          </w:tcPr>
          <w:p w14:paraId="15D4DE36" w14:textId="02B7703C" w:rsidR="003702B8" w:rsidRPr="002F3A26" w:rsidRDefault="003702B8" w:rsidP="008B59E5">
            <w:pPr>
              <w:pStyle w:val="TableParagraph"/>
              <w:ind w:left="170"/>
            </w:pPr>
            <w:r w:rsidRPr="002F3A26">
              <w:t>1.32</w:t>
            </w:r>
            <w:r w:rsidRPr="002F3A26">
              <w:rPr>
                <w:vertAlign w:val="superscript"/>
              </w:rPr>
              <w:t>***</w:t>
            </w:r>
          </w:p>
        </w:tc>
        <w:tc>
          <w:tcPr>
            <w:tcW w:w="1062" w:type="dxa"/>
          </w:tcPr>
          <w:p w14:paraId="225D67E1" w14:textId="494913DD" w:rsidR="003702B8" w:rsidRPr="002F3A26" w:rsidRDefault="003702B8" w:rsidP="008B59E5">
            <w:pPr>
              <w:pStyle w:val="TableParagraph"/>
              <w:ind w:left="170"/>
            </w:pPr>
            <w:r w:rsidRPr="002F3A26">
              <w:t>1.37</w:t>
            </w:r>
            <w:r w:rsidRPr="002F3A26">
              <w:rPr>
                <w:vertAlign w:val="superscript"/>
              </w:rPr>
              <w:t>***</w:t>
            </w:r>
          </w:p>
        </w:tc>
        <w:tc>
          <w:tcPr>
            <w:tcW w:w="1063" w:type="dxa"/>
          </w:tcPr>
          <w:p w14:paraId="7466E74B" w14:textId="782C7E18" w:rsidR="003702B8" w:rsidRPr="002F3A26" w:rsidRDefault="003702B8" w:rsidP="008B59E5">
            <w:pPr>
              <w:pStyle w:val="TableParagraph"/>
              <w:ind w:left="170"/>
            </w:pPr>
            <w:r w:rsidRPr="002F3A26">
              <w:t>0.98</w:t>
            </w:r>
          </w:p>
        </w:tc>
        <w:tc>
          <w:tcPr>
            <w:tcW w:w="1062" w:type="dxa"/>
          </w:tcPr>
          <w:p w14:paraId="4378A821" w14:textId="443F770A" w:rsidR="003702B8" w:rsidRPr="002F3A26" w:rsidRDefault="003702B8" w:rsidP="008B59E5">
            <w:pPr>
              <w:pStyle w:val="TableParagraph"/>
              <w:ind w:left="170"/>
            </w:pPr>
            <w:r w:rsidRPr="002F3A26">
              <w:t>1.09</w:t>
            </w:r>
          </w:p>
        </w:tc>
        <w:tc>
          <w:tcPr>
            <w:tcW w:w="1062" w:type="dxa"/>
          </w:tcPr>
          <w:p w14:paraId="06D6D0E9" w14:textId="4A4ED6B9" w:rsidR="003702B8" w:rsidRPr="002F3A26" w:rsidRDefault="003702B8" w:rsidP="008B59E5">
            <w:pPr>
              <w:pStyle w:val="TableParagraph"/>
              <w:ind w:left="170"/>
            </w:pPr>
            <w:r w:rsidRPr="002F3A26">
              <w:t>1.23</w:t>
            </w:r>
          </w:p>
        </w:tc>
        <w:tc>
          <w:tcPr>
            <w:tcW w:w="1063" w:type="dxa"/>
          </w:tcPr>
          <w:p w14:paraId="7A1922BA" w14:textId="35DDDB62" w:rsidR="003702B8" w:rsidRPr="002F3A26" w:rsidRDefault="003702B8" w:rsidP="008B59E5">
            <w:pPr>
              <w:pStyle w:val="TableParagraph"/>
              <w:ind w:left="170"/>
            </w:pPr>
            <w:r w:rsidRPr="002F3A26">
              <w:t>1.20</w:t>
            </w:r>
          </w:p>
        </w:tc>
      </w:tr>
      <w:tr w:rsidR="003702B8" w:rsidRPr="002F3A26" w14:paraId="4A83B13B" w14:textId="77777777" w:rsidTr="00954558">
        <w:trPr>
          <w:trHeight w:val="218"/>
        </w:trPr>
        <w:tc>
          <w:tcPr>
            <w:tcW w:w="2263" w:type="dxa"/>
          </w:tcPr>
          <w:p w14:paraId="54F8C6D5" w14:textId="700550CC" w:rsidR="003702B8" w:rsidRPr="002F3A26" w:rsidRDefault="003702B8" w:rsidP="003702B8">
            <w:pPr>
              <w:pStyle w:val="TableParagraph"/>
              <w:rPr>
                <w:rFonts w:cs="Arial"/>
              </w:rPr>
            </w:pPr>
            <w:r w:rsidRPr="002F3A26">
              <w:t>$2,000-$2,999</w:t>
            </w:r>
          </w:p>
        </w:tc>
        <w:tc>
          <w:tcPr>
            <w:tcW w:w="1062" w:type="dxa"/>
          </w:tcPr>
          <w:p w14:paraId="66F0BB62" w14:textId="05461960" w:rsidR="003702B8" w:rsidRPr="002F3A26" w:rsidRDefault="003702B8" w:rsidP="008B59E5">
            <w:pPr>
              <w:pStyle w:val="TableParagraph"/>
              <w:ind w:left="170"/>
              <w:rPr>
                <w:rFonts w:cs="Arial"/>
              </w:rPr>
            </w:pPr>
            <w:r w:rsidRPr="002F3A26">
              <w:t>1.11</w:t>
            </w:r>
            <w:r w:rsidRPr="002F3A26">
              <w:rPr>
                <w:vertAlign w:val="superscript"/>
              </w:rPr>
              <w:t>***</w:t>
            </w:r>
          </w:p>
        </w:tc>
        <w:tc>
          <w:tcPr>
            <w:tcW w:w="1062" w:type="dxa"/>
          </w:tcPr>
          <w:p w14:paraId="3C518EEB" w14:textId="01F96CCC" w:rsidR="003702B8" w:rsidRPr="002F3A26" w:rsidRDefault="003702B8" w:rsidP="008B59E5">
            <w:pPr>
              <w:pStyle w:val="TableParagraph"/>
              <w:ind w:left="170"/>
              <w:rPr>
                <w:rFonts w:cs="Arial"/>
              </w:rPr>
            </w:pPr>
            <w:r w:rsidRPr="002F3A26">
              <w:t>1.30</w:t>
            </w:r>
            <w:r w:rsidRPr="002F3A26">
              <w:rPr>
                <w:vertAlign w:val="superscript"/>
              </w:rPr>
              <w:t>***</w:t>
            </w:r>
          </w:p>
        </w:tc>
        <w:tc>
          <w:tcPr>
            <w:tcW w:w="1062" w:type="dxa"/>
          </w:tcPr>
          <w:p w14:paraId="1FE4B1ED" w14:textId="2C3522F6" w:rsidR="003702B8" w:rsidRPr="002F3A26" w:rsidRDefault="003702B8" w:rsidP="008B59E5">
            <w:pPr>
              <w:pStyle w:val="TableParagraph"/>
              <w:ind w:left="170"/>
              <w:rPr>
                <w:rFonts w:cs="Arial"/>
              </w:rPr>
            </w:pPr>
            <w:r w:rsidRPr="002F3A26">
              <w:t>1.12</w:t>
            </w:r>
            <w:r w:rsidRPr="002F3A26">
              <w:rPr>
                <w:vertAlign w:val="superscript"/>
              </w:rPr>
              <w:t>**</w:t>
            </w:r>
          </w:p>
        </w:tc>
        <w:tc>
          <w:tcPr>
            <w:tcW w:w="1063" w:type="dxa"/>
          </w:tcPr>
          <w:p w14:paraId="238AA1CC" w14:textId="27DB7590" w:rsidR="003702B8" w:rsidRPr="002F3A26" w:rsidRDefault="003702B8" w:rsidP="008B59E5">
            <w:pPr>
              <w:pStyle w:val="TableParagraph"/>
              <w:ind w:left="170"/>
            </w:pPr>
            <w:r w:rsidRPr="002F3A26">
              <w:t>1.08</w:t>
            </w:r>
          </w:p>
        </w:tc>
        <w:tc>
          <w:tcPr>
            <w:tcW w:w="1062" w:type="dxa"/>
          </w:tcPr>
          <w:p w14:paraId="186DDAA4" w14:textId="2A45CEA2" w:rsidR="003702B8" w:rsidRPr="002F3A26" w:rsidRDefault="003702B8" w:rsidP="008B59E5">
            <w:pPr>
              <w:pStyle w:val="TableParagraph"/>
              <w:ind w:left="170"/>
            </w:pPr>
            <w:r w:rsidRPr="002F3A26">
              <w:t>1.35</w:t>
            </w:r>
            <w:r w:rsidRPr="002F3A26">
              <w:rPr>
                <w:vertAlign w:val="superscript"/>
              </w:rPr>
              <w:t>**</w:t>
            </w:r>
          </w:p>
        </w:tc>
        <w:tc>
          <w:tcPr>
            <w:tcW w:w="1062" w:type="dxa"/>
          </w:tcPr>
          <w:p w14:paraId="49697CA6" w14:textId="6285C14C" w:rsidR="003702B8" w:rsidRPr="002F3A26" w:rsidRDefault="003702B8" w:rsidP="008B59E5">
            <w:pPr>
              <w:pStyle w:val="TableParagraph"/>
              <w:ind w:left="170"/>
            </w:pPr>
            <w:r w:rsidRPr="002F3A26">
              <w:t>1.23</w:t>
            </w:r>
            <w:r w:rsidRPr="002F3A26">
              <w:rPr>
                <w:vertAlign w:val="superscript"/>
              </w:rPr>
              <w:t>***</w:t>
            </w:r>
          </w:p>
        </w:tc>
        <w:tc>
          <w:tcPr>
            <w:tcW w:w="1062" w:type="dxa"/>
          </w:tcPr>
          <w:p w14:paraId="6EDFD98C" w14:textId="25566122" w:rsidR="003702B8" w:rsidRPr="002F3A26" w:rsidRDefault="003702B8" w:rsidP="008B59E5">
            <w:pPr>
              <w:pStyle w:val="TableParagraph"/>
              <w:ind w:left="170"/>
            </w:pPr>
            <w:r w:rsidRPr="002F3A26">
              <w:t>1.34</w:t>
            </w:r>
            <w:r w:rsidRPr="002F3A26">
              <w:rPr>
                <w:vertAlign w:val="superscript"/>
              </w:rPr>
              <w:t>***</w:t>
            </w:r>
          </w:p>
        </w:tc>
        <w:tc>
          <w:tcPr>
            <w:tcW w:w="1063" w:type="dxa"/>
          </w:tcPr>
          <w:p w14:paraId="1CA9C99F" w14:textId="0C6AC537" w:rsidR="003702B8" w:rsidRPr="002F3A26" w:rsidRDefault="003702B8" w:rsidP="008B59E5">
            <w:pPr>
              <w:pStyle w:val="TableParagraph"/>
              <w:ind w:left="170"/>
            </w:pPr>
            <w:r w:rsidRPr="002F3A26">
              <w:t>0.87</w:t>
            </w:r>
            <w:r w:rsidRPr="002F3A26">
              <w:rPr>
                <w:vertAlign w:val="superscript"/>
              </w:rPr>
              <w:t>***</w:t>
            </w:r>
          </w:p>
        </w:tc>
        <w:tc>
          <w:tcPr>
            <w:tcW w:w="1062" w:type="dxa"/>
          </w:tcPr>
          <w:p w14:paraId="361006B6" w14:textId="4FDA9E0B" w:rsidR="003702B8" w:rsidRPr="002F3A26" w:rsidRDefault="003702B8" w:rsidP="008B59E5">
            <w:pPr>
              <w:pStyle w:val="TableParagraph"/>
              <w:ind w:left="170"/>
            </w:pPr>
            <w:r w:rsidRPr="002F3A26">
              <w:t>1.11</w:t>
            </w:r>
            <w:r w:rsidRPr="002F3A26">
              <w:rPr>
                <w:vertAlign w:val="superscript"/>
              </w:rPr>
              <w:t>*</w:t>
            </w:r>
          </w:p>
        </w:tc>
        <w:tc>
          <w:tcPr>
            <w:tcW w:w="1062" w:type="dxa"/>
          </w:tcPr>
          <w:p w14:paraId="1FDE445E" w14:textId="0FEDA78F" w:rsidR="003702B8" w:rsidRPr="002F3A26" w:rsidRDefault="003702B8" w:rsidP="008B59E5">
            <w:pPr>
              <w:pStyle w:val="TableParagraph"/>
              <w:ind w:left="170"/>
            </w:pPr>
            <w:r w:rsidRPr="002F3A26">
              <w:t>1.15</w:t>
            </w:r>
          </w:p>
        </w:tc>
        <w:tc>
          <w:tcPr>
            <w:tcW w:w="1063" w:type="dxa"/>
          </w:tcPr>
          <w:p w14:paraId="2CF1923B" w14:textId="15A58AC6" w:rsidR="003702B8" w:rsidRPr="002F3A26" w:rsidRDefault="003702B8" w:rsidP="008B59E5">
            <w:pPr>
              <w:pStyle w:val="TableParagraph"/>
              <w:ind w:left="170"/>
            </w:pPr>
            <w:r w:rsidRPr="002F3A26">
              <w:t>1.05</w:t>
            </w:r>
          </w:p>
        </w:tc>
      </w:tr>
      <w:tr w:rsidR="003702B8" w:rsidRPr="002F3A26" w14:paraId="3C04604C" w14:textId="77777777" w:rsidTr="00954558">
        <w:trPr>
          <w:trHeight w:val="218"/>
        </w:trPr>
        <w:tc>
          <w:tcPr>
            <w:tcW w:w="2263" w:type="dxa"/>
          </w:tcPr>
          <w:p w14:paraId="39330F6F" w14:textId="7DA1992C" w:rsidR="003702B8" w:rsidRPr="002F3A26" w:rsidRDefault="003702B8" w:rsidP="003702B8">
            <w:pPr>
              <w:pStyle w:val="TableParagraph"/>
              <w:rPr>
                <w:rFonts w:cs="Arial"/>
              </w:rPr>
            </w:pPr>
            <w:r w:rsidRPr="002F3A26">
              <w:t>Partial/no information</w:t>
            </w:r>
          </w:p>
        </w:tc>
        <w:tc>
          <w:tcPr>
            <w:tcW w:w="1062" w:type="dxa"/>
          </w:tcPr>
          <w:p w14:paraId="76E3D77C" w14:textId="70B835F7" w:rsidR="003702B8" w:rsidRPr="002F3A26" w:rsidRDefault="003702B8" w:rsidP="008B59E5">
            <w:pPr>
              <w:pStyle w:val="TableParagraph"/>
              <w:ind w:left="170"/>
              <w:rPr>
                <w:rFonts w:cs="Arial"/>
              </w:rPr>
            </w:pPr>
            <w:r w:rsidRPr="002F3A26">
              <w:t>1.08</w:t>
            </w:r>
            <w:r w:rsidRPr="002F3A26">
              <w:rPr>
                <w:vertAlign w:val="superscript"/>
              </w:rPr>
              <w:t>*</w:t>
            </w:r>
          </w:p>
        </w:tc>
        <w:tc>
          <w:tcPr>
            <w:tcW w:w="1062" w:type="dxa"/>
          </w:tcPr>
          <w:p w14:paraId="1DCE98CD" w14:textId="7351196A" w:rsidR="003702B8" w:rsidRPr="002F3A26" w:rsidRDefault="003702B8" w:rsidP="008B59E5">
            <w:pPr>
              <w:pStyle w:val="TableParagraph"/>
              <w:ind w:left="170"/>
              <w:rPr>
                <w:rFonts w:cs="Arial"/>
              </w:rPr>
            </w:pPr>
            <w:r w:rsidRPr="002F3A26">
              <w:t>0.96</w:t>
            </w:r>
          </w:p>
        </w:tc>
        <w:tc>
          <w:tcPr>
            <w:tcW w:w="1062" w:type="dxa"/>
          </w:tcPr>
          <w:p w14:paraId="19C8A167" w14:textId="4CA4D1B3" w:rsidR="003702B8" w:rsidRPr="002F3A26" w:rsidRDefault="003702B8" w:rsidP="008B59E5">
            <w:pPr>
              <w:pStyle w:val="TableParagraph"/>
              <w:ind w:left="170"/>
              <w:rPr>
                <w:rFonts w:cs="Arial"/>
              </w:rPr>
            </w:pPr>
            <w:r w:rsidRPr="002F3A26">
              <w:t>1.02</w:t>
            </w:r>
          </w:p>
        </w:tc>
        <w:tc>
          <w:tcPr>
            <w:tcW w:w="1063" w:type="dxa"/>
          </w:tcPr>
          <w:p w14:paraId="40E4B759" w14:textId="24E361B2" w:rsidR="003702B8" w:rsidRPr="002F3A26" w:rsidRDefault="003702B8" w:rsidP="008B59E5">
            <w:pPr>
              <w:pStyle w:val="TableParagraph"/>
              <w:ind w:left="170"/>
            </w:pPr>
            <w:r w:rsidRPr="002F3A26">
              <w:t>1.17</w:t>
            </w:r>
            <w:r w:rsidRPr="002F3A26">
              <w:rPr>
                <w:vertAlign w:val="superscript"/>
              </w:rPr>
              <w:t>*</w:t>
            </w:r>
          </w:p>
        </w:tc>
        <w:tc>
          <w:tcPr>
            <w:tcW w:w="1062" w:type="dxa"/>
          </w:tcPr>
          <w:p w14:paraId="215A9D63" w14:textId="080E79DC" w:rsidR="003702B8" w:rsidRPr="002F3A26" w:rsidRDefault="003702B8" w:rsidP="008B59E5">
            <w:pPr>
              <w:pStyle w:val="TableParagraph"/>
              <w:ind w:left="170"/>
            </w:pPr>
            <w:r w:rsidRPr="002F3A26">
              <w:t>1.27</w:t>
            </w:r>
          </w:p>
        </w:tc>
        <w:tc>
          <w:tcPr>
            <w:tcW w:w="1062" w:type="dxa"/>
          </w:tcPr>
          <w:p w14:paraId="2C54A074" w14:textId="0EBB38B8" w:rsidR="003702B8" w:rsidRPr="002F3A26" w:rsidRDefault="003702B8" w:rsidP="008B59E5">
            <w:pPr>
              <w:pStyle w:val="TableParagraph"/>
              <w:ind w:left="170"/>
            </w:pPr>
            <w:r w:rsidRPr="002F3A26">
              <w:t>1.00</w:t>
            </w:r>
          </w:p>
        </w:tc>
        <w:tc>
          <w:tcPr>
            <w:tcW w:w="1062" w:type="dxa"/>
          </w:tcPr>
          <w:p w14:paraId="459C528A" w14:textId="02F172ED" w:rsidR="003702B8" w:rsidRPr="002F3A26" w:rsidRDefault="003702B8" w:rsidP="008B59E5">
            <w:pPr>
              <w:pStyle w:val="TableParagraph"/>
              <w:ind w:left="170"/>
            </w:pPr>
            <w:r w:rsidRPr="002F3A26">
              <w:t>0.93</w:t>
            </w:r>
          </w:p>
        </w:tc>
        <w:tc>
          <w:tcPr>
            <w:tcW w:w="1063" w:type="dxa"/>
          </w:tcPr>
          <w:p w14:paraId="19174E27" w14:textId="3F9F17D5" w:rsidR="003702B8" w:rsidRPr="002F3A26" w:rsidRDefault="003702B8" w:rsidP="008B59E5">
            <w:pPr>
              <w:pStyle w:val="TableParagraph"/>
              <w:ind w:left="170"/>
            </w:pPr>
            <w:r w:rsidRPr="002F3A26">
              <w:t>0.89</w:t>
            </w:r>
            <w:r w:rsidRPr="002F3A26">
              <w:rPr>
                <w:vertAlign w:val="superscript"/>
              </w:rPr>
              <w:t>**</w:t>
            </w:r>
          </w:p>
        </w:tc>
        <w:tc>
          <w:tcPr>
            <w:tcW w:w="1062" w:type="dxa"/>
          </w:tcPr>
          <w:p w14:paraId="4E68A5F4" w14:textId="624D7CE5" w:rsidR="003702B8" w:rsidRPr="002F3A26" w:rsidRDefault="003702B8" w:rsidP="008B59E5">
            <w:pPr>
              <w:pStyle w:val="TableParagraph"/>
              <w:ind w:left="170"/>
            </w:pPr>
            <w:r w:rsidRPr="002F3A26">
              <w:t>0.99</w:t>
            </w:r>
          </w:p>
        </w:tc>
        <w:tc>
          <w:tcPr>
            <w:tcW w:w="1062" w:type="dxa"/>
          </w:tcPr>
          <w:p w14:paraId="1FB36320" w14:textId="64762E3F" w:rsidR="003702B8" w:rsidRPr="002F3A26" w:rsidRDefault="003702B8" w:rsidP="008B59E5">
            <w:pPr>
              <w:pStyle w:val="TableParagraph"/>
              <w:ind w:left="170"/>
            </w:pPr>
            <w:r w:rsidRPr="002F3A26">
              <w:t>1.22</w:t>
            </w:r>
          </w:p>
        </w:tc>
        <w:tc>
          <w:tcPr>
            <w:tcW w:w="1063" w:type="dxa"/>
          </w:tcPr>
          <w:p w14:paraId="3FEE822A" w14:textId="376789EE" w:rsidR="003702B8" w:rsidRPr="002F3A26" w:rsidRDefault="003702B8" w:rsidP="008B59E5">
            <w:pPr>
              <w:pStyle w:val="TableParagraph"/>
              <w:ind w:left="170"/>
            </w:pPr>
            <w:r w:rsidRPr="002F3A26">
              <w:t>1.20</w:t>
            </w:r>
            <w:r w:rsidRPr="002F3A26">
              <w:rPr>
                <w:vertAlign w:val="superscript"/>
              </w:rPr>
              <w:t>*</w:t>
            </w:r>
          </w:p>
        </w:tc>
      </w:tr>
      <w:tr w:rsidR="003702B8" w:rsidRPr="002F3A26" w14:paraId="5EAF62D2" w14:textId="77777777" w:rsidTr="00954558">
        <w:trPr>
          <w:trHeight w:val="218"/>
        </w:trPr>
        <w:tc>
          <w:tcPr>
            <w:tcW w:w="2263" w:type="dxa"/>
          </w:tcPr>
          <w:p w14:paraId="0EEF11B0" w14:textId="74952537" w:rsidR="003702B8" w:rsidRPr="002F3A26" w:rsidRDefault="003702B8" w:rsidP="003702B8">
            <w:pPr>
              <w:pStyle w:val="TableParagraph"/>
              <w:rPr>
                <w:rFonts w:cs="Arial"/>
              </w:rPr>
            </w:pPr>
            <w:r w:rsidRPr="002F3A26">
              <w:t>Observations</w:t>
            </w:r>
          </w:p>
        </w:tc>
        <w:tc>
          <w:tcPr>
            <w:tcW w:w="1062" w:type="dxa"/>
          </w:tcPr>
          <w:p w14:paraId="04864AC2" w14:textId="52E8CCE0" w:rsidR="003702B8" w:rsidRPr="002F3A26" w:rsidRDefault="003702B8" w:rsidP="008B59E5">
            <w:pPr>
              <w:pStyle w:val="TableParagraph"/>
              <w:ind w:left="170"/>
              <w:rPr>
                <w:rFonts w:cs="Arial"/>
              </w:rPr>
            </w:pPr>
            <w:r w:rsidRPr="002F3A26">
              <w:t>89522</w:t>
            </w:r>
          </w:p>
        </w:tc>
        <w:tc>
          <w:tcPr>
            <w:tcW w:w="1062" w:type="dxa"/>
          </w:tcPr>
          <w:p w14:paraId="2EEEA256" w14:textId="77777777" w:rsidR="003702B8" w:rsidRPr="002F3A26" w:rsidRDefault="003702B8" w:rsidP="008B59E5">
            <w:pPr>
              <w:pStyle w:val="TableParagraph"/>
              <w:ind w:left="170"/>
              <w:rPr>
                <w:rFonts w:cs="Arial"/>
              </w:rPr>
            </w:pPr>
          </w:p>
        </w:tc>
        <w:tc>
          <w:tcPr>
            <w:tcW w:w="1062" w:type="dxa"/>
          </w:tcPr>
          <w:p w14:paraId="13D67704" w14:textId="77777777" w:rsidR="003702B8" w:rsidRPr="002F3A26" w:rsidRDefault="003702B8" w:rsidP="008B59E5">
            <w:pPr>
              <w:pStyle w:val="TableParagraph"/>
              <w:ind w:left="170"/>
              <w:rPr>
                <w:rFonts w:cs="Arial"/>
              </w:rPr>
            </w:pPr>
          </w:p>
        </w:tc>
        <w:tc>
          <w:tcPr>
            <w:tcW w:w="1063" w:type="dxa"/>
          </w:tcPr>
          <w:p w14:paraId="25A089A7" w14:textId="77777777" w:rsidR="003702B8" w:rsidRPr="002F3A26" w:rsidRDefault="003702B8" w:rsidP="008B59E5">
            <w:pPr>
              <w:pStyle w:val="TableParagraph"/>
              <w:ind w:left="170"/>
            </w:pPr>
          </w:p>
        </w:tc>
        <w:tc>
          <w:tcPr>
            <w:tcW w:w="1062" w:type="dxa"/>
          </w:tcPr>
          <w:p w14:paraId="1ACDA429" w14:textId="77777777" w:rsidR="003702B8" w:rsidRPr="002F3A26" w:rsidRDefault="003702B8" w:rsidP="008B59E5">
            <w:pPr>
              <w:pStyle w:val="TableParagraph"/>
              <w:ind w:left="170"/>
            </w:pPr>
          </w:p>
        </w:tc>
        <w:tc>
          <w:tcPr>
            <w:tcW w:w="1062" w:type="dxa"/>
          </w:tcPr>
          <w:p w14:paraId="5E1F803A" w14:textId="77777777" w:rsidR="003702B8" w:rsidRPr="002F3A26" w:rsidRDefault="003702B8" w:rsidP="008B59E5">
            <w:pPr>
              <w:pStyle w:val="TableParagraph"/>
              <w:ind w:left="170"/>
            </w:pPr>
          </w:p>
        </w:tc>
        <w:tc>
          <w:tcPr>
            <w:tcW w:w="1062" w:type="dxa"/>
          </w:tcPr>
          <w:p w14:paraId="798707E9" w14:textId="77777777" w:rsidR="003702B8" w:rsidRPr="002F3A26" w:rsidRDefault="003702B8" w:rsidP="008B59E5">
            <w:pPr>
              <w:pStyle w:val="TableParagraph"/>
              <w:ind w:left="170"/>
            </w:pPr>
          </w:p>
        </w:tc>
        <w:tc>
          <w:tcPr>
            <w:tcW w:w="1063" w:type="dxa"/>
          </w:tcPr>
          <w:p w14:paraId="4C47637D" w14:textId="77777777" w:rsidR="003702B8" w:rsidRPr="002F3A26" w:rsidRDefault="003702B8" w:rsidP="008B59E5">
            <w:pPr>
              <w:pStyle w:val="TableParagraph"/>
              <w:ind w:left="170"/>
            </w:pPr>
          </w:p>
        </w:tc>
        <w:tc>
          <w:tcPr>
            <w:tcW w:w="1062" w:type="dxa"/>
          </w:tcPr>
          <w:p w14:paraId="1C74F20B" w14:textId="77777777" w:rsidR="003702B8" w:rsidRPr="002F3A26" w:rsidRDefault="003702B8" w:rsidP="008B59E5">
            <w:pPr>
              <w:pStyle w:val="TableParagraph"/>
              <w:ind w:left="170"/>
            </w:pPr>
          </w:p>
        </w:tc>
        <w:tc>
          <w:tcPr>
            <w:tcW w:w="1062" w:type="dxa"/>
          </w:tcPr>
          <w:p w14:paraId="4D764F29" w14:textId="77777777" w:rsidR="003702B8" w:rsidRPr="002F3A26" w:rsidRDefault="003702B8" w:rsidP="008B59E5">
            <w:pPr>
              <w:pStyle w:val="TableParagraph"/>
              <w:ind w:left="170"/>
            </w:pPr>
          </w:p>
        </w:tc>
        <w:tc>
          <w:tcPr>
            <w:tcW w:w="1063" w:type="dxa"/>
          </w:tcPr>
          <w:p w14:paraId="4EC7B674" w14:textId="77777777" w:rsidR="003702B8" w:rsidRPr="002F3A26" w:rsidRDefault="003702B8" w:rsidP="008B59E5">
            <w:pPr>
              <w:pStyle w:val="TableParagraph"/>
              <w:ind w:left="170"/>
            </w:pPr>
          </w:p>
        </w:tc>
      </w:tr>
      <w:tr w:rsidR="003702B8" w:rsidRPr="002F3A26" w14:paraId="28460B2B" w14:textId="77777777" w:rsidTr="00954558">
        <w:trPr>
          <w:trHeight w:val="218"/>
        </w:trPr>
        <w:tc>
          <w:tcPr>
            <w:tcW w:w="2263" w:type="dxa"/>
          </w:tcPr>
          <w:p w14:paraId="096EF499" w14:textId="5945116D" w:rsidR="003702B8" w:rsidRPr="002F3A26" w:rsidRDefault="003702B8" w:rsidP="003702B8">
            <w:pPr>
              <w:pStyle w:val="TableParagraph"/>
              <w:rPr>
                <w:rFonts w:cs="Arial"/>
              </w:rPr>
            </w:pPr>
            <w:r w:rsidRPr="002F3A26">
              <w:t xml:space="preserve">Pseudo </w:t>
            </w:r>
            <w:r w:rsidRPr="002F3A26">
              <w:rPr>
                <w:i/>
                <w:iCs/>
              </w:rPr>
              <w:t>R</w:t>
            </w:r>
            <w:r w:rsidRPr="002F3A26">
              <w:rPr>
                <w:vertAlign w:val="superscript"/>
              </w:rPr>
              <w:t>2</w:t>
            </w:r>
          </w:p>
        </w:tc>
        <w:tc>
          <w:tcPr>
            <w:tcW w:w="1062" w:type="dxa"/>
          </w:tcPr>
          <w:p w14:paraId="00AA510D" w14:textId="08A5ACC3" w:rsidR="003702B8" w:rsidRPr="002F3A26" w:rsidRDefault="003702B8" w:rsidP="008B59E5">
            <w:pPr>
              <w:pStyle w:val="TableParagraph"/>
              <w:ind w:left="170"/>
              <w:rPr>
                <w:rFonts w:cs="Arial"/>
              </w:rPr>
            </w:pPr>
            <w:r w:rsidRPr="002F3A26">
              <w:t>0.005</w:t>
            </w:r>
          </w:p>
        </w:tc>
        <w:tc>
          <w:tcPr>
            <w:tcW w:w="1062" w:type="dxa"/>
          </w:tcPr>
          <w:p w14:paraId="20F40D6E" w14:textId="77777777" w:rsidR="003702B8" w:rsidRPr="002F3A26" w:rsidRDefault="003702B8" w:rsidP="008B59E5">
            <w:pPr>
              <w:pStyle w:val="TableParagraph"/>
              <w:ind w:left="170"/>
              <w:rPr>
                <w:rFonts w:cs="Arial"/>
              </w:rPr>
            </w:pPr>
          </w:p>
        </w:tc>
        <w:tc>
          <w:tcPr>
            <w:tcW w:w="1062" w:type="dxa"/>
          </w:tcPr>
          <w:p w14:paraId="4DB40728" w14:textId="77777777" w:rsidR="003702B8" w:rsidRPr="002F3A26" w:rsidRDefault="003702B8" w:rsidP="008B59E5">
            <w:pPr>
              <w:pStyle w:val="TableParagraph"/>
              <w:ind w:left="170"/>
              <w:rPr>
                <w:rFonts w:cs="Arial"/>
              </w:rPr>
            </w:pPr>
          </w:p>
        </w:tc>
        <w:tc>
          <w:tcPr>
            <w:tcW w:w="1063" w:type="dxa"/>
          </w:tcPr>
          <w:p w14:paraId="0E8378D7" w14:textId="77777777" w:rsidR="003702B8" w:rsidRPr="002F3A26" w:rsidRDefault="003702B8" w:rsidP="008B59E5">
            <w:pPr>
              <w:pStyle w:val="TableParagraph"/>
              <w:ind w:left="170"/>
            </w:pPr>
          </w:p>
        </w:tc>
        <w:tc>
          <w:tcPr>
            <w:tcW w:w="1062" w:type="dxa"/>
          </w:tcPr>
          <w:p w14:paraId="64BF902B" w14:textId="77777777" w:rsidR="003702B8" w:rsidRPr="002F3A26" w:rsidRDefault="003702B8" w:rsidP="008B59E5">
            <w:pPr>
              <w:pStyle w:val="TableParagraph"/>
              <w:ind w:left="170"/>
            </w:pPr>
          </w:p>
        </w:tc>
        <w:tc>
          <w:tcPr>
            <w:tcW w:w="1062" w:type="dxa"/>
          </w:tcPr>
          <w:p w14:paraId="240AA713" w14:textId="77777777" w:rsidR="003702B8" w:rsidRPr="002F3A26" w:rsidRDefault="003702B8" w:rsidP="008B59E5">
            <w:pPr>
              <w:pStyle w:val="TableParagraph"/>
              <w:ind w:left="170"/>
            </w:pPr>
          </w:p>
        </w:tc>
        <w:tc>
          <w:tcPr>
            <w:tcW w:w="1062" w:type="dxa"/>
          </w:tcPr>
          <w:p w14:paraId="47B85B7E" w14:textId="77777777" w:rsidR="003702B8" w:rsidRPr="002F3A26" w:rsidRDefault="003702B8" w:rsidP="008B59E5">
            <w:pPr>
              <w:pStyle w:val="TableParagraph"/>
              <w:ind w:left="170"/>
            </w:pPr>
          </w:p>
        </w:tc>
        <w:tc>
          <w:tcPr>
            <w:tcW w:w="1063" w:type="dxa"/>
          </w:tcPr>
          <w:p w14:paraId="069AD794" w14:textId="77777777" w:rsidR="003702B8" w:rsidRPr="002F3A26" w:rsidRDefault="003702B8" w:rsidP="008B59E5">
            <w:pPr>
              <w:pStyle w:val="TableParagraph"/>
              <w:ind w:left="170"/>
            </w:pPr>
          </w:p>
        </w:tc>
        <w:tc>
          <w:tcPr>
            <w:tcW w:w="1062" w:type="dxa"/>
          </w:tcPr>
          <w:p w14:paraId="0EAC1A3B" w14:textId="77777777" w:rsidR="003702B8" w:rsidRPr="002F3A26" w:rsidRDefault="003702B8" w:rsidP="008B59E5">
            <w:pPr>
              <w:pStyle w:val="TableParagraph"/>
              <w:ind w:left="170"/>
            </w:pPr>
          </w:p>
        </w:tc>
        <w:tc>
          <w:tcPr>
            <w:tcW w:w="1062" w:type="dxa"/>
          </w:tcPr>
          <w:p w14:paraId="7B770BBE" w14:textId="77777777" w:rsidR="003702B8" w:rsidRPr="002F3A26" w:rsidRDefault="003702B8" w:rsidP="008B59E5">
            <w:pPr>
              <w:pStyle w:val="TableParagraph"/>
              <w:ind w:left="170"/>
            </w:pPr>
          </w:p>
        </w:tc>
        <w:tc>
          <w:tcPr>
            <w:tcW w:w="1063" w:type="dxa"/>
          </w:tcPr>
          <w:p w14:paraId="210A6EB6" w14:textId="77777777" w:rsidR="003702B8" w:rsidRPr="002F3A26" w:rsidRDefault="003702B8" w:rsidP="008B59E5">
            <w:pPr>
              <w:pStyle w:val="TableParagraph"/>
              <w:ind w:left="170"/>
            </w:pPr>
          </w:p>
        </w:tc>
      </w:tr>
    </w:tbl>
    <w:p w14:paraId="31FF1ABA" w14:textId="089908EC" w:rsidR="00500DF0" w:rsidRPr="002F3A26" w:rsidRDefault="00500DF0" w:rsidP="00500DF0">
      <w:pPr>
        <w:pStyle w:val="Notes"/>
      </w:pPr>
      <w:r w:rsidRPr="002F3A26">
        <w:t xml:space="preserve">Notes: Data from PLIDA.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Statistical significance: * p &lt; 0.05, ** p &lt; 0.01, *** p &lt; 0.001.</w:t>
      </w:r>
    </w:p>
    <w:p w14:paraId="22273C4D" w14:textId="77777777" w:rsidR="00867F02" w:rsidRPr="002F3A26" w:rsidRDefault="00867F02" w:rsidP="00867F02">
      <w:pPr>
        <w:rPr>
          <w:lang w:eastAsia="en-AU"/>
        </w:rPr>
      </w:pPr>
    </w:p>
    <w:p w14:paraId="31B72BA8" w14:textId="526269C9" w:rsidR="00954558" w:rsidRPr="002F3A26" w:rsidRDefault="00954558" w:rsidP="00D23949">
      <w:pPr>
        <w:pStyle w:val="Caption"/>
      </w:pPr>
      <w:bookmarkStart w:id="95" w:name="_Ref191543015"/>
      <w:r>
        <w:lastRenderedPageBreak/>
        <w:t xml:space="preserve">Table </w:t>
      </w:r>
      <w:fldSimple w:instr=" STYLEREF 7 \s ">
        <w:r w:rsidR="00627572">
          <w:rPr>
            <w:noProof/>
          </w:rPr>
          <w:t>C</w:t>
        </w:r>
      </w:fldSimple>
      <w:r>
        <w:noBreakHyphen/>
      </w:r>
      <w:fldSimple w:instr=" SEQ Table_ap \* ARABIC \s 7 ">
        <w:r w:rsidR="00627572">
          <w:rPr>
            <w:noProof/>
          </w:rPr>
          <w:t>2</w:t>
        </w:r>
      </w:fldSimple>
      <w:bookmarkEnd w:id="95"/>
      <w:r w:rsidR="00EE2BEB">
        <w:rPr>
          <w:noProof/>
        </w:rPr>
        <w:t>:</w:t>
      </w:r>
      <w:r>
        <w:t xml:space="preserve"> M</w:t>
      </w:r>
      <w:r w:rsidRPr="002F3A26">
        <w:t>odel coefficients (</w:t>
      </w:r>
      <w:r w:rsidR="009F5FEC">
        <w:t>RR</w:t>
      </w:r>
      <w:r w:rsidRPr="002F3A26">
        <w:t xml:space="preserve">) from </w:t>
      </w:r>
      <w:r w:rsidR="00EE2BEB">
        <w:t>M</w:t>
      </w:r>
      <w:r>
        <w:t xml:space="preserve">odel XI, multinomial </w:t>
      </w:r>
      <w:r w:rsidRPr="002F3A26">
        <w:t xml:space="preserve">logistic regression models of </w:t>
      </w:r>
      <w:r>
        <w:t>field of study at selective institutions</w:t>
      </w:r>
    </w:p>
    <w:tbl>
      <w:tblPr>
        <w:tblStyle w:val="ACSEStable"/>
        <w:tblW w:w="0" w:type="auto"/>
        <w:tblLayout w:type="fixed"/>
        <w:tblCellMar>
          <w:top w:w="28" w:type="dxa"/>
          <w:left w:w="68" w:type="dxa"/>
          <w:bottom w:w="28" w:type="dxa"/>
          <w:right w:w="68" w:type="dxa"/>
        </w:tblCellMar>
        <w:tblLook w:val="04A0" w:firstRow="1" w:lastRow="0" w:firstColumn="1" w:lastColumn="0" w:noHBand="0" w:noVBand="1"/>
      </w:tblPr>
      <w:tblGrid>
        <w:gridCol w:w="2263"/>
        <w:gridCol w:w="1062"/>
        <w:gridCol w:w="1062"/>
        <w:gridCol w:w="1062"/>
        <w:gridCol w:w="1063"/>
        <w:gridCol w:w="1062"/>
        <w:gridCol w:w="1062"/>
        <w:gridCol w:w="1062"/>
        <w:gridCol w:w="1063"/>
        <w:gridCol w:w="1062"/>
        <w:gridCol w:w="1062"/>
        <w:gridCol w:w="1063"/>
      </w:tblGrid>
      <w:tr w:rsidR="00FB6FA8" w:rsidRPr="002F3A26" w14:paraId="4384E8E1" w14:textId="77777777" w:rsidTr="00954558">
        <w:trPr>
          <w:cnfStyle w:val="100000000000" w:firstRow="1" w:lastRow="0" w:firstColumn="0" w:lastColumn="0" w:oddVBand="0" w:evenVBand="0" w:oddHBand="0" w:evenHBand="0" w:firstRowFirstColumn="0" w:firstRowLastColumn="0" w:lastRowFirstColumn="0" w:lastRowLastColumn="0"/>
          <w:trHeight w:val="1717"/>
        </w:trPr>
        <w:tc>
          <w:tcPr>
            <w:tcW w:w="2263" w:type="dxa"/>
          </w:tcPr>
          <w:p w14:paraId="1AB4F431" w14:textId="227C7C7F" w:rsidR="00634F39" w:rsidRPr="002F3A26" w:rsidRDefault="00634F39" w:rsidP="00634F39">
            <w:pPr>
              <w:pStyle w:val="TOCHeading"/>
              <w:rPr>
                <w:rFonts w:cs="Arial"/>
                <w:b/>
                <w:bCs/>
              </w:rPr>
            </w:pPr>
            <w:r w:rsidRPr="002F3A26">
              <w:rPr>
                <w:b/>
                <w:bCs/>
              </w:rPr>
              <w:t>Outcome (ref. Society &amp; Culture)</w:t>
            </w:r>
          </w:p>
        </w:tc>
        <w:tc>
          <w:tcPr>
            <w:tcW w:w="1062" w:type="dxa"/>
            <w:textDirection w:val="btLr"/>
            <w:vAlign w:val="center"/>
          </w:tcPr>
          <w:p w14:paraId="2B08A995" w14:textId="2E685929" w:rsidR="00634F39" w:rsidRPr="002F3A26" w:rsidRDefault="00634F39" w:rsidP="00634F39">
            <w:pPr>
              <w:pStyle w:val="TOCHeading"/>
              <w:jc w:val="center"/>
              <w:rPr>
                <w:rFonts w:cs="Arial"/>
                <w:b/>
                <w:bCs/>
              </w:rPr>
            </w:pPr>
            <w:r w:rsidRPr="002F3A26">
              <w:rPr>
                <w:b/>
                <w:bCs/>
              </w:rPr>
              <w:t>Natural &amp; Physical Sciences</w:t>
            </w:r>
          </w:p>
        </w:tc>
        <w:tc>
          <w:tcPr>
            <w:tcW w:w="1062" w:type="dxa"/>
            <w:textDirection w:val="btLr"/>
            <w:vAlign w:val="center"/>
          </w:tcPr>
          <w:p w14:paraId="065E924C" w14:textId="215DDC61" w:rsidR="00634F39" w:rsidRPr="002F3A26" w:rsidRDefault="00634F39" w:rsidP="00634F39">
            <w:pPr>
              <w:pStyle w:val="TOCHeading"/>
              <w:jc w:val="center"/>
              <w:rPr>
                <w:rFonts w:cs="Arial"/>
                <w:b/>
                <w:bCs/>
              </w:rPr>
            </w:pPr>
            <w:r w:rsidRPr="002F3A26">
              <w:rPr>
                <w:b/>
                <w:bCs/>
              </w:rPr>
              <w:t>Information Technology</w:t>
            </w:r>
          </w:p>
        </w:tc>
        <w:tc>
          <w:tcPr>
            <w:tcW w:w="1062" w:type="dxa"/>
            <w:textDirection w:val="btLr"/>
            <w:vAlign w:val="center"/>
          </w:tcPr>
          <w:p w14:paraId="751F26ED" w14:textId="2390E972" w:rsidR="00634F39" w:rsidRPr="002F3A26" w:rsidRDefault="00634F39" w:rsidP="00634F39">
            <w:pPr>
              <w:pStyle w:val="TOCHeading"/>
              <w:jc w:val="center"/>
              <w:rPr>
                <w:rFonts w:cs="Arial"/>
                <w:b/>
                <w:bCs/>
              </w:rPr>
            </w:pPr>
            <w:r w:rsidRPr="002F3A26">
              <w:rPr>
                <w:b/>
                <w:bCs/>
              </w:rPr>
              <w:t>Engineering &amp; Related Technology</w:t>
            </w:r>
          </w:p>
        </w:tc>
        <w:tc>
          <w:tcPr>
            <w:tcW w:w="1063" w:type="dxa"/>
            <w:textDirection w:val="btLr"/>
            <w:vAlign w:val="center"/>
          </w:tcPr>
          <w:p w14:paraId="47255094" w14:textId="214B8C31" w:rsidR="00634F39" w:rsidRPr="002F3A26" w:rsidRDefault="00634F39" w:rsidP="00634F39">
            <w:pPr>
              <w:pStyle w:val="TOCHeading"/>
              <w:jc w:val="center"/>
              <w:rPr>
                <w:rFonts w:cs="Arial"/>
                <w:bCs/>
              </w:rPr>
            </w:pPr>
            <w:r w:rsidRPr="002F3A26">
              <w:rPr>
                <w:b/>
                <w:bCs/>
              </w:rPr>
              <w:t>Architecture &amp; Building</w:t>
            </w:r>
          </w:p>
        </w:tc>
        <w:tc>
          <w:tcPr>
            <w:tcW w:w="1062" w:type="dxa"/>
            <w:textDirection w:val="btLr"/>
            <w:vAlign w:val="center"/>
          </w:tcPr>
          <w:p w14:paraId="7D91089E" w14:textId="4B240FA7" w:rsidR="00634F39" w:rsidRPr="002F3A26" w:rsidRDefault="00634F39" w:rsidP="00634F39">
            <w:pPr>
              <w:pStyle w:val="TOCHeading"/>
              <w:jc w:val="center"/>
              <w:rPr>
                <w:rFonts w:cs="Arial"/>
                <w:bCs/>
              </w:rPr>
            </w:pPr>
            <w:r w:rsidRPr="002F3A26">
              <w:rPr>
                <w:b/>
                <w:bCs/>
              </w:rPr>
              <w:t>Agriculture Environmental &amp; Rel. Studies</w:t>
            </w:r>
          </w:p>
        </w:tc>
        <w:tc>
          <w:tcPr>
            <w:tcW w:w="1062" w:type="dxa"/>
            <w:textDirection w:val="btLr"/>
            <w:vAlign w:val="center"/>
          </w:tcPr>
          <w:p w14:paraId="400480D9" w14:textId="66A7F258" w:rsidR="00634F39" w:rsidRPr="002F3A26" w:rsidRDefault="00634F39" w:rsidP="00634F39">
            <w:pPr>
              <w:pStyle w:val="TOCHeading"/>
              <w:jc w:val="center"/>
              <w:rPr>
                <w:rFonts w:cs="Arial"/>
                <w:bCs/>
              </w:rPr>
            </w:pPr>
            <w:r w:rsidRPr="002F3A26">
              <w:rPr>
                <w:b/>
                <w:bCs/>
              </w:rPr>
              <w:t>Other Health</w:t>
            </w:r>
          </w:p>
        </w:tc>
        <w:tc>
          <w:tcPr>
            <w:tcW w:w="1062" w:type="dxa"/>
            <w:textDirection w:val="btLr"/>
            <w:vAlign w:val="center"/>
          </w:tcPr>
          <w:p w14:paraId="07CFCA72" w14:textId="7A832F92" w:rsidR="00634F39" w:rsidRPr="002F3A26" w:rsidRDefault="00634F39" w:rsidP="00634F39">
            <w:pPr>
              <w:pStyle w:val="TOCHeading"/>
              <w:jc w:val="center"/>
              <w:rPr>
                <w:rFonts w:cs="Arial"/>
                <w:bCs/>
              </w:rPr>
            </w:pPr>
            <w:r w:rsidRPr="002F3A26">
              <w:rPr>
                <w:b/>
                <w:bCs/>
              </w:rPr>
              <w:t>Education</w:t>
            </w:r>
          </w:p>
        </w:tc>
        <w:tc>
          <w:tcPr>
            <w:tcW w:w="1063" w:type="dxa"/>
            <w:textDirection w:val="btLr"/>
            <w:vAlign w:val="center"/>
          </w:tcPr>
          <w:p w14:paraId="49962113" w14:textId="3D28DF4F" w:rsidR="00634F39" w:rsidRPr="002F3A26" w:rsidRDefault="00634F39" w:rsidP="00634F39">
            <w:pPr>
              <w:pStyle w:val="TOCHeading"/>
              <w:jc w:val="center"/>
              <w:rPr>
                <w:rFonts w:cs="Arial"/>
                <w:bCs/>
              </w:rPr>
            </w:pPr>
            <w:r w:rsidRPr="002F3A26">
              <w:rPr>
                <w:b/>
                <w:bCs/>
              </w:rPr>
              <w:t>Management &amp; Commerce</w:t>
            </w:r>
          </w:p>
        </w:tc>
        <w:tc>
          <w:tcPr>
            <w:tcW w:w="1062" w:type="dxa"/>
            <w:textDirection w:val="btLr"/>
            <w:vAlign w:val="center"/>
          </w:tcPr>
          <w:p w14:paraId="007A5E37" w14:textId="2FABAA0A" w:rsidR="00634F39" w:rsidRPr="002F3A26" w:rsidRDefault="00634F39" w:rsidP="00634F39">
            <w:pPr>
              <w:pStyle w:val="TOCHeading"/>
              <w:jc w:val="center"/>
              <w:rPr>
                <w:rFonts w:cs="Arial"/>
                <w:bCs/>
              </w:rPr>
            </w:pPr>
            <w:r w:rsidRPr="002F3A26">
              <w:rPr>
                <w:b/>
                <w:bCs/>
              </w:rPr>
              <w:t>Creative Arts</w:t>
            </w:r>
          </w:p>
        </w:tc>
        <w:tc>
          <w:tcPr>
            <w:tcW w:w="1062" w:type="dxa"/>
            <w:textDirection w:val="btLr"/>
            <w:vAlign w:val="center"/>
          </w:tcPr>
          <w:p w14:paraId="717D277D" w14:textId="0EF5B83B" w:rsidR="00634F39" w:rsidRPr="002F3A26" w:rsidRDefault="00634F39" w:rsidP="00634F39">
            <w:pPr>
              <w:pStyle w:val="TOCHeading"/>
              <w:jc w:val="center"/>
              <w:rPr>
                <w:rFonts w:cs="Arial"/>
                <w:bCs/>
              </w:rPr>
            </w:pPr>
            <w:r w:rsidRPr="002F3A26">
              <w:rPr>
                <w:b/>
                <w:bCs/>
              </w:rPr>
              <w:t>Medical Studies</w:t>
            </w:r>
          </w:p>
        </w:tc>
        <w:tc>
          <w:tcPr>
            <w:tcW w:w="1063" w:type="dxa"/>
            <w:textDirection w:val="btLr"/>
            <w:vAlign w:val="center"/>
          </w:tcPr>
          <w:p w14:paraId="6960D980" w14:textId="13D9FB1B" w:rsidR="00634F39" w:rsidRPr="002F3A26" w:rsidRDefault="00634F39" w:rsidP="00634F39">
            <w:pPr>
              <w:pStyle w:val="TOCHeading"/>
              <w:jc w:val="center"/>
              <w:rPr>
                <w:rFonts w:cs="Arial"/>
                <w:bCs/>
              </w:rPr>
            </w:pPr>
            <w:r w:rsidRPr="002F3A26">
              <w:rPr>
                <w:b/>
                <w:bCs/>
              </w:rPr>
              <w:t>Law</w:t>
            </w:r>
          </w:p>
        </w:tc>
      </w:tr>
      <w:tr w:rsidR="00634F39" w:rsidRPr="002F3A26" w14:paraId="7BF5FFA9" w14:textId="77777777" w:rsidTr="00954558">
        <w:trPr>
          <w:trHeight w:val="230"/>
        </w:trPr>
        <w:tc>
          <w:tcPr>
            <w:tcW w:w="2263" w:type="dxa"/>
          </w:tcPr>
          <w:p w14:paraId="57FB582A" w14:textId="3B0297C9" w:rsidR="00634F39" w:rsidRPr="002F3A26" w:rsidRDefault="00634F39" w:rsidP="00634F39">
            <w:pPr>
              <w:pStyle w:val="TableParagraph"/>
            </w:pPr>
            <w:r w:rsidRPr="002F3A26">
              <w:t>FiF</w:t>
            </w:r>
          </w:p>
        </w:tc>
        <w:tc>
          <w:tcPr>
            <w:tcW w:w="1062" w:type="dxa"/>
          </w:tcPr>
          <w:p w14:paraId="60722C9B" w14:textId="1B62BA43" w:rsidR="00634F39" w:rsidRPr="002F3A26" w:rsidRDefault="00634F39" w:rsidP="008B59E5">
            <w:pPr>
              <w:pStyle w:val="TableParagraph"/>
              <w:ind w:left="170"/>
            </w:pPr>
            <w:r w:rsidRPr="002F3A26">
              <w:t>0.88</w:t>
            </w:r>
            <w:r w:rsidRPr="002F3A26">
              <w:rPr>
                <w:vertAlign w:val="superscript"/>
              </w:rPr>
              <w:t>***</w:t>
            </w:r>
          </w:p>
        </w:tc>
        <w:tc>
          <w:tcPr>
            <w:tcW w:w="1062" w:type="dxa"/>
          </w:tcPr>
          <w:p w14:paraId="17261EFC" w14:textId="7D2D4CC4" w:rsidR="00634F39" w:rsidRPr="002F3A26" w:rsidRDefault="00634F39" w:rsidP="008B59E5">
            <w:pPr>
              <w:pStyle w:val="TableParagraph"/>
              <w:ind w:left="170"/>
            </w:pPr>
            <w:r w:rsidRPr="002F3A26">
              <w:t>0.94</w:t>
            </w:r>
          </w:p>
        </w:tc>
        <w:tc>
          <w:tcPr>
            <w:tcW w:w="1062" w:type="dxa"/>
          </w:tcPr>
          <w:p w14:paraId="2C7F79DF" w14:textId="3044E22B" w:rsidR="00634F39" w:rsidRPr="002F3A26" w:rsidRDefault="00634F39" w:rsidP="008B59E5">
            <w:pPr>
              <w:pStyle w:val="TableParagraph"/>
              <w:ind w:left="170"/>
            </w:pPr>
            <w:r w:rsidRPr="002F3A26">
              <w:t>0.82</w:t>
            </w:r>
            <w:r w:rsidRPr="002F3A26">
              <w:rPr>
                <w:vertAlign w:val="superscript"/>
              </w:rPr>
              <w:t>***</w:t>
            </w:r>
          </w:p>
        </w:tc>
        <w:tc>
          <w:tcPr>
            <w:tcW w:w="1063" w:type="dxa"/>
          </w:tcPr>
          <w:p w14:paraId="31732F10" w14:textId="2C439C46" w:rsidR="00634F39" w:rsidRPr="002F3A26" w:rsidRDefault="00634F39" w:rsidP="008B59E5">
            <w:pPr>
              <w:pStyle w:val="TableParagraph"/>
              <w:ind w:left="170"/>
            </w:pPr>
            <w:r w:rsidRPr="002F3A26">
              <w:t>1.06</w:t>
            </w:r>
          </w:p>
        </w:tc>
        <w:tc>
          <w:tcPr>
            <w:tcW w:w="1062" w:type="dxa"/>
          </w:tcPr>
          <w:p w14:paraId="2AE1447E" w14:textId="78306612" w:rsidR="00634F39" w:rsidRPr="002F3A26" w:rsidRDefault="00634F39" w:rsidP="008B59E5">
            <w:pPr>
              <w:pStyle w:val="TableParagraph"/>
              <w:ind w:left="170"/>
            </w:pPr>
            <w:r w:rsidRPr="002F3A26">
              <w:t>1.50</w:t>
            </w:r>
            <w:r w:rsidRPr="002F3A26">
              <w:rPr>
                <w:vertAlign w:val="superscript"/>
              </w:rPr>
              <w:t>***</w:t>
            </w:r>
          </w:p>
        </w:tc>
        <w:tc>
          <w:tcPr>
            <w:tcW w:w="1062" w:type="dxa"/>
          </w:tcPr>
          <w:p w14:paraId="1F0D5AC9" w14:textId="7909DA02" w:rsidR="00634F39" w:rsidRPr="002F3A26" w:rsidRDefault="00634F39" w:rsidP="008B59E5">
            <w:pPr>
              <w:pStyle w:val="TableParagraph"/>
              <w:ind w:left="170"/>
            </w:pPr>
            <w:r w:rsidRPr="002F3A26">
              <w:t>1.22</w:t>
            </w:r>
            <w:r w:rsidRPr="002F3A26">
              <w:rPr>
                <w:vertAlign w:val="superscript"/>
              </w:rPr>
              <w:t>***</w:t>
            </w:r>
          </w:p>
        </w:tc>
        <w:tc>
          <w:tcPr>
            <w:tcW w:w="1062" w:type="dxa"/>
          </w:tcPr>
          <w:p w14:paraId="5E608FA8" w14:textId="5DBEB969" w:rsidR="00634F39" w:rsidRPr="002F3A26" w:rsidRDefault="00634F39" w:rsidP="008B59E5">
            <w:pPr>
              <w:pStyle w:val="TableParagraph"/>
              <w:ind w:left="170"/>
            </w:pPr>
            <w:r w:rsidRPr="002F3A26">
              <w:t>1.63</w:t>
            </w:r>
            <w:r w:rsidRPr="002F3A26">
              <w:rPr>
                <w:vertAlign w:val="superscript"/>
              </w:rPr>
              <w:t>***</w:t>
            </w:r>
          </w:p>
        </w:tc>
        <w:tc>
          <w:tcPr>
            <w:tcW w:w="1063" w:type="dxa"/>
          </w:tcPr>
          <w:p w14:paraId="39741A8A" w14:textId="28005DEE" w:rsidR="00634F39" w:rsidRPr="002F3A26" w:rsidRDefault="00634F39" w:rsidP="008B59E5">
            <w:pPr>
              <w:pStyle w:val="TableParagraph"/>
              <w:ind w:left="170"/>
            </w:pPr>
            <w:r w:rsidRPr="002F3A26">
              <w:t>0.99</w:t>
            </w:r>
          </w:p>
        </w:tc>
        <w:tc>
          <w:tcPr>
            <w:tcW w:w="1062" w:type="dxa"/>
          </w:tcPr>
          <w:p w14:paraId="29AAB84B" w14:textId="6972080E" w:rsidR="00634F39" w:rsidRPr="002F3A26" w:rsidRDefault="00634F39" w:rsidP="008B59E5">
            <w:pPr>
              <w:pStyle w:val="TableParagraph"/>
              <w:ind w:left="170"/>
            </w:pPr>
            <w:r w:rsidRPr="002F3A26">
              <w:t>1.08</w:t>
            </w:r>
            <w:r w:rsidRPr="002F3A26">
              <w:rPr>
                <w:vertAlign w:val="superscript"/>
              </w:rPr>
              <w:t>*</w:t>
            </w:r>
          </w:p>
        </w:tc>
        <w:tc>
          <w:tcPr>
            <w:tcW w:w="1062" w:type="dxa"/>
          </w:tcPr>
          <w:p w14:paraId="156CED5D" w14:textId="1E2217EC" w:rsidR="00634F39" w:rsidRPr="002F3A26" w:rsidRDefault="00634F39" w:rsidP="008B59E5">
            <w:pPr>
              <w:pStyle w:val="TableParagraph"/>
              <w:ind w:left="170"/>
            </w:pPr>
            <w:r w:rsidRPr="002F3A26">
              <w:t>0.28</w:t>
            </w:r>
            <w:r w:rsidRPr="002F3A26">
              <w:rPr>
                <w:vertAlign w:val="superscript"/>
              </w:rPr>
              <w:t>***</w:t>
            </w:r>
          </w:p>
        </w:tc>
        <w:tc>
          <w:tcPr>
            <w:tcW w:w="1063" w:type="dxa"/>
          </w:tcPr>
          <w:p w14:paraId="0EDAD3A4" w14:textId="1C349541" w:rsidR="00634F39" w:rsidRPr="002F3A26" w:rsidRDefault="00634F39" w:rsidP="008B59E5">
            <w:pPr>
              <w:pStyle w:val="TableParagraph"/>
              <w:ind w:left="170"/>
            </w:pPr>
            <w:r w:rsidRPr="002F3A26">
              <w:t>0.69</w:t>
            </w:r>
            <w:r w:rsidRPr="002F3A26">
              <w:rPr>
                <w:vertAlign w:val="superscript"/>
              </w:rPr>
              <w:t>***</w:t>
            </w:r>
          </w:p>
        </w:tc>
      </w:tr>
      <w:tr w:rsidR="00634F39" w:rsidRPr="002F3A26" w14:paraId="07915379" w14:textId="77777777" w:rsidTr="00954558">
        <w:trPr>
          <w:trHeight w:val="218"/>
        </w:trPr>
        <w:tc>
          <w:tcPr>
            <w:tcW w:w="2263" w:type="dxa"/>
          </w:tcPr>
          <w:p w14:paraId="275DE25E" w14:textId="3EBC3785" w:rsidR="00634F39" w:rsidRPr="002F3A26" w:rsidRDefault="00634F39" w:rsidP="00634F39">
            <w:pPr>
              <w:pStyle w:val="TableParagraph"/>
              <w:rPr>
                <w:rFonts w:cs="Arial"/>
              </w:rPr>
            </w:pPr>
            <w:r w:rsidRPr="002F3A26">
              <w:t>Low SES</w:t>
            </w:r>
          </w:p>
        </w:tc>
        <w:tc>
          <w:tcPr>
            <w:tcW w:w="1062" w:type="dxa"/>
          </w:tcPr>
          <w:p w14:paraId="57C2003F" w14:textId="6D1E61CC" w:rsidR="00634F39" w:rsidRPr="002F3A26" w:rsidRDefault="00634F39" w:rsidP="008B59E5">
            <w:pPr>
              <w:pStyle w:val="TableParagraph"/>
              <w:ind w:left="170"/>
              <w:rPr>
                <w:rFonts w:cs="Arial"/>
              </w:rPr>
            </w:pPr>
            <w:r w:rsidRPr="002F3A26">
              <w:t>1.23</w:t>
            </w:r>
            <w:r w:rsidRPr="002F3A26">
              <w:rPr>
                <w:vertAlign w:val="superscript"/>
              </w:rPr>
              <w:t>***</w:t>
            </w:r>
          </w:p>
        </w:tc>
        <w:tc>
          <w:tcPr>
            <w:tcW w:w="1062" w:type="dxa"/>
          </w:tcPr>
          <w:p w14:paraId="48905165" w14:textId="66C03378" w:rsidR="00634F39" w:rsidRPr="002F3A26" w:rsidRDefault="00634F39" w:rsidP="008B59E5">
            <w:pPr>
              <w:pStyle w:val="TableParagraph"/>
              <w:ind w:left="170"/>
              <w:rPr>
                <w:rFonts w:cs="Arial"/>
              </w:rPr>
            </w:pPr>
            <w:r w:rsidRPr="002F3A26">
              <w:t>1.41</w:t>
            </w:r>
            <w:r w:rsidRPr="002F3A26">
              <w:rPr>
                <w:vertAlign w:val="superscript"/>
              </w:rPr>
              <w:t>***</w:t>
            </w:r>
          </w:p>
        </w:tc>
        <w:tc>
          <w:tcPr>
            <w:tcW w:w="1062" w:type="dxa"/>
          </w:tcPr>
          <w:p w14:paraId="638F67BB" w14:textId="2AE7E431" w:rsidR="00634F39" w:rsidRPr="002F3A26" w:rsidRDefault="00634F39" w:rsidP="008B59E5">
            <w:pPr>
              <w:pStyle w:val="TableParagraph"/>
              <w:ind w:left="170"/>
              <w:rPr>
                <w:rFonts w:cs="Arial"/>
              </w:rPr>
            </w:pPr>
            <w:r w:rsidRPr="002F3A26">
              <w:t>1.42</w:t>
            </w:r>
            <w:r w:rsidRPr="002F3A26">
              <w:rPr>
                <w:vertAlign w:val="superscript"/>
              </w:rPr>
              <w:t>***</w:t>
            </w:r>
          </w:p>
        </w:tc>
        <w:tc>
          <w:tcPr>
            <w:tcW w:w="1063" w:type="dxa"/>
          </w:tcPr>
          <w:p w14:paraId="0F8B5B2F" w14:textId="6F8BFD3B" w:rsidR="00634F39" w:rsidRPr="002F3A26" w:rsidRDefault="00634F39" w:rsidP="008B59E5">
            <w:pPr>
              <w:pStyle w:val="TableParagraph"/>
              <w:ind w:left="170"/>
            </w:pPr>
            <w:r w:rsidRPr="002F3A26">
              <w:t>1.04</w:t>
            </w:r>
          </w:p>
        </w:tc>
        <w:tc>
          <w:tcPr>
            <w:tcW w:w="1062" w:type="dxa"/>
          </w:tcPr>
          <w:p w14:paraId="7035E347" w14:textId="607A8CED" w:rsidR="00634F39" w:rsidRPr="002F3A26" w:rsidRDefault="00634F39" w:rsidP="008B59E5">
            <w:pPr>
              <w:pStyle w:val="TableParagraph"/>
              <w:ind w:left="170"/>
            </w:pPr>
            <w:r w:rsidRPr="002F3A26">
              <w:t>0.80</w:t>
            </w:r>
          </w:p>
        </w:tc>
        <w:tc>
          <w:tcPr>
            <w:tcW w:w="1062" w:type="dxa"/>
          </w:tcPr>
          <w:p w14:paraId="5E5D0663" w14:textId="5B93EAC6" w:rsidR="00634F39" w:rsidRPr="002F3A26" w:rsidRDefault="00634F39" w:rsidP="008B59E5">
            <w:pPr>
              <w:pStyle w:val="TableParagraph"/>
              <w:ind w:left="170"/>
            </w:pPr>
            <w:r w:rsidRPr="002F3A26">
              <w:t>1.54</w:t>
            </w:r>
            <w:r w:rsidRPr="002F3A26">
              <w:rPr>
                <w:vertAlign w:val="superscript"/>
              </w:rPr>
              <w:t>***</w:t>
            </w:r>
          </w:p>
        </w:tc>
        <w:tc>
          <w:tcPr>
            <w:tcW w:w="1062" w:type="dxa"/>
          </w:tcPr>
          <w:p w14:paraId="31CAFDE0" w14:textId="7D729D60" w:rsidR="00634F39" w:rsidRPr="002F3A26" w:rsidRDefault="00634F39" w:rsidP="008B59E5">
            <w:pPr>
              <w:pStyle w:val="TableParagraph"/>
              <w:ind w:left="170"/>
            </w:pPr>
            <w:r w:rsidRPr="002F3A26">
              <w:t>1.38</w:t>
            </w:r>
            <w:r w:rsidRPr="002F3A26">
              <w:rPr>
                <w:vertAlign w:val="superscript"/>
              </w:rPr>
              <w:t>***</w:t>
            </w:r>
          </w:p>
        </w:tc>
        <w:tc>
          <w:tcPr>
            <w:tcW w:w="1063" w:type="dxa"/>
          </w:tcPr>
          <w:p w14:paraId="537A4228" w14:textId="46C0143C" w:rsidR="00634F39" w:rsidRPr="002F3A26" w:rsidRDefault="00634F39" w:rsidP="008B59E5">
            <w:pPr>
              <w:pStyle w:val="TableParagraph"/>
              <w:ind w:left="170"/>
            </w:pPr>
            <w:r w:rsidRPr="002F3A26">
              <w:t>1.06</w:t>
            </w:r>
          </w:p>
        </w:tc>
        <w:tc>
          <w:tcPr>
            <w:tcW w:w="1062" w:type="dxa"/>
          </w:tcPr>
          <w:p w14:paraId="48CC9768" w14:textId="731E9EA6" w:rsidR="00634F39" w:rsidRPr="002F3A26" w:rsidRDefault="00634F39" w:rsidP="008B59E5">
            <w:pPr>
              <w:pStyle w:val="TableParagraph"/>
              <w:ind w:left="170"/>
            </w:pPr>
            <w:r w:rsidRPr="002F3A26">
              <w:t>0.93</w:t>
            </w:r>
          </w:p>
        </w:tc>
        <w:tc>
          <w:tcPr>
            <w:tcW w:w="1062" w:type="dxa"/>
          </w:tcPr>
          <w:p w14:paraId="6BD957CE" w14:textId="74013B5B" w:rsidR="00634F39" w:rsidRPr="002F3A26" w:rsidRDefault="00634F39" w:rsidP="008B59E5">
            <w:pPr>
              <w:pStyle w:val="TableParagraph"/>
              <w:ind w:left="170"/>
            </w:pPr>
            <w:r w:rsidRPr="002F3A26">
              <w:t>0.99</w:t>
            </w:r>
          </w:p>
        </w:tc>
        <w:tc>
          <w:tcPr>
            <w:tcW w:w="1063" w:type="dxa"/>
          </w:tcPr>
          <w:p w14:paraId="0C0A70AD" w14:textId="6A376930" w:rsidR="00634F39" w:rsidRPr="002F3A26" w:rsidRDefault="00634F39" w:rsidP="008B59E5">
            <w:pPr>
              <w:pStyle w:val="TableParagraph"/>
              <w:ind w:left="170"/>
            </w:pPr>
            <w:r w:rsidRPr="002F3A26">
              <w:t>1.24</w:t>
            </w:r>
            <w:r w:rsidRPr="002F3A26">
              <w:rPr>
                <w:vertAlign w:val="superscript"/>
              </w:rPr>
              <w:t>*</w:t>
            </w:r>
          </w:p>
        </w:tc>
      </w:tr>
      <w:tr w:rsidR="00634F39" w:rsidRPr="002F3A26" w14:paraId="7F029AF3" w14:textId="77777777" w:rsidTr="00954558">
        <w:trPr>
          <w:trHeight w:val="218"/>
        </w:trPr>
        <w:tc>
          <w:tcPr>
            <w:tcW w:w="2263" w:type="dxa"/>
          </w:tcPr>
          <w:p w14:paraId="6D3C0C64" w14:textId="5491A47E" w:rsidR="00634F39" w:rsidRPr="002F3A26" w:rsidRDefault="009F5FEC" w:rsidP="00634F39">
            <w:pPr>
              <w:pStyle w:val="TableParagraph"/>
              <w:rPr>
                <w:rFonts w:cs="Arial"/>
              </w:rPr>
            </w:pPr>
            <w:r>
              <w:t>RR</w:t>
            </w:r>
          </w:p>
        </w:tc>
        <w:tc>
          <w:tcPr>
            <w:tcW w:w="1062" w:type="dxa"/>
          </w:tcPr>
          <w:p w14:paraId="33B44473" w14:textId="1457B3CF" w:rsidR="00634F39" w:rsidRPr="002F3A26" w:rsidRDefault="00634F39" w:rsidP="008B59E5">
            <w:pPr>
              <w:pStyle w:val="TableParagraph"/>
              <w:ind w:left="170"/>
              <w:rPr>
                <w:rFonts w:cs="Arial"/>
              </w:rPr>
            </w:pPr>
            <w:r w:rsidRPr="002F3A26">
              <w:t>1.13</w:t>
            </w:r>
            <w:r w:rsidRPr="002F3A26">
              <w:rPr>
                <w:vertAlign w:val="superscript"/>
              </w:rPr>
              <w:t>***</w:t>
            </w:r>
          </w:p>
        </w:tc>
        <w:tc>
          <w:tcPr>
            <w:tcW w:w="1062" w:type="dxa"/>
          </w:tcPr>
          <w:p w14:paraId="25B2CDD0" w14:textId="3AD9F2DA" w:rsidR="00634F39" w:rsidRPr="002F3A26" w:rsidRDefault="00634F39" w:rsidP="008B59E5">
            <w:pPr>
              <w:pStyle w:val="TableParagraph"/>
              <w:ind w:left="170"/>
              <w:rPr>
                <w:rFonts w:cs="Arial"/>
              </w:rPr>
            </w:pPr>
            <w:r w:rsidRPr="002F3A26">
              <w:t>0.75</w:t>
            </w:r>
            <w:r w:rsidRPr="002F3A26">
              <w:rPr>
                <w:vertAlign w:val="superscript"/>
              </w:rPr>
              <w:t>***</w:t>
            </w:r>
          </w:p>
        </w:tc>
        <w:tc>
          <w:tcPr>
            <w:tcW w:w="1062" w:type="dxa"/>
          </w:tcPr>
          <w:p w14:paraId="578E7CD4" w14:textId="639226CE" w:rsidR="00634F39" w:rsidRPr="002F3A26" w:rsidRDefault="00634F39" w:rsidP="008B59E5">
            <w:pPr>
              <w:pStyle w:val="TableParagraph"/>
              <w:ind w:left="170"/>
              <w:rPr>
                <w:rFonts w:cs="Arial"/>
              </w:rPr>
            </w:pPr>
            <w:r w:rsidRPr="002F3A26">
              <w:t>1.26</w:t>
            </w:r>
            <w:r w:rsidRPr="002F3A26">
              <w:rPr>
                <w:vertAlign w:val="superscript"/>
              </w:rPr>
              <w:t>***</w:t>
            </w:r>
          </w:p>
        </w:tc>
        <w:tc>
          <w:tcPr>
            <w:tcW w:w="1063" w:type="dxa"/>
          </w:tcPr>
          <w:p w14:paraId="1057A9CF" w14:textId="6A846EB3" w:rsidR="00634F39" w:rsidRPr="002F3A26" w:rsidRDefault="00634F39" w:rsidP="008B59E5">
            <w:pPr>
              <w:pStyle w:val="TableParagraph"/>
              <w:ind w:left="170"/>
            </w:pPr>
            <w:r w:rsidRPr="002F3A26">
              <w:t>0.94</w:t>
            </w:r>
          </w:p>
        </w:tc>
        <w:tc>
          <w:tcPr>
            <w:tcW w:w="1062" w:type="dxa"/>
          </w:tcPr>
          <w:p w14:paraId="0E1A270B" w14:textId="58FEC5E6" w:rsidR="00634F39" w:rsidRPr="002F3A26" w:rsidRDefault="00634F39" w:rsidP="008B59E5">
            <w:pPr>
              <w:pStyle w:val="TableParagraph"/>
              <w:ind w:left="170"/>
            </w:pPr>
            <w:r w:rsidRPr="002F3A26">
              <w:t>3.11</w:t>
            </w:r>
            <w:r w:rsidRPr="002F3A26">
              <w:rPr>
                <w:vertAlign w:val="superscript"/>
              </w:rPr>
              <w:t>***</w:t>
            </w:r>
          </w:p>
        </w:tc>
        <w:tc>
          <w:tcPr>
            <w:tcW w:w="1062" w:type="dxa"/>
          </w:tcPr>
          <w:p w14:paraId="1C58975B" w14:textId="78219C71" w:rsidR="00634F39" w:rsidRPr="002F3A26" w:rsidRDefault="00634F39" w:rsidP="008B59E5">
            <w:pPr>
              <w:pStyle w:val="TableParagraph"/>
              <w:ind w:left="170"/>
            </w:pPr>
            <w:r w:rsidRPr="002F3A26">
              <w:t>1.24</w:t>
            </w:r>
            <w:r w:rsidRPr="002F3A26">
              <w:rPr>
                <w:vertAlign w:val="superscript"/>
              </w:rPr>
              <w:t>***</w:t>
            </w:r>
          </w:p>
        </w:tc>
        <w:tc>
          <w:tcPr>
            <w:tcW w:w="1062" w:type="dxa"/>
          </w:tcPr>
          <w:p w14:paraId="0DB3470B" w14:textId="6A427DEA" w:rsidR="00634F39" w:rsidRPr="002F3A26" w:rsidRDefault="00634F39" w:rsidP="008B59E5">
            <w:pPr>
              <w:pStyle w:val="TableParagraph"/>
              <w:ind w:left="170"/>
            </w:pPr>
            <w:r w:rsidRPr="002F3A26">
              <w:t>1.53</w:t>
            </w:r>
            <w:r w:rsidRPr="002F3A26">
              <w:rPr>
                <w:vertAlign w:val="superscript"/>
              </w:rPr>
              <w:t>***</w:t>
            </w:r>
          </w:p>
        </w:tc>
        <w:tc>
          <w:tcPr>
            <w:tcW w:w="1063" w:type="dxa"/>
          </w:tcPr>
          <w:p w14:paraId="31B92153" w14:textId="61FF0449" w:rsidR="00634F39" w:rsidRPr="002F3A26" w:rsidRDefault="00634F39" w:rsidP="008B59E5">
            <w:pPr>
              <w:pStyle w:val="TableParagraph"/>
              <w:ind w:left="170"/>
            </w:pPr>
            <w:r w:rsidRPr="002F3A26">
              <w:t>0.61</w:t>
            </w:r>
            <w:r w:rsidRPr="002F3A26">
              <w:rPr>
                <w:vertAlign w:val="superscript"/>
              </w:rPr>
              <w:t>***</w:t>
            </w:r>
          </w:p>
        </w:tc>
        <w:tc>
          <w:tcPr>
            <w:tcW w:w="1062" w:type="dxa"/>
          </w:tcPr>
          <w:p w14:paraId="0BD92579" w14:textId="6EA0E7A7" w:rsidR="00634F39" w:rsidRPr="002F3A26" w:rsidRDefault="00634F39" w:rsidP="008B59E5">
            <w:pPr>
              <w:pStyle w:val="TableParagraph"/>
              <w:ind w:left="170"/>
            </w:pPr>
            <w:r w:rsidRPr="002F3A26">
              <w:t>1.15</w:t>
            </w:r>
            <w:r w:rsidRPr="002F3A26">
              <w:rPr>
                <w:vertAlign w:val="superscript"/>
              </w:rPr>
              <w:t>**</w:t>
            </w:r>
          </w:p>
        </w:tc>
        <w:tc>
          <w:tcPr>
            <w:tcW w:w="1062" w:type="dxa"/>
          </w:tcPr>
          <w:p w14:paraId="247F5173" w14:textId="1B139D29" w:rsidR="00634F39" w:rsidRPr="002F3A26" w:rsidRDefault="00634F39" w:rsidP="008B59E5">
            <w:pPr>
              <w:pStyle w:val="TableParagraph"/>
              <w:ind w:left="170"/>
            </w:pPr>
            <w:r w:rsidRPr="002F3A26">
              <w:t>1.96</w:t>
            </w:r>
            <w:r w:rsidRPr="002F3A26">
              <w:rPr>
                <w:vertAlign w:val="superscript"/>
              </w:rPr>
              <w:t>***</w:t>
            </w:r>
          </w:p>
        </w:tc>
        <w:tc>
          <w:tcPr>
            <w:tcW w:w="1063" w:type="dxa"/>
          </w:tcPr>
          <w:p w14:paraId="43646EFC" w14:textId="1EF3986F" w:rsidR="00634F39" w:rsidRPr="002F3A26" w:rsidRDefault="00634F39" w:rsidP="008B59E5">
            <w:pPr>
              <w:pStyle w:val="TableParagraph"/>
              <w:ind w:left="170"/>
            </w:pPr>
            <w:r w:rsidRPr="002F3A26">
              <w:t>1.37</w:t>
            </w:r>
            <w:r w:rsidRPr="002F3A26">
              <w:rPr>
                <w:vertAlign w:val="superscript"/>
              </w:rPr>
              <w:t>***</w:t>
            </w:r>
          </w:p>
        </w:tc>
      </w:tr>
      <w:tr w:rsidR="00634F39" w:rsidRPr="002F3A26" w14:paraId="2CADD0C4" w14:textId="77777777" w:rsidTr="00954558">
        <w:trPr>
          <w:trHeight w:val="218"/>
        </w:trPr>
        <w:tc>
          <w:tcPr>
            <w:tcW w:w="2263" w:type="dxa"/>
          </w:tcPr>
          <w:p w14:paraId="21FF6194" w14:textId="486E4D0A" w:rsidR="00634F39" w:rsidRPr="002F3A26" w:rsidRDefault="00634F39" w:rsidP="00634F39">
            <w:pPr>
              <w:pStyle w:val="TableParagraph"/>
              <w:rPr>
                <w:rFonts w:cs="Arial"/>
              </w:rPr>
            </w:pPr>
            <w:r w:rsidRPr="002F3A26">
              <w:t>Indigenous</w:t>
            </w:r>
          </w:p>
        </w:tc>
        <w:tc>
          <w:tcPr>
            <w:tcW w:w="1062" w:type="dxa"/>
          </w:tcPr>
          <w:p w14:paraId="5D4F23A2" w14:textId="5E4A47DB" w:rsidR="00634F39" w:rsidRPr="002F3A26" w:rsidRDefault="00634F39" w:rsidP="008B59E5">
            <w:pPr>
              <w:pStyle w:val="TableParagraph"/>
              <w:ind w:left="170"/>
              <w:rPr>
                <w:rFonts w:cs="Arial"/>
              </w:rPr>
            </w:pPr>
            <w:r w:rsidRPr="002F3A26">
              <w:t>0.55</w:t>
            </w:r>
            <w:r w:rsidRPr="002F3A26">
              <w:rPr>
                <w:vertAlign w:val="superscript"/>
              </w:rPr>
              <w:t>***</w:t>
            </w:r>
          </w:p>
        </w:tc>
        <w:tc>
          <w:tcPr>
            <w:tcW w:w="1062" w:type="dxa"/>
          </w:tcPr>
          <w:p w14:paraId="4016F8E2" w14:textId="1BAC5A65" w:rsidR="00634F39" w:rsidRPr="002F3A26" w:rsidRDefault="00634F39" w:rsidP="008B59E5">
            <w:pPr>
              <w:pStyle w:val="TableParagraph"/>
              <w:ind w:left="170"/>
              <w:rPr>
                <w:rFonts w:cs="Arial"/>
              </w:rPr>
            </w:pPr>
            <w:r w:rsidRPr="002F3A26">
              <w:t>0.47</w:t>
            </w:r>
            <w:r w:rsidRPr="002F3A26">
              <w:rPr>
                <w:vertAlign w:val="superscript"/>
              </w:rPr>
              <w:t>**</w:t>
            </w:r>
          </w:p>
        </w:tc>
        <w:tc>
          <w:tcPr>
            <w:tcW w:w="1062" w:type="dxa"/>
          </w:tcPr>
          <w:p w14:paraId="4C56D9AE" w14:textId="34E0E97C" w:rsidR="00634F39" w:rsidRPr="002F3A26" w:rsidRDefault="00634F39" w:rsidP="008B59E5">
            <w:pPr>
              <w:pStyle w:val="TableParagraph"/>
              <w:ind w:left="170"/>
              <w:rPr>
                <w:rFonts w:cs="Arial"/>
              </w:rPr>
            </w:pPr>
            <w:r w:rsidRPr="002F3A26">
              <w:t>0.58</w:t>
            </w:r>
            <w:r w:rsidRPr="002F3A26">
              <w:rPr>
                <w:vertAlign w:val="superscript"/>
              </w:rPr>
              <w:t>***</w:t>
            </w:r>
          </w:p>
        </w:tc>
        <w:tc>
          <w:tcPr>
            <w:tcW w:w="1063" w:type="dxa"/>
          </w:tcPr>
          <w:p w14:paraId="3AE9D169" w14:textId="0492DF48" w:rsidR="00634F39" w:rsidRPr="002F3A26" w:rsidRDefault="00634F39" w:rsidP="008B59E5">
            <w:pPr>
              <w:pStyle w:val="TableParagraph"/>
              <w:ind w:left="170"/>
            </w:pPr>
            <w:r w:rsidRPr="002F3A26">
              <w:t>0.66</w:t>
            </w:r>
          </w:p>
        </w:tc>
        <w:tc>
          <w:tcPr>
            <w:tcW w:w="1062" w:type="dxa"/>
          </w:tcPr>
          <w:p w14:paraId="371383E2" w14:textId="582F4181" w:rsidR="00634F39" w:rsidRPr="002F3A26" w:rsidRDefault="00634F39" w:rsidP="008B59E5">
            <w:pPr>
              <w:pStyle w:val="TableParagraph"/>
              <w:ind w:left="170"/>
            </w:pPr>
            <w:r w:rsidRPr="002F3A26">
              <w:t>0.48</w:t>
            </w:r>
          </w:p>
        </w:tc>
        <w:tc>
          <w:tcPr>
            <w:tcW w:w="1062" w:type="dxa"/>
          </w:tcPr>
          <w:p w14:paraId="02B74DAC" w14:textId="5B0012DB" w:rsidR="00634F39" w:rsidRPr="002F3A26" w:rsidRDefault="00634F39" w:rsidP="008B59E5">
            <w:pPr>
              <w:pStyle w:val="TableParagraph"/>
              <w:ind w:left="170"/>
            </w:pPr>
            <w:r w:rsidRPr="002F3A26">
              <w:t>0.59</w:t>
            </w:r>
            <w:r w:rsidRPr="002F3A26">
              <w:rPr>
                <w:vertAlign w:val="superscript"/>
              </w:rPr>
              <w:t>***</w:t>
            </w:r>
          </w:p>
        </w:tc>
        <w:tc>
          <w:tcPr>
            <w:tcW w:w="1062" w:type="dxa"/>
          </w:tcPr>
          <w:p w14:paraId="4D2B676C" w14:textId="321C8854" w:rsidR="00634F39" w:rsidRPr="002F3A26" w:rsidRDefault="00634F39" w:rsidP="008B59E5">
            <w:pPr>
              <w:pStyle w:val="TableParagraph"/>
              <w:ind w:left="170"/>
            </w:pPr>
            <w:r w:rsidRPr="002F3A26">
              <w:t>1.05</w:t>
            </w:r>
          </w:p>
        </w:tc>
        <w:tc>
          <w:tcPr>
            <w:tcW w:w="1063" w:type="dxa"/>
          </w:tcPr>
          <w:p w14:paraId="152B6CF6" w14:textId="1A0EF503" w:rsidR="00634F39" w:rsidRPr="002F3A26" w:rsidRDefault="00634F39" w:rsidP="008B59E5">
            <w:pPr>
              <w:pStyle w:val="TableParagraph"/>
              <w:ind w:left="170"/>
            </w:pPr>
            <w:r w:rsidRPr="002F3A26">
              <w:t>0.39</w:t>
            </w:r>
            <w:r w:rsidRPr="002F3A26">
              <w:rPr>
                <w:vertAlign w:val="superscript"/>
              </w:rPr>
              <w:t>***</w:t>
            </w:r>
          </w:p>
        </w:tc>
        <w:tc>
          <w:tcPr>
            <w:tcW w:w="1062" w:type="dxa"/>
          </w:tcPr>
          <w:p w14:paraId="1A22E37A" w14:textId="3CFE5B3D" w:rsidR="00634F39" w:rsidRPr="002F3A26" w:rsidRDefault="00634F39" w:rsidP="008B59E5">
            <w:pPr>
              <w:pStyle w:val="TableParagraph"/>
              <w:ind w:left="170"/>
            </w:pPr>
            <w:r w:rsidRPr="002F3A26">
              <w:t>1.17</w:t>
            </w:r>
          </w:p>
        </w:tc>
        <w:tc>
          <w:tcPr>
            <w:tcW w:w="1062" w:type="dxa"/>
          </w:tcPr>
          <w:p w14:paraId="477D9124" w14:textId="47F8C6CB" w:rsidR="00634F39" w:rsidRPr="002F3A26" w:rsidRDefault="00634F39" w:rsidP="008B59E5">
            <w:pPr>
              <w:pStyle w:val="TableParagraph"/>
              <w:ind w:left="170"/>
            </w:pPr>
            <w:r w:rsidRPr="002F3A26">
              <w:t>1.27</w:t>
            </w:r>
          </w:p>
        </w:tc>
        <w:tc>
          <w:tcPr>
            <w:tcW w:w="1063" w:type="dxa"/>
          </w:tcPr>
          <w:p w14:paraId="3735F968" w14:textId="4B41E2AF" w:rsidR="00634F39" w:rsidRPr="002F3A26" w:rsidRDefault="00634F39" w:rsidP="008B59E5">
            <w:pPr>
              <w:pStyle w:val="TableParagraph"/>
              <w:ind w:left="170"/>
            </w:pPr>
            <w:r w:rsidRPr="002F3A26">
              <w:t>1.05</w:t>
            </w:r>
          </w:p>
        </w:tc>
      </w:tr>
      <w:tr w:rsidR="00634F39" w:rsidRPr="002F3A26" w14:paraId="3C81201E" w14:textId="77777777" w:rsidTr="00954558">
        <w:trPr>
          <w:trHeight w:val="218"/>
        </w:trPr>
        <w:tc>
          <w:tcPr>
            <w:tcW w:w="2263" w:type="dxa"/>
          </w:tcPr>
          <w:p w14:paraId="232EBBB5" w14:textId="53436381" w:rsidR="00634F39" w:rsidRPr="002F3A26" w:rsidRDefault="00634F39" w:rsidP="00634F39">
            <w:pPr>
              <w:pStyle w:val="TableParagraph"/>
              <w:rPr>
                <w:rFonts w:cs="Arial"/>
              </w:rPr>
            </w:pPr>
            <w:r w:rsidRPr="002F3A26">
              <w:t>NESB</w:t>
            </w:r>
          </w:p>
        </w:tc>
        <w:tc>
          <w:tcPr>
            <w:tcW w:w="1062" w:type="dxa"/>
          </w:tcPr>
          <w:p w14:paraId="52E3D3B0" w14:textId="1D02D533" w:rsidR="00634F39" w:rsidRPr="002F3A26" w:rsidRDefault="00634F39" w:rsidP="008B59E5">
            <w:pPr>
              <w:pStyle w:val="TableParagraph"/>
              <w:ind w:left="170"/>
              <w:rPr>
                <w:rFonts w:cs="Arial"/>
              </w:rPr>
            </w:pPr>
            <w:r w:rsidRPr="002F3A26">
              <w:t>2.16</w:t>
            </w:r>
            <w:r w:rsidRPr="002F3A26">
              <w:rPr>
                <w:vertAlign w:val="superscript"/>
              </w:rPr>
              <w:t>***</w:t>
            </w:r>
          </w:p>
        </w:tc>
        <w:tc>
          <w:tcPr>
            <w:tcW w:w="1062" w:type="dxa"/>
          </w:tcPr>
          <w:p w14:paraId="093CE4FA" w14:textId="43B58219" w:rsidR="00634F39" w:rsidRPr="002F3A26" w:rsidRDefault="00634F39" w:rsidP="008B59E5">
            <w:pPr>
              <w:pStyle w:val="TableParagraph"/>
              <w:ind w:left="170"/>
              <w:rPr>
                <w:rFonts w:cs="Arial"/>
              </w:rPr>
            </w:pPr>
            <w:r w:rsidRPr="002F3A26">
              <w:t>1.84</w:t>
            </w:r>
            <w:r w:rsidRPr="002F3A26">
              <w:rPr>
                <w:vertAlign w:val="superscript"/>
              </w:rPr>
              <w:t>***</w:t>
            </w:r>
          </w:p>
        </w:tc>
        <w:tc>
          <w:tcPr>
            <w:tcW w:w="1062" w:type="dxa"/>
          </w:tcPr>
          <w:p w14:paraId="0028FCBA" w14:textId="1121A3F1" w:rsidR="00634F39" w:rsidRPr="002F3A26" w:rsidRDefault="00634F39" w:rsidP="008B59E5">
            <w:pPr>
              <w:pStyle w:val="TableParagraph"/>
              <w:ind w:left="170"/>
              <w:rPr>
                <w:rFonts w:cs="Arial"/>
              </w:rPr>
            </w:pPr>
            <w:r w:rsidRPr="002F3A26">
              <w:t>2.35</w:t>
            </w:r>
            <w:r w:rsidRPr="002F3A26">
              <w:rPr>
                <w:vertAlign w:val="superscript"/>
              </w:rPr>
              <w:t>***</w:t>
            </w:r>
          </w:p>
        </w:tc>
        <w:tc>
          <w:tcPr>
            <w:tcW w:w="1063" w:type="dxa"/>
          </w:tcPr>
          <w:p w14:paraId="3F741DFF" w14:textId="2175BBDF" w:rsidR="00634F39" w:rsidRPr="002F3A26" w:rsidRDefault="00634F39" w:rsidP="008B59E5">
            <w:pPr>
              <w:pStyle w:val="TableParagraph"/>
              <w:ind w:left="170"/>
            </w:pPr>
            <w:r w:rsidRPr="002F3A26">
              <w:t>1.99</w:t>
            </w:r>
            <w:r w:rsidRPr="002F3A26">
              <w:rPr>
                <w:vertAlign w:val="superscript"/>
              </w:rPr>
              <w:t>***</w:t>
            </w:r>
          </w:p>
        </w:tc>
        <w:tc>
          <w:tcPr>
            <w:tcW w:w="1062" w:type="dxa"/>
          </w:tcPr>
          <w:p w14:paraId="64AFA2D7" w14:textId="0B17EBF6" w:rsidR="00634F39" w:rsidRPr="002F3A26" w:rsidRDefault="00634F39" w:rsidP="008B59E5">
            <w:pPr>
              <w:pStyle w:val="TableParagraph"/>
              <w:ind w:left="170"/>
            </w:pPr>
            <w:r w:rsidRPr="002F3A26">
              <w:t>0.67</w:t>
            </w:r>
          </w:p>
        </w:tc>
        <w:tc>
          <w:tcPr>
            <w:tcW w:w="1062" w:type="dxa"/>
          </w:tcPr>
          <w:p w14:paraId="41070D37" w14:textId="0C7E7001" w:rsidR="00634F39" w:rsidRPr="002F3A26" w:rsidRDefault="00634F39" w:rsidP="008B59E5">
            <w:pPr>
              <w:pStyle w:val="TableParagraph"/>
              <w:ind w:left="170"/>
            </w:pPr>
            <w:r w:rsidRPr="002F3A26">
              <w:t>1.66</w:t>
            </w:r>
            <w:r w:rsidRPr="002F3A26">
              <w:rPr>
                <w:vertAlign w:val="superscript"/>
              </w:rPr>
              <w:t>***</w:t>
            </w:r>
          </w:p>
        </w:tc>
        <w:tc>
          <w:tcPr>
            <w:tcW w:w="1062" w:type="dxa"/>
          </w:tcPr>
          <w:p w14:paraId="4692BB2A" w14:textId="0F8808D5" w:rsidR="00634F39" w:rsidRPr="002F3A26" w:rsidRDefault="00634F39" w:rsidP="008B59E5">
            <w:pPr>
              <w:pStyle w:val="TableParagraph"/>
              <w:ind w:left="170"/>
            </w:pPr>
            <w:r w:rsidRPr="002F3A26">
              <w:t>1.03</w:t>
            </w:r>
          </w:p>
        </w:tc>
        <w:tc>
          <w:tcPr>
            <w:tcW w:w="1063" w:type="dxa"/>
          </w:tcPr>
          <w:p w14:paraId="06231F57" w14:textId="31D24E21" w:rsidR="00634F39" w:rsidRPr="002F3A26" w:rsidRDefault="00634F39" w:rsidP="008B59E5">
            <w:pPr>
              <w:pStyle w:val="TableParagraph"/>
              <w:ind w:left="170"/>
            </w:pPr>
            <w:r w:rsidRPr="002F3A26">
              <w:t>1.84</w:t>
            </w:r>
            <w:r w:rsidRPr="002F3A26">
              <w:rPr>
                <w:vertAlign w:val="superscript"/>
              </w:rPr>
              <w:t>***</w:t>
            </w:r>
          </w:p>
        </w:tc>
        <w:tc>
          <w:tcPr>
            <w:tcW w:w="1062" w:type="dxa"/>
          </w:tcPr>
          <w:p w14:paraId="261ED51B" w14:textId="5A8CE781" w:rsidR="00634F39" w:rsidRPr="002F3A26" w:rsidRDefault="00634F39" w:rsidP="008B59E5">
            <w:pPr>
              <w:pStyle w:val="TableParagraph"/>
              <w:ind w:left="170"/>
            </w:pPr>
            <w:r w:rsidRPr="002F3A26">
              <w:t>0.76</w:t>
            </w:r>
            <w:r w:rsidRPr="002F3A26">
              <w:rPr>
                <w:vertAlign w:val="superscript"/>
              </w:rPr>
              <w:t>**</w:t>
            </w:r>
          </w:p>
        </w:tc>
        <w:tc>
          <w:tcPr>
            <w:tcW w:w="1062" w:type="dxa"/>
          </w:tcPr>
          <w:p w14:paraId="07E22682" w14:textId="36E40887" w:rsidR="00634F39" w:rsidRPr="002F3A26" w:rsidRDefault="00634F39" w:rsidP="008B59E5">
            <w:pPr>
              <w:pStyle w:val="TableParagraph"/>
              <w:ind w:left="170"/>
            </w:pPr>
            <w:r w:rsidRPr="002F3A26">
              <w:t>1.77</w:t>
            </w:r>
            <w:r w:rsidRPr="002F3A26">
              <w:rPr>
                <w:vertAlign w:val="superscript"/>
              </w:rPr>
              <w:t>***</w:t>
            </w:r>
          </w:p>
        </w:tc>
        <w:tc>
          <w:tcPr>
            <w:tcW w:w="1063" w:type="dxa"/>
          </w:tcPr>
          <w:p w14:paraId="09EBF776" w14:textId="46E16105" w:rsidR="00634F39" w:rsidRPr="002F3A26" w:rsidRDefault="00634F39" w:rsidP="008B59E5">
            <w:pPr>
              <w:pStyle w:val="TableParagraph"/>
              <w:ind w:left="170"/>
            </w:pPr>
            <w:r w:rsidRPr="002F3A26">
              <w:t>1.44</w:t>
            </w:r>
            <w:r w:rsidRPr="002F3A26">
              <w:rPr>
                <w:vertAlign w:val="superscript"/>
              </w:rPr>
              <w:t>**</w:t>
            </w:r>
          </w:p>
        </w:tc>
      </w:tr>
      <w:tr w:rsidR="00634F39" w:rsidRPr="002F3A26" w14:paraId="44E2B81D" w14:textId="77777777" w:rsidTr="00954558">
        <w:trPr>
          <w:trHeight w:val="218"/>
        </w:trPr>
        <w:tc>
          <w:tcPr>
            <w:tcW w:w="2263" w:type="dxa"/>
          </w:tcPr>
          <w:p w14:paraId="40B9E5DB" w14:textId="3B55A8EC" w:rsidR="00634F39" w:rsidRPr="002F3A26" w:rsidRDefault="00634F39" w:rsidP="00634F39">
            <w:pPr>
              <w:pStyle w:val="TableParagraph"/>
              <w:rPr>
                <w:rFonts w:cs="Arial"/>
              </w:rPr>
            </w:pPr>
            <w:r w:rsidRPr="002F3A26">
              <w:t>Women</w:t>
            </w:r>
          </w:p>
        </w:tc>
        <w:tc>
          <w:tcPr>
            <w:tcW w:w="1062" w:type="dxa"/>
          </w:tcPr>
          <w:p w14:paraId="36B3DCEC" w14:textId="5DF1819E" w:rsidR="00634F39" w:rsidRPr="002F3A26" w:rsidRDefault="00634F39" w:rsidP="008B59E5">
            <w:pPr>
              <w:pStyle w:val="TableParagraph"/>
              <w:ind w:left="170"/>
              <w:rPr>
                <w:rFonts w:cs="Arial"/>
              </w:rPr>
            </w:pPr>
            <w:r w:rsidRPr="002F3A26">
              <w:t>0.55</w:t>
            </w:r>
            <w:r w:rsidRPr="002F3A26">
              <w:rPr>
                <w:vertAlign w:val="superscript"/>
              </w:rPr>
              <w:t>***</w:t>
            </w:r>
          </w:p>
        </w:tc>
        <w:tc>
          <w:tcPr>
            <w:tcW w:w="1062" w:type="dxa"/>
          </w:tcPr>
          <w:p w14:paraId="2D2F25D3" w14:textId="31A7C52D" w:rsidR="00634F39" w:rsidRPr="002F3A26" w:rsidRDefault="00634F39" w:rsidP="008B59E5">
            <w:pPr>
              <w:pStyle w:val="TableParagraph"/>
              <w:ind w:left="170"/>
              <w:rPr>
                <w:rFonts w:cs="Arial"/>
              </w:rPr>
            </w:pPr>
            <w:r w:rsidRPr="002F3A26">
              <w:t>0.12</w:t>
            </w:r>
            <w:r w:rsidRPr="002F3A26">
              <w:rPr>
                <w:vertAlign w:val="superscript"/>
              </w:rPr>
              <w:t>***</w:t>
            </w:r>
          </w:p>
        </w:tc>
        <w:tc>
          <w:tcPr>
            <w:tcW w:w="1062" w:type="dxa"/>
          </w:tcPr>
          <w:p w14:paraId="04CACC33" w14:textId="2E9F2018" w:rsidR="00634F39" w:rsidRPr="002F3A26" w:rsidRDefault="00634F39" w:rsidP="008B59E5">
            <w:pPr>
              <w:pStyle w:val="TableParagraph"/>
              <w:ind w:left="170"/>
              <w:rPr>
                <w:rFonts w:cs="Arial"/>
              </w:rPr>
            </w:pPr>
            <w:r w:rsidRPr="002F3A26">
              <w:t>0.14</w:t>
            </w:r>
            <w:r w:rsidRPr="002F3A26">
              <w:rPr>
                <w:vertAlign w:val="superscript"/>
              </w:rPr>
              <w:t>***</w:t>
            </w:r>
          </w:p>
        </w:tc>
        <w:tc>
          <w:tcPr>
            <w:tcW w:w="1063" w:type="dxa"/>
          </w:tcPr>
          <w:p w14:paraId="73086B02" w14:textId="52BAF61C" w:rsidR="00634F39" w:rsidRPr="002F3A26" w:rsidRDefault="00634F39" w:rsidP="008B59E5">
            <w:pPr>
              <w:pStyle w:val="TableParagraph"/>
              <w:ind w:left="170"/>
            </w:pPr>
            <w:r w:rsidRPr="002F3A26">
              <w:t>0.50</w:t>
            </w:r>
            <w:r w:rsidRPr="002F3A26">
              <w:rPr>
                <w:vertAlign w:val="superscript"/>
              </w:rPr>
              <w:t>***</w:t>
            </w:r>
          </w:p>
        </w:tc>
        <w:tc>
          <w:tcPr>
            <w:tcW w:w="1062" w:type="dxa"/>
          </w:tcPr>
          <w:p w14:paraId="24FE2B8E" w14:textId="7E198AA3" w:rsidR="00634F39" w:rsidRPr="002F3A26" w:rsidRDefault="00634F39" w:rsidP="008B59E5">
            <w:pPr>
              <w:pStyle w:val="TableParagraph"/>
              <w:ind w:left="170"/>
            </w:pPr>
            <w:r w:rsidRPr="002F3A26">
              <w:t>0.83</w:t>
            </w:r>
            <w:r w:rsidRPr="002F3A26">
              <w:rPr>
                <w:vertAlign w:val="superscript"/>
              </w:rPr>
              <w:t>*</w:t>
            </w:r>
          </w:p>
        </w:tc>
        <w:tc>
          <w:tcPr>
            <w:tcW w:w="1062" w:type="dxa"/>
          </w:tcPr>
          <w:p w14:paraId="45D9BBC8" w14:textId="5A093FA6" w:rsidR="00634F39" w:rsidRPr="002F3A26" w:rsidRDefault="00634F39" w:rsidP="008B59E5">
            <w:pPr>
              <w:pStyle w:val="TableParagraph"/>
              <w:ind w:left="170"/>
            </w:pPr>
            <w:r w:rsidRPr="002F3A26">
              <w:t>1.43</w:t>
            </w:r>
            <w:r w:rsidRPr="002F3A26">
              <w:rPr>
                <w:vertAlign w:val="superscript"/>
              </w:rPr>
              <w:t>***</w:t>
            </w:r>
          </w:p>
        </w:tc>
        <w:tc>
          <w:tcPr>
            <w:tcW w:w="1062" w:type="dxa"/>
          </w:tcPr>
          <w:p w14:paraId="4D05AF4A" w14:textId="1A6CE07B" w:rsidR="00634F39" w:rsidRPr="002F3A26" w:rsidRDefault="00634F39" w:rsidP="008B59E5">
            <w:pPr>
              <w:pStyle w:val="TableParagraph"/>
              <w:ind w:left="170"/>
            </w:pPr>
            <w:r w:rsidRPr="002F3A26">
              <w:t>1.49</w:t>
            </w:r>
            <w:r w:rsidRPr="002F3A26">
              <w:rPr>
                <w:vertAlign w:val="superscript"/>
              </w:rPr>
              <w:t>***</w:t>
            </w:r>
          </w:p>
        </w:tc>
        <w:tc>
          <w:tcPr>
            <w:tcW w:w="1063" w:type="dxa"/>
          </w:tcPr>
          <w:p w14:paraId="6E22763B" w14:textId="597A6054" w:rsidR="00634F39" w:rsidRPr="002F3A26" w:rsidRDefault="00634F39" w:rsidP="008B59E5">
            <w:pPr>
              <w:pStyle w:val="TableParagraph"/>
              <w:ind w:left="170"/>
            </w:pPr>
            <w:r w:rsidRPr="002F3A26">
              <w:t>0.41</w:t>
            </w:r>
            <w:r w:rsidRPr="002F3A26">
              <w:rPr>
                <w:vertAlign w:val="superscript"/>
              </w:rPr>
              <w:t>***</w:t>
            </w:r>
          </w:p>
        </w:tc>
        <w:tc>
          <w:tcPr>
            <w:tcW w:w="1062" w:type="dxa"/>
          </w:tcPr>
          <w:p w14:paraId="24B219CF" w14:textId="5EC40D10" w:rsidR="00634F39" w:rsidRPr="002F3A26" w:rsidRDefault="00634F39" w:rsidP="008B59E5">
            <w:pPr>
              <w:pStyle w:val="TableParagraph"/>
              <w:ind w:left="170"/>
            </w:pPr>
            <w:r w:rsidRPr="002F3A26">
              <w:t>1.12</w:t>
            </w:r>
            <w:r w:rsidRPr="002F3A26">
              <w:rPr>
                <w:vertAlign w:val="superscript"/>
              </w:rPr>
              <w:t>***</w:t>
            </w:r>
          </w:p>
        </w:tc>
        <w:tc>
          <w:tcPr>
            <w:tcW w:w="1062" w:type="dxa"/>
          </w:tcPr>
          <w:p w14:paraId="5F94F1B7" w14:textId="0DD87617" w:rsidR="00634F39" w:rsidRPr="002F3A26" w:rsidRDefault="00634F39" w:rsidP="008B59E5">
            <w:pPr>
              <w:pStyle w:val="TableParagraph"/>
              <w:ind w:left="170"/>
            </w:pPr>
            <w:r w:rsidRPr="002F3A26">
              <w:t>0.64</w:t>
            </w:r>
            <w:r w:rsidRPr="002F3A26">
              <w:rPr>
                <w:vertAlign w:val="superscript"/>
              </w:rPr>
              <w:t>***</w:t>
            </w:r>
          </w:p>
        </w:tc>
        <w:tc>
          <w:tcPr>
            <w:tcW w:w="1063" w:type="dxa"/>
          </w:tcPr>
          <w:p w14:paraId="7009D950" w14:textId="0EA62807" w:rsidR="00634F39" w:rsidRPr="002F3A26" w:rsidRDefault="00634F39" w:rsidP="008B59E5">
            <w:pPr>
              <w:pStyle w:val="TableParagraph"/>
              <w:ind w:left="170"/>
            </w:pPr>
            <w:r w:rsidRPr="002F3A26">
              <w:t>0.93</w:t>
            </w:r>
          </w:p>
        </w:tc>
      </w:tr>
      <w:tr w:rsidR="00634F39" w:rsidRPr="002F3A26" w14:paraId="262084F2" w14:textId="77777777" w:rsidTr="00954558">
        <w:trPr>
          <w:trHeight w:val="218"/>
        </w:trPr>
        <w:tc>
          <w:tcPr>
            <w:tcW w:w="2263" w:type="dxa"/>
          </w:tcPr>
          <w:p w14:paraId="48BE1982" w14:textId="4F9DF620" w:rsidR="00634F39" w:rsidRPr="002F3A26" w:rsidRDefault="00634F39" w:rsidP="00634F39">
            <w:pPr>
              <w:pStyle w:val="TableParagraph"/>
              <w:rPr>
                <w:rFonts w:cs="Arial"/>
              </w:rPr>
            </w:pPr>
            <w:r w:rsidRPr="002F3A26">
              <w:t>Disability</w:t>
            </w:r>
          </w:p>
        </w:tc>
        <w:tc>
          <w:tcPr>
            <w:tcW w:w="1062" w:type="dxa"/>
          </w:tcPr>
          <w:p w14:paraId="3FE57C6C" w14:textId="7D86D99D" w:rsidR="00634F39" w:rsidRPr="002F3A26" w:rsidRDefault="00634F39" w:rsidP="008B59E5">
            <w:pPr>
              <w:pStyle w:val="TableParagraph"/>
              <w:ind w:left="170"/>
              <w:rPr>
                <w:rFonts w:cs="Arial"/>
              </w:rPr>
            </w:pPr>
            <w:r w:rsidRPr="002F3A26">
              <w:t>0.87</w:t>
            </w:r>
          </w:p>
        </w:tc>
        <w:tc>
          <w:tcPr>
            <w:tcW w:w="1062" w:type="dxa"/>
          </w:tcPr>
          <w:p w14:paraId="61E32029" w14:textId="68073B7E" w:rsidR="00634F39" w:rsidRPr="002F3A26" w:rsidRDefault="00634F39" w:rsidP="008B59E5">
            <w:pPr>
              <w:pStyle w:val="TableParagraph"/>
              <w:ind w:left="170"/>
              <w:rPr>
                <w:rFonts w:cs="Arial"/>
              </w:rPr>
            </w:pPr>
            <w:r w:rsidRPr="002F3A26">
              <w:t>0.86</w:t>
            </w:r>
          </w:p>
        </w:tc>
        <w:tc>
          <w:tcPr>
            <w:tcW w:w="1062" w:type="dxa"/>
          </w:tcPr>
          <w:p w14:paraId="6155B86F" w14:textId="38D40ABA" w:rsidR="00634F39" w:rsidRPr="002F3A26" w:rsidRDefault="00634F39" w:rsidP="008B59E5">
            <w:pPr>
              <w:pStyle w:val="TableParagraph"/>
              <w:ind w:left="170"/>
              <w:rPr>
                <w:rFonts w:cs="Arial"/>
              </w:rPr>
            </w:pPr>
            <w:r w:rsidRPr="002F3A26">
              <w:t>0.68</w:t>
            </w:r>
            <w:r w:rsidRPr="002F3A26">
              <w:rPr>
                <w:vertAlign w:val="superscript"/>
              </w:rPr>
              <w:t>*</w:t>
            </w:r>
          </w:p>
        </w:tc>
        <w:tc>
          <w:tcPr>
            <w:tcW w:w="1063" w:type="dxa"/>
          </w:tcPr>
          <w:p w14:paraId="3091579C" w14:textId="2504D3C4" w:rsidR="00634F39" w:rsidRPr="002F3A26" w:rsidRDefault="00634F39" w:rsidP="008B59E5">
            <w:pPr>
              <w:pStyle w:val="TableParagraph"/>
              <w:ind w:left="170"/>
            </w:pPr>
            <w:r w:rsidRPr="002F3A26">
              <w:t>0.86</w:t>
            </w:r>
          </w:p>
        </w:tc>
        <w:tc>
          <w:tcPr>
            <w:tcW w:w="1062" w:type="dxa"/>
          </w:tcPr>
          <w:p w14:paraId="52DADAFB" w14:textId="485DFAD8" w:rsidR="00634F39" w:rsidRPr="002F3A26" w:rsidRDefault="00634F39" w:rsidP="008B59E5">
            <w:pPr>
              <w:pStyle w:val="TableParagraph"/>
              <w:ind w:left="170"/>
            </w:pPr>
            <w:r w:rsidRPr="002F3A26">
              <w:t>0.85</w:t>
            </w:r>
          </w:p>
        </w:tc>
        <w:tc>
          <w:tcPr>
            <w:tcW w:w="1062" w:type="dxa"/>
          </w:tcPr>
          <w:p w14:paraId="310FAAD2" w14:textId="6B61FCA9" w:rsidR="00634F39" w:rsidRPr="002F3A26" w:rsidRDefault="00634F39" w:rsidP="008B59E5">
            <w:pPr>
              <w:pStyle w:val="TableParagraph"/>
              <w:ind w:left="170"/>
            </w:pPr>
            <w:r w:rsidRPr="002F3A26">
              <w:t>0.60</w:t>
            </w:r>
            <w:r w:rsidRPr="002F3A26">
              <w:rPr>
                <w:vertAlign w:val="superscript"/>
              </w:rPr>
              <w:t>**</w:t>
            </w:r>
          </w:p>
        </w:tc>
        <w:tc>
          <w:tcPr>
            <w:tcW w:w="1062" w:type="dxa"/>
          </w:tcPr>
          <w:p w14:paraId="411919BF" w14:textId="51125CB6" w:rsidR="00634F39" w:rsidRPr="002F3A26" w:rsidRDefault="00634F39" w:rsidP="008B59E5">
            <w:pPr>
              <w:pStyle w:val="TableParagraph"/>
              <w:ind w:left="170"/>
            </w:pPr>
            <w:r w:rsidRPr="002F3A26">
              <w:t>0.87</w:t>
            </w:r>
          </w:p>
        </w:tc>
        <w:tc>
          <w:tcPr>
            <w:tcW w:w="1063" w:type="dxa"/>
          </w:tcPr>
          <w:p w14:paraId="7AFD9DF5" w14:textId="4730A21D" w:rsidR="00634F39" w:rsidRPr="002F3A26" w:rsidRDefault="00634F39" w:rsidP="008B59E5">
            <w:pPr>
              <w:pStyle w:val="TableParagraph"/>
              <w:ind w:left="170"/>
            </w:pPr>
            <w:r w:rsidRPr="002F3A26">
              <w:t>0.49</w:t>
            </w:r>
            <w:r w:rsidRPr="002F3A26">
              <w:rPr>
                <w:vertAlign w:val="superscript"/>
              </w:rPr>
              <w:t>***</w:t>
            </w:r>
          </w:p>
        </w:tc>
        <w:tc>
          <w:tcPr>
            <w:tcW w:w="1062" w:type="dxa"/>
          </w:tcPr>
          <w:p w14:paraId="4DF2E774" w14:textId="3137AFCD" w:rsidR="00634F39" w:rsidRPr="002F3A26" w:rsidRDefault="00634F39" w:rsidP="008B59E5">
            <w:pPr>
              <w:pStyle w:val="TableParagraph"/>
              <w:ind w:left="170"/>
            </w:pPr>
            <w:r w:rsidRPr="002F3A26">
              <w:t>0.99</w:t>
            </w:r>
          </w:p>
        </w:tc>
        <w:tc>
          <w:tcPr>
            <w:tcW w:w="1062" w:type="dxa"/>
          </w:tcPr>
          <w:p w14:paraId="7AA61D63" w14:textId="3F654F33" w:rsidR="00634F39" w:rsidRPr="002F3A26" w:rsidRDefault="00634F39" w:rsidP="008B59E5">
            <w:pPr>
              <w:pStyle w:val="TableParagraph"/>
              <w:ind w:left="170"/>
            </w:pPr>
            <w:r w:rsidRPr="002F3A26">
              <w:t>0.84</w:t>
            </w:r>
          </w:p>
        </w:tc>
        <w:tc>
          <w:tcPr>
            <w:tcW w:w="1063" w:type="dxa"/>
          </w:tcPr>
          <w:p w14:paraId="51C24D69" w14:textId="7BBD7BBE" w:rsidR="00634F39" w:rsidRPr="002F3A26" w:rsidRDefault="00634F39" w:rsidP="008B59E5">
            <w:pPr>
              <w:pStyle w:val="TableParagraph"/>
              <w:ind w:left="170"/>
            </w:pPr>
            <w:r w:rsidRPr="002F3A26">
              <w:t>0.58</w:t>
            </w:r>
          </w:p>
        </w:tc>
      </w:tr>
      <w:tr w:rsidR="00634F39" w:rsidRPr="002F3A26" w14:paraId="42F7C54B" w14:textId="77777777" w:rsidTr="00954558">
        <w:trPr>
          <w:trHeight w:val="218"/>
        </w:trPr>
        <w:tc>
          <w:tcPr>
            <w:tcW w:w="2263" w:type="dxa"/>
          </w:tcPr>
          <w:p w14:paraId="4898FC8C" w14:textId="5E296D78" w:rsidR="00634F39" w:rsidRPr="002F3A26" w:rsidRDefault="00634F39" w:rsidP="00634F39">
            <w:pPr>
              <w:pStyle w:val="TableParagraph"/>
              <w:rPr>
                <w:rFonts w:cs="Arial"/>
              </w:rPr>
            </w:pPr>
            <w:r w:rsidRPr="002F3A26">
              <w:t>Father: not manager/professional</w:t>
            </w:r>
          </w:p>
        </w:tc>
        <w:tc>
          <w:tcPr>
            <w:tcW w:w="1062" w:type="dxa"/>
          </w:tcPr>
          <w:p w14:paraId="301D6F63" w14:textId="738B5567" w:rsidR="00634F39" w:rsidRPr="002F3A26" w:rsidRDefault="00634F39" w:rsidP="008B59E5">
            <w:pPr>
              <w:pStyle w:val="TableParagraph"/>
              <w:ind w:left="170"/>
              <w:rPr>
                <w:rFonts w:cs="Arial"/>
              </w:rPr>
            </w:pPr>
            <w:r w:rsidRPr="002F3A26">
              <w:t>1.03</w:t>
            </w:r>
          </w:p>
        </w:tc>
        <w:tc>
          <w:tcPr>
            <w:tcW w:w="1062" w:type="dxa"/>
          </w:tcPr>
          <w:p w14:paraId="7446EB59" w14:textId="29DE0631" w:rsidR="00634F39" w:rsidRPr="002F3A26" w:rsidRDefault="00634F39" w:rsidP="008B59E5">
            <w:pPr>
              <w:pStyle w:val="TableParagraph"/>
              <w:ind w:left="170"/>
              <w:rPr>
                <w:rFonts w:cs="Arial"/>
              </w:rPr>
            </w:pPr>
            <w:r w:rsidRPr="002F3A26">
              <w:t>1.17</w:t>
            </w:r>
            <w:r w:rsidRPr="002F3A26">
              <w:rPr>
                <w:vertAlign w:val="superscript"/>
              </w:rPr>
              <w:t>**</w:t>
            </w:r>
          </w:p>
        </w:tc>
        <w:tc>
          <w:tcPr>
            <w:tcW w:w="1062" w:type="dxa"/>
          </w:tcPr>
          <w:p w14:paraId="5FBFB2FC" w14:textId="318DEA44" w:rsidR="00634F39" w:rsidRPr="002F3A26" w:rsidRDefault="00634F39" w:rsidP="008B59E5">
            <w:pPr>
              <w:pStyle w:val="TableParagraph"/>
              <w:ind w:left="170"/>
              <w:rPr>
                <w:rFonts w:cs="Arial"/>
              </w:rPr>
            </w:pPr>
            <w:r w:rsidRPr="002F3A26">
              <w:t>1.08</w:t>
            </w:r>
            <w:r w:rsidRPr="002F3A26">
              <w:rPr>
                <w:vertAlign w:val="superscript"/>
              </w:rPr>
              <w:t>*</w:t>
            </w:r>
          </w:p>
        </w:tc>
        <w:tc>
          <w:tcPr>
            <w:tcW w:w="1063" w:type="dxa"/>
          </w:tcPr>
          <w:p w14:paraId="58425EEA" w14:textId="1DCCD47A" w:rsidR="00634F39" w:rsidRPr="002F3A26" w:rsidRDefault="00634F39" w:rsidP="008B59E5">
            <w:pPr>
              <w:pStyle w:val="TableParagraph"/>
              <w:ind w:left="170"/>
            </w:pPr>
            <w:r w:rsidRPr="002F3A26">
              <w:t>0.97</w:t>
            </w:r>
          </w:p>
        </w:tc>
        <w:tc>
          <w:tcPr>
            <w:tcW w:w="1062" w:type="dxa"/>
          </w:tcPr>
          <w:p w14:paraId="05400A08" w14:textId="5D7A3370" w:rsidR="00634F39" w:rsidRPr="002F3A26" w:rsidRDefault="00634F39" w:rsidP="008B59E5">
            <w:pPr>
              <w:pStyle w:val="TableParagraph"/>
              <w:ind w:left="170"/>
            </w:pPr>
            <w:r w:rsidRPr="002F3A26">
              <w:t>0.79</w:t>
            </w:r>
            <w:r w:rsidRPr="002F3A26">
              <w:rPr>
                <w:vertAlign w:val="superscript"/>
              </w:rPr>
              <w:t>*</w:t>
            </w:r>
          </w:p>
        </w:tc>
        <w:tc>
          <w:tcPr>
            <w:tcW w:w="1062" w:type="dxa"/>
          </w:tcPr>
          <w:p w14:paraId="04CD9247" w14:textId="0680FB16" w:rsidR="00634F39" w:rsidRPr="002F3A26" w:rsidRDefault="00634F39" w:rsidP="008B59E5">
            <w:pPr>
              <w:pStyle w:val="TableParagraph"/>
              <w:ind w:left="170"/>
            </w:pPr>
            <w:r w:rsidRPr="002F3A26">
              <w:t>1.18</w:t>
            </w:r>
            <w:r w:rsidRPr="002F3A26">
              <w:rPr>
                <w:vertAlign w:val="superscript"/>
              </w:rPr>
              <w:t>***</w:t>
            </w:r>
          </w:p>
        </w:tc>
        <w:tc>
          <w:tcPr>
            <w:tcW w:w="1062" w:type="dxa"/>
          </w:tcPr>
          <w:p w14:paraId="5D715833" w14:textId="6A7356B8" w:rsidR="00634F39" w:rsidRPr="002F3A26" w:rsidRDefault="00634F39" w:rsidP="008B59E5">
            <w:pPr>
              <w:pStyle w:val="TableParagraph"/>
              <w:ind w:left="170"/>
            </w:pPr>
            <w:r w:rsidRPr="002F3A26">
              <w:t>1.22</w:t>
            </w:r>
            <w:r w:rsidRPr="002F3A26">
              <w:rPr>
                <w:vertAlign w:val="superscript"/>
              </w:rPr>
              <w:t>***</w:t>
            </w:r>
          </w:p>
        </w:tc>
        <w:tc>
          <w:tcPr>
            <w:tcW w:w="1063" w:type="dxa"/>
          </w:tcPr>
          <w:p w14:paraId="60519563" w14:textId="612F479C" w:rsidR="00634F39" w:rsidRPr="002F3A26" w:rsidRDefault="00634F39" w:rsidP="008B59E5">
            <w:pPr>
              <w:pStyle w:val="TableParagraph"/>
              <w:ind w:left="170"/>
            </w:pPr>
            <w:r w:rsidRPr="002F3A26">
              <w:t>1.00</w:t>
            </w:r>
          </w:p>
        </w:tc>
        <w:tc>
          <w:tcPr>
            <w:tcW w:w="1062" w:type="dxa"/>
          </w:tcPr>
          <w:p w14:paraId="162F216A" w14:textId="14EF6AAA" w:rsidR="00634F39" w:rsidRPr="002F3A26" w:rsidRDefault="00634F39" w:rsidP="008B59E5">
            <w:pPr>
              <w:pStyle w:val="TableParagraph"/>
              <w:ind w:left="170"/>
            </w:pPr>
            <w:r w:rsidRPr="002F3A26">
              <w:t>0.92</w:t>
            </w:r>
            <w:r w:rsidRPr="002F3A26">
              <w:rPr>
                <w:vertAlign w:val="superscript"/>
              </w:rPr>
              <w:t>*</w:t>
            </w:r>
          </w:p>
        </w:tc>
        <w:tc>
          <w:tcPr>
            <w:tcW w:w="1062" w:type="dxa"/>
          </w:tcPr>
          <w:p w14:paraId="2921AF62" w14:textId="6B820F96" w:rsidR="00634F39" w:rsidRPr="002F3A26" w:rsidRDefault="00634F39" w:rsidP="008B59E5">
            <w:pPr>
              <w:pStyle w:val="TableParagraph"/>
              <w:ind w:left="170"/>
            </w:pPr>
            <w:r w:rsidRPr="002F3A26">
              <w:t>0.70</w:t>
            </w:r>
            <w:r w:rsidRPr="002F3A26">
              <w:rPr>
                <w:vertAlign w:val="superscript"/>
              </w:rPr>
              <w:t>***</w:t>
            </w:r>
          </w:p>
        </w:tc>
        <w:tc>
          <w:tcPr>
            <w:tcW w:w="1063" w:type="dxa"/>
          </w:tcPr>
          <w:p w14:paraId="0C520E35" w14:textId="56584573" w:rsidR="00634F39" w:rsidRPr="002F3A26" w:rsidRDefault="00634F39" w:rsidP="008B59E5">
            <w:pPr>
              <w:pStyle w:val="TableParagraph"/>
              <w:ind w:left="170"/>
            </w:pPr>
            <w:r w:rsidRPr="002F3A26">
              <w:t>0.87</w:t>
            </w:r>
            <w:r w:rsidRPr="002F3A26">
              <w:rPr>
                <w:vertAlign w:val="superscript"/>
              </w:rPr>
              <w:t>*</w:t>
            </w:r>
          </w:p>
        </w:tc>
      </w:tr>
      <w:tr w:rsidR="00634F39" w:rsidRPr="002F3A26" w14:paraId="43457143" w14:textId="77777777" w:rsidTr="00954558">
        <w:trPr>
          <w:trHeight w:val="218"/>
        </w:trPr>
        <w:tc>
          <w:tcPr>
            <w:tcW w:w="2263" w:type="dxa"/>
          </w:tcPr>
          <w:p w14:paraId="3658B75F" w14:textId="6449B7D1" w:rsidR="00634F39" w:rsidRPr="002F3A26" w:rsidRDefault="00634F39" w:rsidP="00634F39">
            <w:pPr>
              <w:pStyle w:val="TableParagraph"/>
              <w:rPr>
                <w:rFonts w:cs="Arial"/>
              </w:rPr>
            </w:pPr>
            <w:r w:rsidRPr="002F3A26">
              <w:t>Mother: not manager/professional</w:t>
            </w:r>
          </w:p>
        </w:tc>
        <w:tc>
          <w:tcPr>
            <w:tcW w:w="1062" w:type="dxa"/>
          </w:tcPr>
          <w:p w14:paraId="047F8B49" w14:textId="5FD0B1A7" w:rsidR="00634F39" w:rsidRPr="002F3A26" w:rsidRDefault="00634F39" w:rsidP="008B59E5">
            <w:pPr>
              <w:pStyle w:val="TableParagraph"/>
              <w:ind w:left="170"/>
              <w:rPr>
                <w:rFonts w:cs="Arial"/>
              </w:rPr>
            </w:pPr>
            <w:r w:rsidRPr="002F3A26">
              <w:t>1.12</w:t>
            </w:r>
            <w:r w:rsidRPr="002F3A26">
              <w:rPr>
                <w:vertAlign w:val="superscript"/>
              </w:rPr>
              <w:t>***</w:t>
            </w:r>
          </w:p>
        </w:tc>
        <w:tc>
          <w:tcPr>
            <w:tcW w:w="1062" w:type="dxa"/>
          </w:tcPr>
          <w:p w14:paraId="2C0F25D8" w14:textId="74E6D7AB" w:rsidR="00634F39" w:rsidRPr="002F3A26" w:rsidRDefault="00634F39" w:rsidP="008B59E5">
            <w:pPr>
              <w:pStyle w:val="TableParagraph"/>
              <w:ind w:left="170"/>
              <w:rPr>
                <w:rFonts w:cs="Arial"/>
              </w:rPr>
            </w:pPr>
            <w:r w:rsidRPr="002F3A26">
              <w:t>1.43</w:t>
            </w:r>
            <w:r w:rsidRPr="002F3A26">
              <w:rPr>
                <w:vertAlign w:val="superscript"/>
              </w:rPr>
              <w:t>***</w:t>
            </w:r>
          </w:p>
        </w:tc>
        <w:tc>
          <w:tcPr>
            <w:tcW w:w="1062" w:type="dxa"/>
          </w:tcPr>
          <w:p w14:paraId="5C2B9D65" w14:textId="53D82584" w:rsidR="00634F39" w:rsidRPr="002F3A26" w:rsidRDefault="00634F39" w:rsidP="008B59E5">
            <w:pPr>
              <w:pStyle w:val="TableParagraph"/>
              <w:ind w:left="170"/>
              <w:rPr>
                <w:rFonts w:cs="Arial"/>
              </w:rPr>
            </w:pPr>
            <w:r w:rsidRPr="002F3A26">
              <w:t>1.22</w:t>
            </w:r>
            <w:r w:rsidRPr="002F3A26">
              <w:rPr>
                <w:vertAlign w:val="superscript"/>
              </w:rPr>
              <w:t>***</w:t>
            </w:r>
          </w:p>
        </w:tc>
        <w:tc>
          <w:tcPr>
            <w:tcW w:w="1063" w:type="dxa"/>
          </w:tcPr>
          <w:p w14:paraId="104201F0" w14:textId="5510B7F4" w:rsidR="00634F39" w:rsidRPr="002F3A26" w:rsidRDefault="00634F39" w:rsidP="008B59E5">
            <w:pPr>
              <w:pStyle w:val="TableParagraph"/>
              <w:ind w:left="170"/>
            </w:pPr>
            <w:r w:rsidRPr="002F3A26">
              <w:t>1.08</w:t>
            </w:r>
          </w:p>
        </w:tc>
        <w:tc>
          <w:tcPr>
            <w:tcW w:w="1062" w:type="dxa"/>
          </w:tcPr>
          <w:p w14:paraId="4F510A49" w14:textId="7F482BFA" w:rsidR="00634F39" w:rsidRPr="002F3A26" w:rsidRDefault="00634F39" w:rsidP="008B59E5">
            <w:pPr>
              <w:pStyle w:val="TableParagraph"/>
              <w:ind w:left="170"/>
            </w:pPr>
            <w:r w:rsidRPr="002F3A26">
              <w:t>0.93</w:t>
            </w:r>
          </w:p>
        </w:tc>
        <w:tc>
          <w:tcPr>
            <w:tcW w:w="1062" w:type="dxa"/>
          </w:tcPr>
          <w:p w14:paraId="730471E7" w14:textId="4625398C" w:rsidR="00634F39" w:rsidRPr="002F3A26" w:rsidRDefault="00634F39" w:rsidP="008B59E5">
            <w:pPr>
              <w:pStyle w:val="TableParagraph"/>
              <w:ind w:left="170"/>
            </w:pPr>
            <w:r w:rsidRPr="002F3A26">
              <w:t>1.13</w:t>
            </w:r>
            <w:r w:rsidRPr="002F3A26">
              <w:rPr>
                <w:vertAlign w:val="superscript"/>
              </w:rPr>
              <w:t>***</w:t>
            </w:r>
          </w:p>
        </w:tc>
        <w:tc>
          <w:tcPr>
            <w:tcW w:w="1062" w:type="dxa"/>
          </w:tcPr>
          <w:p w14:paraId="0C928D87" w14:textId="123DFDEF" w:rsidR="00634F39" w:rsidRPr="002F3A26" w:rsidRDefault="00634F39" w:rsidP="008B59E5">
            <w:pPr>
              <w:pStyle w:val="TableParagraph"/>
              <w:ind w:left="170"/>
            </w:pPr>
            <w:r w:rsidRPr="002F3A26">
              <w:t>1.00</w:t>
            </w:r>
          </w:p>
        </w:tc>
        <w:tc>
          <w:tcPr>
            <w:tcW w:w="1063" w:type="dxa"/>
          </w:tcPr>
          <w:p w14:paraId="6D4C2904" w14:textId="09FE468D" w:rsidR="00634F39" w:rsidRPr="002F3A26" w:rsidRDefault="00634F39" w:rsidP="008B59E5">
            <w:pPr>
              <w:pStyle w:val="TableParagraph"/>
              <w:ind w:left="170"/>
            </w:pPr>
            <w:r w:rsidRPr="002F3A26">
              <w:t>1.25</w:t>
            </w:r>
            <w:r w:rsidRPr="002F3A26">
              <w:rPr>
                <w:vertAlign w:val="superscript"/>
              </w:rPr>
              <w:t>***</w:t>
            </w:r>
          </w:p>
        </w:tc>
        <w:tc>
          <w:tcPr>
            <w:tcW w:w="1062" w:type="dxa"/>
          </w:tcPr>
          <w:p w14:paraId="12880B1E" w14:textId="11397E4C" w:rsidR="00634F39" w:rsidRPr="002F3A26" w:rsidRDefault="00634F39" w:rsidP="008B59E5">
            <w:pPr>
              <w:pStyle w:val="TableParagraph"/>
              <w:ind w:left="170"/>
            </w:pPr>
            <w:r w:rsidRPr="002F3A26">
              <w:t>1.01</w:t>
            </w:r>
          </w:p>
        </w:tc>
        <w:tc>
          <w:tcPr>
            <w:tcW w:w="1062" w:type="dxa"/>
          </w:tcPr>
          <w:p w14:paraId="081F2D42" w14:textId="02C5CB40" w:rsidR="00634F39" w:rsidRPr="002F3A26" w:rsidRDefault="00634F39" w:rsidP="008B59E5">
            <w:pPr>
              <w:pStyle w:val="TableParagraph"/>
              <w:ind w:left="170"/>
            </w:pPr>
            <w:r w:rsidRPr="002F3A26">
              <w:t>0.91</w:t>
            </w:r>
          </w:p>
        </w:tc>
        <w:tc>
          <w:tcPr>
            <w:tcW w:w="1063" w:type="dxa"/>
          </w:tcPr>
          <w:p w14:paraId="2F17E8A9" w14:textId="6BA52804" w:rsidR="00634F39" w:rsidRPr="002F3A26" w:rsidRDefault="00634F39" w:rsidP="008B59E5">
            <w:pPr>
              <w:pStyle w:val="TableParagraph"/>
              <w:ind w:left="170"/>
            </w:pPr>
            <w:r w:rsidRPr="002F3A26">
              <w:t>1.03</w:t>
            </w:r>
          </w:p>
        </w:tc>
      </w:tr>
      <w:tr w:rsidR="00634F39" w:rsidRPr="002F3A26" w14:paraId="72C5CB73" w14:textId="77777777" w:rsidTr="00954558">
        <w:trPr>
          <w:trHeight w:val="218"/>
        </w:trPr>
        <w:tc>
          <w:tcPr>
            <w:tcW w:w="2263" w:type="dxa"/>
          </w:tcPr>
          <w:p w14:paraId="5A16F752" w14:textId="3D59AA71" w:rsidR="00634F39" w:rsidRPr="002F3A26" w:rsidRDefault="00634F39" w:rsidP="00634F39">
            <w:pPr>
              <w:pStyle w:val="TableParagraph"/>
              <w:rPr>
                <w:rFonts w:cs="Arial"/>
              </w:rPr>
            </w:pPr>
            <w:r w:rsidRPr="002F3A26">
              <w:t>Single parent</w:t>
            </w:r>
          </w:p>
        </w:tc>
        <w:tc>
          <w:tcPr>
            <w:tcW w:w="1062" w:type="dxa"/>
          </w:tcPr>
          <w:p w14:paraId="3E1AF8C7" w14:textId="3DADCB0A" w:rsidR="00634F39" w:rsidRPr="002F3A26" w:rsidRDefault="00634F39" w:rsidP="008B59E5">
            <w:pPr>
              <w:pStyle w:val="TableParagraph"/>
              <w:ind w:left="170"/>
              <w:rPr>
                <w:rFonts w:cs="Arial"/>
              </w:rPr>
            </w:pPr>
            <w:r w:rsidRPr="002F3A26">
              <w:t>0.72</w:t>
            </w:r>
            <w:r w:rsidRPr="002F3A26">
              <w:rPr>
                <w:vertAlign w:val="superscript"/>
              </w:rPr>
              <w:t>***</w:t>
            </w:r>
          </w:p>
        </w:tc>
        <w:tc>
          <w:tcPr>
            <w:tcW w:w="1062" w:type="dxa"/>
          </w:tcPr>
          <w:p w14:paraId="2BC6CB07" w14:textId="40FB95D9" w:rsidR="00634F39" w:rsidRPr="002F3A26" w:rsidRDefault="00634F39" w:rsidP="008B59E5">
            <w:pPr>
              <w:pStyle w:val="TableParagraph"/>
              <w:ind w:left="170"/>
              <w:rPr>
                <w:rFonts w:cs="Arial"/>
              </w:rPr>
            </w:pPr>
            <w:r w:rsidRPr="002F3A26">
              <w:t>0.69</w:t>
            </w:r>
            <w:r w:rsidRPr="002F3A26">
              <w:rPr>
                <w:vertAlign w:val="superscript"/>
              </w:rPr>
              <w:t>***</w:t>
            </w:r>
          </w:p>
        </w:tc>
        <w:tc>
          <w:tcPr>
            <w:tcW w:w="1062" w:type="dxa"/>
          </w:tcPr>
          <w:p w14:paraId="04679221" w14:textId="21197DF2" w:rsidR="00634F39" w:rsidRPr="002F3A26" w:rsidRDefault="00634F39" w:rsidP="008B59E5">
            <w:pPr>
              <w:pStyle w:val="TableParagraph"/>
              <w:ind w:left="170"/>
              <w:rPr>
                <w:rFonts w:cs="Arial"/>
              </w:rPr>
            </w:pPr>
            <w:r w:rsidRPr="002F3A26">
              <w:t>0.65</w:t>
            </w:r>
            <w:r w:rsidRPr="002F3A26">
              <w:rPr>
                <w:vertAlign w:val="superscript"/>
              </w:rPr>
              <w:t>***</w:t>
            </w:r>
          </w:p>
        </w:tc>
        <w:tc>
          <w:tcPr>
            <w:tcW w:w="1063" w:type="dxa"/>
          </w:tcPr>
          <w:p w14:paraId="145DB383" w14:textId="56F1D36A" w:rsidR="00634F39" w:rsidRPr="002F3A26" w:rsidRDefault="00634F39" w:rsidP="008B59E5">
            <w:pPr>
              <w:pStyle w:val="TableParagraph"/>
              <w:ind w:left="170"/>
            </w:pPr>
            <w:r w:rsidRPr="002F3A26">
              <w:t>0.66</w:t>
            </w:r>
            <w:r w:rsidRPr="002F3A26">
              <w:rPr>
                <w:vertAlign w:val="superscript"/>
              </w:rPr>
              <w:t>***</w:t>
            </w:r>
          </w:p>
        </w:tc>
        <w:tc>
          <w:tcPr>
            <w:tcW w:w="1062" w:type="dxa"/>
          </w:tcPr>
          <w:p w14:paraId="69BC72EB" w14:textId="73F82967" w:rsidR="00634F39" w:rsidRPr="002F3A26" w:rsidRDefault="00634F39" w:rsidP="008B59E5">
            <w:pPr>
              <w:pStyle w:val="TableParagraph"/>
              <w:ind w:left="170"/>
            </w:pPr>
            <w:r w:rsidRPr="002F3A26">
              <w:t>0.94</w:t>
            </w:r>
          </w:p>
        </w:tc>
        <w:tc>
          <w:tcPr>
            <w:tcW w:w="1062" w:type="dxa"/>
          </w:tcPr>
          <w:p w14:paraId="7D918266" w14:textId="08580634" w:rsidR="00634F39" w:rsidRPr="002F3A26" w:rsidRDefault="00634F39" w:rsidP="008B59E5">
            <w:pPr>
              <w:pStyle w:val="TableParagraph"/>
              <w:ind w:left="170"/>
            </w:pPr>
            <w:r w:rsidRPr="002F3A26">
              <w:t>0.61</w:t>
            </w:r>
            <w:r w:rsidRPr="002F3A26">
              <w:rPr>
                <w:vertAlign w:val="superscript"/>
              </w:rPr>
              <w:t>***</w:t>
            </w:r>
          </w:p>
        </w:tc>
        <w:tc>
          <w:tcPr>
            <w:tcW w:w="1062" w:type="dxa"/>
          </w:tcPr>
          <w:p w14:paraId="52448BDF" w14:textId="0188EFC7" w:rsidR="00634F39" w:rsidRPr="002F3A26" w:rsidRDefault="00634F39" w:rsidP="008B59E5">
            <w:pPr>
              <w:pStyle w:val="TableParagraph"/>
              <w:ind w:left="170"/>
            </w:pPr>
            <w:r w:rsidRPr="002F3A26">
              <w:t>0.71</w:t>
            </w:r>
            <w:r w:rsidRPr="002F3A26">
              <w:rPr>
                <w:vertAlign w:val="superscript"/>
              </w:rPr>
              <w:t>***</w:t>
            </w:r>
          </w:p>
        </w:tc>
        <w:tc>
          <w:tcPr>
            <w:tcW w:w="1063" w:type="dxa"/>
          </w:tcPr>
          <w:p w14:paraId="2AB6DDC7" w14:textId="694298DD" w:rsidR="00634F39" w:rsidRPr="002F3A26" w:rsidRDefault="00634F39" w:rsidP="008B59E5">
            <w:pPr>
              <w:pStyle w:val="TableParagraph"/>
              <w:ind w:left="170"/>
            </w:pPr>
            <w:r w:rsidRPr="002F3A26">
              <w:t>0.77</w:t>
            </w:r>
            <w:r w:rsidRPr="002F3A26">
              <w:rPr>
                <w:vertAlign w:val="superscript"/>
              </w:rPr>
              <w:t>***</w:t>
            </w:r>
          </w:p>
        </w:tc>
        <w:tc>
          <w:tcPr>
            <w:tcW w:w="1062" w:type="dxa"/>
          </w:tcPr>
          <w:p w14:paraId="3ABD6335" w14:textId="2822F539" w:rsidR="00634F39" w:rsidRPr="002F3A26" w:rsidRDefault="00634F39" w:rsidP="008B59E5">
            <w:pPr>
              <w:pStyle w:val="TableParagraph"/>
              <w:ind w:left="170"/>
            </w:pPr>
            <w:r w:rsidRPr="002F3A26">
              <w:t>0.93</w:t>
            </w:r>
          </w:p>
        </w:tc>
        <w:tc>
          <w:tcPr>
            <w:tcW w:w="1062" w:type="dxa"/>
          </w:tcPr>
          <w:p w14:paraId="0E93C505" w14:textId="39B118F3" w:rsidR="00634F39" w:rsidRPr="002F3A26" w:rsidRDefault="00634F39" w:rsidP="008B59E5">
            <w:pPr>
              <w:pStyle w:val="TableParagraph"/>
              <w:ind w:left="170"/>
            </w:pPr>
            <w:r w:rsidRPr="002F3A26">
              <w:t>0.53</w:t>
            </w:r>
            <w:r w:rsidRPr="002F3A26">
              <w:rPr>
                <w:vertAlign w:val="superscript"/>
              </w:rPr>
              <w:t>***</w:t>
            </w:r>
          </w:p>
        </w:tc>
        <w:tc>
          <w:tcPr>
            <w:tcW w:w="1063" w:type="dxa"/>
          </w:tcPr>
          <w:p w14:paraId="55F9FF59" w14:textId="3D742C59" w:rsidR="00634F39" w:rsidRPr="002F3A26" w:rsidRDefault="00634F39" w:rsidP="008B59E5">
            <w:pPr>
              <w:pStyle w:val="TableParagraph"/>
              <w:ind w:left="170"/>
            </w:pPr>
            <w:r w:rsidRPr="002F3A26">
              <w:t>1.10</w:t>
            </w:r>
          </w:p>
        </w:tc>
      </w:tr>
      <w:tr w:rsidR="003702B8" w:rsidRPr="002F3A26" w14:paraId="45DE2DD6" w14:textId="77777777" w:rsidTr="00954558">
        <w:trPr>
          <w:trHeight w:val="218"/>
        </w:trPr>
        <w:tc>
          <w:tcPr>
            <w:tcW w:w="2263" w:type="dxa"/>
          </w:tcPr>
          <w:p w14:paraId="0BAF6491" w14:textId="3EC869EF" w:rsidR="003702B8" w:rsidRPr="002F3A26" w:rsidRDefault="003702B8" w:rsidP="003702B8">
            <w:pPr>
              <w:pStyle w:val="TableParagraph"/>
            </w:pPr>
            <w:r w:rsidRPr="002F3A26">
              <w:t>Family income (ref. $3,000 or more)</w:t>
            </w:r>
          </w:p>
        </w:tc>
        <w:tc>
          <w:tcPr>
            <w:tcW w:w="1062" w:type="dxa"/>
          </w:tcPr>
          <w:p w14:paraId="62B1BFC1" w14:textId="77777777" w:rsidR="003702B8" w:rsidRPr="002F3A26" w:rsidRDefault="003702B8" w:rsidP="008B59E5">
            <w:pPr>
              <w:pStyle w:val="TableParagraph"/>
              <w:ind w:left="170"/>
            </w:pPr>
          </w:p>
        </w:tc>
        <w:tc>
          <w:tcPr>
            <w:tcW w:w="1062" w:type="dxa"/>
          </w:tcPr>
          <w:p w14:paraId="581627FA" w14:textId="77777777" w:rsidR="003702B8" w:rsidRPr="002F3A26" w:rsidRDefault="003702B8" w:rsidP="008B59E5">
            <w:pPr>
              <w:pStyle w:val="TableParagraph"/>
              <w:ind w:left="170"/>
            </w:pPr>
          </w:p>
        </w:tc>
        <w:tc>
          <w:tcPr>
            <w:tcW w:w="1062" w:type="dxa"/>
          </w:tcPr>
          <w:p w14:paraId="65088BFE" w14:textId="77777777" w:rsidR="003702B8" w:rsidRPr="002F3A26" w:rsidRDefault="003702B8" w:rsidP="008B59E5">
            <w:pPr>
              <w:pStyle w:val="TableParagraph"/>
              <w:ind w:left="170"/>
            </w:pPr>
          </w:p>
        </w:tc>
        <w:tc>
          <w:tcPr>
            <w:tcW w:w="1063" w:type="dxa"/>
          </w:tcPr>
          <w:p w14:paraId="13EF77E0" w14:textId="77777777" w:rsidR="003702B8" w:rsidRPr="002F3A26" w:rsidRDefault="003702B8" w:rsidP="008B59E5">
            <w:pPr>
              <w:pStyle w:val="TableParagraph"/>
              <w:ind w:left="170"/>
            </w:pPr>
          </w:p>
        </w:tc>
        <w:tc>
          <w:tcPr>
            <w:tcW w:w="1062" w:type="dxa"/>
          </w:tcPr>
          <w:p w14:paraId="64D695BA" w14:textId="77777777" w:rsidR="003702B8" w:rsidRPr="002F3A26" w:rsidRDefault="003702B8" w:rsidP="008B59E5">
            <w:pPr>
              <w:pStyle w:val="TableParagraph"/>
              <w:ind w:left="170"/>
            </w:pPr>
          </w:p>
        </w:tc>
        <w:tc>
          <w:tcPr>
            <w:tcW w:w="1062" w:type="dxa"/>
          </w:tcPr>
          <w:p w14:paraId="173AFA1B" w14:textId="77777777" w:rsidR="003702B8" w:rsidRPr="002F3A26" w:rsidRDefault="003702B8" w:rsidP="008B59E5">
            <w:pPr>
              <w:pStyle w:val="TableParagraph"/>
              <w:ind w:left="170"/>
            </w:pPr>
          </w:p>
        </w:tc>
        <w:tc>
          <w:tcPr>
            <w:tcW w:w="1062" w:type="dxa"/>
          </w:tcPr>
          <w:p w14:paraId="4C99A91C" w14:textId="77777777" w:rsidR="003702B8" w:rsidRPr="002F3A26" w:rsidRDefault="003702B8" w:rsidP="008B59E5">
            <w:pPr>
              <w:pStyle w:val="TableParagraph"/>
              <w:ind w:left="170"/>
            </w:pPr>
          </w:p>
        </w:tc>
        <w:tc>
          <w:tcPr>
            <w:tcW w:w="1063" w:type="dxa"/>
          </w:tcPr>
          <w:p w14:paraId="3DF98611" w14:textId="77777777" w:rsidR="003702B8" w:rsidRPr="002F3A26" w:rsidRDefault="003702B8" w:rsidP="008B59E5">
            <w:pPr>
              <w:pStyle w:val="TableParagraph"/>
              <w:ind w:left="170"/>
            </w:pPr>
          </w:p>
        </w:tc>
        <w:tc>
          <w:tcPr>
            <w:tcW w:w="1062" w:type="dxa"/>
          </w:tcPr>
          <w:p w14:paraId="28990D6C" w14:textId="77777777" w:rsidR="003702B8" w:rsidRPr="002F3A26" w:rsidRDefault="003702B8" w:rsidP="008B59E5">
            <w:pPr>
              <w:pStyle w:val="TableParagraph"/>
              <w:ind w:left="170"/>
            </w:pPr>
          </w:p>
        </w:tc>
        <w:tc>
          <w:tcPr>
            <w:tcW w:w="1062" w:type="dxa"/>
          </w:tcPr>
          <w:p w14:paraId="12A4BA82" w14:textId="77777777" w:rsidR="003702B8" w:rsidRPr="002F3A26" w:rsidRDefault="003702B8" w:rsidP="008B59E5">
            <w:pPr>
              <w:pStyle w:val="TableParagraph"/>
              <w:ind w:left="170"/>
            </w:pPr>
          </w:p>
        </w:tc>
        <w:tc>
          <w:tcPr>
            <w:tcW w:w="1063" w:type="dxa"/>
          </w:tcPr>
          <w:p w14:paraId="5493D1A3" w14:textId="77777777" w:rsidR="003702B8" w:rsidRPr="002F3A26" w:rsidRDefault="003702B8" w:rsidP="008B59E5">
            <w:pPr>
              <w:pStyle w:val="TableParagraph"/>
              <w:ind w:left="170"/>
            </w:pPr>
          </w:p>
        </w:tc>
      </w:tr>
      <w:tr w:rsidR="003702B8" w:rsidRPr="002F3A26" w14:paraId="2F2D97BB" w14:textId="77777777" w:rsidTr="00954558">
        <w:trPr>
          <w:trHeight w:val="218"/>
        </w:trPr>
        <w:tc>
          <w:tcPr>
            <w:tcW w:w="2263" w:type="dxa"/>
          </w:tcPr>
          <w:p w14:paraId="291AFDFA" w14:textId="4DFDB246" w:rsidR="003702B8" w:rsidRPr="002F3A26" w:rsidRDefault="003702B8" w:rsidP="003702B8">
            <w:pPr>
              <w:pStyle w:val="TableParagraph"/>
              <w:rPr>
                <w:rFonts w:cs="Arial"/>
              </w:rPr>
            </w:pPr>
            <w:r w:rsidRPr="002F3A26">
              <w:t>$1,249 or less</w:t>
            </w:r>
          </w:p>
        </w:tc>
        <w:tc>
          <w:tcPr>
            <w:tcW w:w="1062" w:type="dxa"/>
          </w:tcPr>
          <w:p w14:paraId="0B8E3BC3" w14:textId="2FF35F73" w:rsidR="003702B8" w:rsidRPr="002F3A26" w:rsidRDefault="003702B8" w:rsidP="008B59E5">
            <w:pPr>
              <w:pStyle w:val="TableParagraph"/>
              <w:ind w:left="170"/>
              <w:rPr>
                <w:rFonts w:cs="Arial"/>
              </w:rPr>
            </w:pPr>
            <w:r w:rsidRPr="002F3A26">
              <w:t>1.34</w:t>
            </w:r>
            <w:r w:rsidRPr="002F3A26">
              <w:rPr>
                <w:vertAlign w:val="superscript"/>
              </w:rPr>
              <w:t>***</w:t>
            </w:r>
          </w:p>
        </w:tc>
        <w:tc>
          <w:tcPr>
            <w:tcW w:w="1062" w:type="dxa"/>
          </w:tcPr>
          <w:p w14:paraId="6A975671" w14:textId="1F718232" w:rsidR="003702B8" w:rsidRPr="002F3A26" w:rsidRDefault="003702B8" w:rsidP="008B59E5">
            <w:pPr>
              <w:pStyle w:val="TableParagraph"/>
              <w:ind w:left="170"/>
              <w:rPr>
                <w:rFonts w:cs="Arial"/>
              </w:rPr>
            </w:pPr>
            <w:r w:rsidRPr="002F3A26">
              <w:t>1.48</w:t>
            </w:r>
            <w:r w:rsidRPr="002F3A26">
              <w:rPr>
                <w:vertAlign w:val="superscript"/>
              </w:rPr>
              <w:t>***</w:t>
            </w:r>
          </w:p>
        </w:tc>
        <w:tc>
          <w:tcPr>
            <w:tcW w:w="1062" w:type="dxa"/>
          </w:tcPr>
          <w:p w14:paraId="4ADC2C81" w14:textId="6D27B53F" w:rsidR="003702B8" w:rsidRPr="002F3A26" w:rsidRDefault="003702B8" w:rsidP="008B59E5">
            <w:pPr>
              <w:pStyle w:val="TableParagraph"/>
              <w:ind w:left="170"/>
              <w:rPr>
                <w:rFonts w:cs="Arial"/>
              </w:rPr>
            </w:pPr>
            <w:r w:rsidRPr="002F3A26">
              <w:t>1.24</w:t>
            </w:r>
            <w:r w:rsidRPr="002F3A26">
              <w:rPr>
                <w:vertAlign w:val="superscript"/>
              </w:rPr>
              <w:t>***</w:t>
            </w:r>
          </w:p>
        </w:tc>
        <w:tc>
          <w:tcPr>
            <w:tcW w:w="1063" w:type="dxa"/>
          </w:tcPr>
          <w:p w14:paraId="7BA42993" w14:textId="5413CD66" w:rsidR="003702B8" w:rsidRPr="002F3A26" w:rsidRDefault="003702B8" w:rsidP="008B59E5">
            <w:pPr>
              <w:pStyle w:val="TableParagraph"/>
              <w:ind w:left="170"/>
            </w:pPr>
            <w:r w:rsidRPr="002F3A26">
              <w:t>1.27</w:t>
            </w:r>
            <w:r w:rsidRPr="002F3A26">
              <w:rPr>
                <w:vertAlign w:val="superscript"/>
              </w:rPr>
              <w:t>**</w:t>
            </w:r>
          </w:p>
        </w:tc>
        <w:tc>
          <w:tcPr>
            <w:tcW w:w="1062" w:type="dxa"/>
          </w:tcPr>
          <w:p w14:paraId="63DBEF00" w14:textId="374CC6DF" w:rsidR="003702B8" w:rsidRPr="002F3A26" w:rsidRDefault="003702B8" w:rsidP="008B59E5">
            <w:pPr>
              <w:pStyle w:val="TableParagraph"/>
              <w:ind w:left="170"/>
            </w:pPr>
            <w:r w:rsidRPr="002F3A26">
              <w:t>0.89</w:t>
            </w:r>
          </w:p>
        </w:tc>
        <w:tc>
          <w:tcPr>
            <w:tcW w:w="1062" w:type="dxa"/>
          </w:tcPr>
          <w:p w14:paraId="076CC3EC" w14:textId="2BB7D04F" w:rsidR="003702B8" w:rsidRPr="002F3A26" w:rsidRDefault="003702B8" w:rsidP="008B59E5">
            <w:pPr>
              <w:pStyle w:val="TableParagraph"/>
              <w:ind w:left="170"/>
            </w:pPr>
            <w:r w:rsidRPr="002F3A26">
              <w:t>1.25</w:t>
            </w:r>
            <w:r w:rsidRPr="002F3A26">
              <w:rPr>
                <w:vertAlign w:val="superscript"/>
              </w:rPr>
              <w:t>***</w:t>
            </w:r>
          </w:p>
        </w:tc>
        <w:tc>
          <w:tcPr>
            <w:tcW w:w="1062" w:type="dxa"/>
          </w:tcPr>
          <w:p w14:paraId="72A4DDF1" w14:textId="5421AB0E" w:rsidR="003702B8" w:rsidRPr="002F3A26" w:rsidRDefault="003702B8" w:rsidP="008B59E5">
            <w:pPr>
              <w:pStyle w:val="TableParagraph"/>
              <w:ind w:left="170"/>
            </w:pPr>
            <w:r w:rsidRPr="002F3A26">
              <w:t>1.14</w:t>
            </w:r>
          </w:p>
        </w:tc>
        <w:tc>
          <w:tcPr>
            <w:tcW w:w="1063" w:type="dxa"/>
          </w:tcPr>
          <w:p w14:paraId="39E36302" w14:textId="28240CA8" w:rsidR="003702B8" w:rsidRPr="002F3A26" w:rsidRDefault="003702B8" w:rsidP="008B59E5">
            <w:pPr>
              <w:pStyle w:val="TableParagraph"/>
              <w:ind w:left="170"/>
            </w:pPr>
            <w:r w:rsidRPr="002F3A26">
              <w:t>1.04</w:t>
            </w:r>
          </w:p>
        </w:tc>
        <w:tc>
          <w:tcPr>
            <w:tcW w:w="1062" w:type="dxa"/>
          </w:tcPr>
          <w:p w14:paraId="117DE8C0" w14:textId="74374A6A" w:rsidR="003702B8" w:rsidRPr="002F3A26" w:rsidRDefault="003702B8" w:rsidP="008B59E5">
            <w:pPr>
              <w:pStyle w:val="TableParagraph"/>
              <w:ind w:left="170"/>
            </w:pPr>
            <w:r w:rsidRPr="002F3A26">
              <w:t>1.01</w:t>
            </w:r>
          </w:p>
        </w:tc>
        <w:tc>
          <w:tcPr>
            <w:tcW w:w="1062" w:type="dxa"/>
          </w:tcPr>
          <w:p w14:paraId="2656C520" w14:textId="028E4AB4" w:rsidR="003702B8" w:rsidRPr="002F3A26" w:rsidRDefault="003702B8" w:rsidP="008B59E5">
            <w:pPr>
              <w:pStyle w:val="TableParagraph"/>
              <w:ind w:left="170"/>
            </w:pPr>
            <w:r w:rsidRPr="002F3A26">
              <w:t>1.99</w:t>
            </w:r>
            <w:r w:rsidRPr="002F3A26">
              <w:rPr>
                <w:vertAlign w:val="superscript"/>
              </w:rPr>
              <w:t>***</w:t>
            </w:r>
          </w:p>
        </w:tc>
        <w:tc>
          <w:tcPr>
            <w:tcW w:w="1063" w:type="dxa"/>
          </w:tcPr>
          <w:p w14:paraId="69D51904" w14:textId="1E8862B3" w:rsidR="003702B8" w:rsidRPr="002F3A26" w:rsidRDefault="003702B8" w:rsidP="008B59E5">
            <w:pPr>
              <w:pStyle w:val="TableParagraph"/>
              <w:ind w:left="170"/>
            </w:pPr>
            <w:r w:rsidRPr="002F3A26">
              <w:t>1.16</w:t>
            </w:r>
          </w:p>
        </w:tc>
      </w:tr>
      <w:tr w:rsidR="003702B8" w:rsidRPr="002F3A26" w14:paraId="6687486E" w14:textId="77777777" w:rsidTr="00954558">
        <w:trPr>
          <w:trHeight w:val="218"/>
        </w:trPr>
        <w:tc>
          <w:tcPr>
            <w:tcW w:w="2263" w:type="dxa"/>
          </w:tcPr>
          <w:p w14:paraId="03229C48" w14:textId="3F758CFB" w:rsidR="003702B8" w:rsidRPr="002F3A26" w:rsidRDefault="003702B8" w:rsidP="003702B8">
            <w:pPr>
              <w:pStyle w:val="TableParagraph"/>
              <w:rPr>
                <w:rFonts w:cs="Arial"/>
              </w:rPr>
            </w:pPr>
            <w:r w:rsidRPr="002F3A26">
              <w:t>$1,250-$1,999</w:t>
            </w:r>
          </w:p>
        </w:tc>
        <w:tc>
          <w:tcPr>
            <w:tcW w:w="1062" w:type="dxa"/>
          </w:tcPr>
          <w:p w14:paraId="61D2243C" w14:textId="1ECBBB28" w:rsidR="003702B8" w:rsidRPr="002F3A26" w:rsidRDefault="003702B8" w:rsidP="008B59E5">
            <w:pPr>
              <w:pStyle w:val="TableParagraph"/>
              <w:ind w:left="170"/>
              <w:rPr>
                <w:rFonts w:cs="Arial"/>
              </w:rPr>
            </w:pPr>
            <w:r w:rsidRPr="002F3A26">
              <w:t>1.21</w:t>
            </w:r>
            <w:r w:rsidRPr="002F3A26">
              <w:rPr>
                <w:vertAlign w:val="superscript"/>
              </w:rPr>
              <w:t>***</w:t>
            </w:r>
          </w:p>
        </w:tc>
        <w:tc>
          <w:tcPr>
            <w:tcW w:w="1062" w:type="dxa"/>
          </w:tcPr>
          <w:p w14:paraId="55C506D6" w14:textId="565C37F6" w:rsidR="003702B8" w:rsidRPr="002F3A26" w:rsidRDefault="003702B8" w:rsidP="008B59E5">
            <w:pPr>
              <w:pStyle w:val="TableParagraph"/>
              <w:ind w:left="170"/>
              <w:rPr>
                <w:rFonts w:cs="Arial"/>
              </w:rPr>
            </w:pPr>
            <w:r w:rsidRPr="002F3A26">
              <w:t>1.44</w:t>
            </w:r>
            <w:r w:rsidRPr="002F3A26">
              <w:rPr>
                <w:vertAlign w:val="superscript"/>
              </w:rPr>
              <w:t>***</w:t>
            </w:r>
          </w:p>
        </w:tc>
        <w:tc>
          <w:tcPr>
            <w:tcW w:w="1062" w:type="dxa"/>
          </w:tcPr>
          <w:p w14:paraId="02A425F3" w14:textId="4C80C832" w:rsidR="003702B8" w:rsidRPr="002F3A26" w:rsidRDefault="003702B8" w:rsidP="008B59E5">
            <w:pPr>
              <w:pStyle w:val="TableParagraph"/>
              <w:ind w:left="170"/>
              <w:rPr>
                <w:rFonts w:cs="Arial"/>
              </w:rPr>
            </w:pPr>
            <w:r w:rsidRPr="002F3A26">
              <w:t>1.20</w:t>
            </w:r>
            <w:r w:rsidRPr="002F3A26">
              <w:rPr>
                <w:vertAlign w:val="superscript"/>
              </w:rPr>
              <w:t>***</w:t>
            </w:r>
          </w:p>
        </w:tc>
        <w:tc>
          <w:tcPr>
            <w:tcW w:w="1063" w:type="dxa"/>
          </w:tcPr>
          <w:p w14:paraId="6E508576" w14:textId="56091838" w:rsidR="003702B8" w:rsidRPr="002F3A26" w:rsidRDefault="003702B8" w:rsidP="008B59E5">
            <w:pPr>
              <w:pStyle w:val="TableParagraph"/>
              <w:ind w:left="170"/>
            </w:pPr>
            <w:r w:rsidRPr="002F3A26">
              <w:t>1.18</w:t>
            </w:r>
            <w:r w:rsidRPr="002F3A26">
              <w:rPr>
                <w:vertAlign w:val="superscript"/>
              </w:rPr>
              <w:t>*</w:t>
            </w:r>
          </w:p>
        </w:tc>
        <w:tc>
          <w:tcPr>
            <w:tcW w:w="1062" w:type="dxa"/>
          </w:tcPr>
          <w:p w14:paraId="221CE3D3" w14:textId="48171580" w:rsidR="003702B8" w:rsidRPr="002F3A26" w:rsidRDefault="003702B8" w:rsidP="008B59E5">
            <w:pPr>
              <w:pStyle w:val="TableParagraph"/>
              <w:ind w:left="170"/>
            </w:pPr>
            <w:r w:rsidRPr="002F3A26">
              <w:t>1.18</w:t>
            </w:r>
          </w:p>
        </w:tc>
        <w:tc>
          <w:tcPr>
            <w:tcW w:w="1062" w:type="dxa"/>
          </w:tcPr>
          <w:p w14:paraId="495CEBE5" w14:textId="06D7FCEB" w:rsidR="003702B8" w:rsidRPr="002F3A26" w:rsidRDefault="003702B8" w:rsidP="008B59E5">
            <w:pPr>
              <w:pStyle w:val="TableParagraph"/>
              <w:ind w:left="170"/>
            </w:pPr>
            <w:r w:rsidRPr="002F3A26">
              <w:t>1.25</w:t>
            </w:r>
            <w:r w:rsidRPr="002F3A26">
              <w:rPr>
                <w:vertAlign w:val="superscript"/>
              </w:rPr>
              <w:t>***</w:t>
            </w:r>
          </w:p>
        </w:tc>
        <w:tc>
          <w:tcPr>
            <w:tcW w:w="1062" w:type="dxa"/>
          </w:tcPr>
          <w:p w14:paraId="0CD28CA8" w14:textId="7211A792" w:rsidR="003702B8" w:rsidRPr="002F3A26" w:rsidRDefault="003702B8" w:rsidP="008B59E5">
            <w:pPr>
              <w:pStyle w:val="TableParagraph"/>
              <w:ind w:left="170"/>
            </w:pPr>
            <w:r w:rsidRPr="002F3A26">
              <w:t>1.33</w:t>
            </w:r>
            <w:r w:rsidRPr="002F3A26">
              <w:rPr>
                <w:vertAlign w:val="superscript"/>
              </w:rPr>
              <w:t>***</w:t>
            </w:r>
          </w:p>
        </w:tc>
        <w:tc>
          <w:tcPr>
            <w:tcW w:w="1063" w:type="dxa"/>
          </w:tcPr>
          <w:p w14:paraId="046AC20E" w14:textId="50F96A30" w:rsidR="003702B8" w:rsidRPr="002F3A26" w:rsidRDefault="003702B8" w:rsidP="008B59E5">
            <w:pPr>
              <w:pStyle w:val="TableParagraph"/>
              <w:ind w:left="170"/>
            </w:pPr>
            <w:r w:rsidRPr="002F3A26">
              <w:t>0.98</w:t>
            </w:r>
          </w:p>
        </w:tc>
        <w:tc>
          <w:tcPr>
            <w:tcW w:w="1062" w:type="dxa"/>
          </w:tcPr>
          <w:p w14:paraId="2A2724DB" w14:textId="0B0D47E4" w:rsidR="003702B8" w:rsidRPr="002F3A26" w:rsidRDefault="003702B8" w:rsidP="008B59E5">
            <w:pPr>
              <w:pStyle w:val="TableParagraph"/>
              <w:ind w:left="170"/>
            </w:pPr>
            <w:r w:rsidRPr="002F3A26">
              <w:t>1.10</w:t>
            </w:r>
          </w:p>
        </w:tc>
        <w:tc>
          <w:tcPr>
            <w:tcW w:w="1062" w:type="dxa"/>
          </w:tcPr>
          <w:p w14:paraId="3ABDA925" w14:textId="62C5B432" w:rsidR="003702B8" w:rsidRPr="002F3A26" w:rsidRDefault="003702B8" w:rsidP="008B59E5">
            <w:pPr>
              <w:pStyle w:val="TableParagraph"/>
              <w:ind w:left="170"/>
            </w:pPr>
            <w:r w:rsidRPr="002F3A26">
              <w:t>1.18</w:t>
            </w:r>
          </w:p>
        </w:tc>
        <w:tc>
          <w:tcPr>
            <w:tcW w:w="1063" w:type="dxa"/>
          </w:tcPr>
          <w:p w14:paraId="190EC424" w14:textId="4B0E8571" w:rsidR="003702B8" w:rsidRPr="002F3A26" w:rsidRDefault="003702B8" w:rsidP="008B59E5">
            <w:pPr>
              <w:pStyle w:val="TableParagraph"/>
              <w:ind w:left="170"/>
            </w:pPr>
            <w:r w:rsidRPr="002F3A26">
              <w:t>1.16</w:t>
            </w:r>
          </w:p>
        </w:tc>
      </w:tr>
      <w:tr w:rsidR="003702B8" w:rsidRPr="002F3A26" w14:paraId="13853282" w14:textId="77777777" w:rsidTr="00954558">
        <w:trPr>
          <w:trHeight w:val="218"/>
        </w:trPr>
        <w:tc>
          <w:tcPr>
            <w:tcW w:w="2263" w:type="dxa"/>
          </w:tcPr>
          <w:p w14:paraId="6EF29C5E" w14:textId="09B99E99" w:rsidR="003702B8" w:rsidRPr="002F3A26" w:rsidRDefault="003702B8" w:rsidP="003702B8">
            <w:pPr>
              <w:pStyle w:val="TableParagraph"/>
              <w:rPr>
                <w:rFonts w:cs="Arial"/>
              </w:rPr>
            </w:pPr>
            <w:r w:rsidRPr="002F3A26">
              <w:t>$2,000-$2,999</w:t>
            </w:r>
          </w:p>
        </w:tc>
        <w:tc>
          <w:tcPr>
            <w:tcW w:w="1062" w:type="dxa"/>
          </w:tcPr>
          <w:p w14:paraId="6C65BE61" w14:textId="424251C2" w:rsidR="003702B8" w:rsidRPr="002F3A26" w:rsidRDefault="003702B8" w:rsidP="008B59E5">
            <w:pPr>
              <w:pStyle w:val="TableParagraph"/>
              <w:ind w:left="170"/>
              <w:rPr>
                <w:rFonts w:cs="Arial"/>
              </w:rPr>
            </w:pPr>
            <w:r w:rsidRPr="002F3A26">
              <w:t>1.08</w:t>
            </w:r>
            <w:r w:rsidRPr="002F3A26">
              <w:rPr>
                <w:vertAlign w:val="superscript"/>
              </w:rPr>
              <w:t>*</w:t>
            </w:r>
          </w:p>
        </w:tc>
        <w:tc>
          <w:tcPr>
            <w:tcW w:w="1062" w:type="dxa"/>
          </w:tcPr>
          <w:p w14:paraId="16456F39" w14:textId="1E653CA6" w:rsidR="003702B8" w:rsidRPr="002F3A26" w:rsidRDefault="003702B8" w:rsidP="008B59E5">
            <w:pPr>
              <w:pStyle w:val="TableParagraph"/>
              <w:ind w:left="170"/>
              <w:rPr>
                <w:rFonts w:cs="Arial"/>
              </w:rPr>
            </w:pPr>
            <w:r w:rsidRPr="002F3A26">
              <w:t>1.30</w:t>
            </w:r>
            <w:r w:rsidRPr="002F3A26">
              <w:rPr>
                <w:vertAlign w:val="superscript"/>
              </w:rPr>
              <w:t>***</w:t>
            </w:r>
          </w:p>
        </w:tc>
        <w:tc>
          <w:tcPr>
            <w:tcW w:w="1062" w:type="dxa"/>
          </w:tcPr>
          <w:p w14:paraId="00C8AB69" w14:textId="6F1CD744" w:rsidR="003702B8" w:rsidRPr="002F3A26" w:rsidRDefault="003702B8" w:rsidP="008B59E5">
            <w:pPr>
              <w:pStyle w:val="TableParagraph"/>
              <w:ind w:left="170"/>
              <w:rPr>
                <w:rFonts w:cs="Arial"/>
              </w:rPr>
            </w:pPr>
            <w:r w:rsidRPr="002F3A26">
              <w:t>1.09</w:t>
            </w:r>
            <w:r w:rsidRPr="002F3A26">
              <w:rPr>
                <w:vertAlign w:val="superscript"/>
              </w:rPr>
              <w:t>*</w:t>
            </w:r>
          </w:p>
        </w:tc>
        <w:tc>
          <w:tcPr>
            <w:tcW w:w="1063" w:type="dxa"/>
          </w:tcPr>
          <w:p w14:paraId="2D649C7C" w14:textId="559A4F56" w:rsidR="003702B8" w:rsidRPr="002F3A26" w:rsidRDefault="003702B8" w:rsidP="008B59E5">
            <w:pPr>
              <w:pStyle w:val="TableParagraph"/>
              <w:ind w:left="170"/>
            </w:pPr>
            <w:r w:rsidRPr="002F3A26">
              <w:t>1.07</w:t>
            </w:r>
          </w:p>
        </w:tc>
        <w:tc>
          <w:tcPr>
            <w:tcW w:w="1062" w:type="dxa"/>
          </w:tcPr>
          <w:p w14:paraId="07D40383" w14:textId="5B7F29F1" w:rsidR="003702B8" w:rsidRPr="002F3A26" w:rsidRDefault="003702B8" w:rsidP="008B59E5">
            <w:pPr>
              <w:pStyle w:val="TableParagraph"/>
              <w:ind w:left="170"/>
            </w:pPr>
            <w:r w:rsidRPr="002F3A26">
              <w:t>1.30</w:t>
            </w:r>
            <w:r w:rsidRPr="002F3A26">
              <w:rPr>
                <w:vertAlign w:val="superscript"/>
              </w:rPr>
              <w:t>*</w:t>
            </w:r>
          </w:p>
        </w:tc>
        <w:tc>
          <w:tcPr>
            <w:tcW w:w="1062" w:type="dxa"/>
          </w:tcPr>
          <w:p w14:paraId="6B977BFC" w14:textId="1323F20B" w:rsidR="003702B8" w:rsidRPr="002F3A26" w:rsidRDefault="003702B8" w:rsidP="008B59E5">
            <w:pPr>
              <w:pStyle w:val="TableParagraph"/>
              <w:ind w:left="170"/>
            </w:pPr>
            <w:r w:rsidRPr="002F3A26">
              <w:t>1.20</w:t>
            </w:r>
            <w:r w:rsidRPr="002F3A26">
              <w:rPr>
                <w:vertAlign w:val="superscript"/>
              </w:rPr>
              <w:t>***</w:t>
            </w:r>
          </w:p>
        </w:tc>
        <w:tc>
          <w:tcPr>
            <w:tcW w:w="1062" w:type="dxa"/>
          </w:tcPr>
          <w:p w14:paraId="2D7C6E5E" w14:textId="2E407836" w:rsidR="003702B8" w:rsidRPr="002F3A26" w:rsidRDefault="003702B8" w:rsidP="008B59E5">
            <w:pPr>
              <w:pStyle w:val="TableParagraph"/>
              <w:ind w:left="170"/>
            </w:pPr>
            <w:r w:rsidRPr="002F3A26">
              <w:t>1.31</w:t>
            </w:r>
            <w:r w:rsidRPr="002F3A26">
              <w:rPr>
                <w:vertAlign w:val="superscript"/>
              </w:rPr>
              <w:t>***</w:t>
            </w:r>
          </w:p>
        </w:tc>
        <w:tc>
          <w:tcPr>
            <w:tcW w:w="1063" w:type="dxa"/>
          </w:tcPr>
          <w:p w14:paraId="19A2D8F4" w14:textId="7A802FAB" w:rsidR="003702B8" w:rsidRPr="002F3A26" w:rsidRDefault="003702B8" w:rsidP="008B59E5">
            <w:pPr>
              <w:pStyle w:val="TableParagraph"/>
              <w:ind w:left="170"/>
            </w:pPr>
            <w:r w:rsidRPr="002F3A26">
              <w:t>0.87</w:t>
            </w:r>
            <w:r w:rsidRPr="002F3A26">
              <w:rPr>
                <w:vertAlign w:val="superscript"/>
              </w:rPr>
              <w:t>***</w:t>
            </w:r>
          </w:p>
        </w:tc>
        <w:tc>
          <w:tcPr>
            <w:tcW w:w="1062" w:type="dxa"/>
          </w:tcPr>
          <w:p w14:paraId="4F6DF08B" w14:textId="4529DA80" w:rsidR="003702B8" w:rsidRPr="002F3A26" w:rsidRDefault="003702B8" w:rsidP="008B59E5">
            <w:pPr>
              <w:pStyle w:val="TableParagraph"/>
              <w:ind w:left="170"/>
            </w:pPr>
            <w:r w:rsidRPr="002F3A26">
              <w:t>1.11</w:t>
            </w:r>
            <w:r w:rsidRPr="002F3A26">
              <w:rPr>
                <w:vertAlign w:val="superscript"/>
              </w:rPr>
              <w:t>**</w:t>
            </w:r>
          </w:p>
        </w:tc>
        <w:tc>
          <w:tcPr>
            <w:tcW w:w="1062" w:type="dxa"/>
          </w:tcPr>
          <w:p w14:paraId="47B1DE43" w14:textId="0F8A3AFD" w:rsidR="003702B8" w:rsidRPr="002F3A26" w:rsidRDefault="003702B8" w:rsidP="008B59E5">
            <w:pPr>
              <w:pStyle w:val="TableParagraph"/>
              <w:ind w:left="170"/>
            </w:pPr>
            <w:r w:rsidRPr="002F3A26">
              <w:t>1.11</w:t>
            </w:r>
          </w:p>
        </w:tc>
        <w:tc>
          <w:tcPr>
            <w:tcW w:w="1063" w:type="dxa"/>
          </w:tcPr>
          <w:p w14:paraId="0DA87B0C" w14:textId="084E21CF" w:rsidR="003702B8" w:rsidRPr="002F3A26" w:rsidRDefault="003702B8" w:rsidP="008B59E5">
            <w:pPr>
              <w:pStyle w:val="TableParagraph"/>
              <w:ind w:left="170"/>
            </w:pPr>
            <w:r w:rsidRPr="002F3A26">
              <w:t>1.02</w:t>
            </w:r>
          </w:p>
        </w:tc>
      </w:tr>
      <w:tr w:rsidR="003702B8" w:rsidRPr="002F3A26" w14:paraId="2AA96877" w14:textId="77777777" w:rsidTr="00954558">
        <w:trPr>
          <w:trHeight w:val="218"/>
        </w:trPr>
        <w:tc>
          <w:tcPr>
            <w:tcW w:w="2263" w:type="dxa"/>
          </w:tcPr>
          <w:p w14:paraId="77EF7313" w14:textId="4DFC2B1F" w:rsidR="003702B8" w:rsidRPr="002F3A26" w:rsidRDefault="003702B8" w:rsidP="003702B8">
            <w:pPr>
              <w:pStyle w:val="TableParagraph"/>
              <w:rPr>
                <w:rFonts w:cs="Arial"/>
              </w:rPr>
            </w:pPr>
            <w:r w:rsidRPr="002F3A26">
              <w:t>Partial/no information</w:t>
            </w:r>
          </w:p>
        </w:tc>
        <w:tc>
          <w:tcPr>
            <w:tcW w:w="1062" w:type="dxa"/>
          </w:tcPr>
          <w:p w14:paraId="381E958A" w14:textId="4C242777" w:rsidR="003702B8" w:rsidRPr="002F3A26" w:rsidRDefault="003702B8" w:rsidP="008B59E5">
            <w:pPr>
              <w:pStyle w:val="TableParagraph"/>
              <w:ind w:left="170"/>
              <w:rPr>
                <w:rFonts w:cs="Arial"/>
              </w:rPr>
            </w:pPr>
            <w:r w:rsidRPr="002F3A26">
              <w:t>1.05</w:t>
            </w:r>
          </w:p>
        </w:tc>
        <w:tc>
          <w:tcPr>
            <w:tcW w:w="1062" w:type="dxa"/>
          </w:tcPr>
          <w:p w14:paraId="085BAFB8" w14:textId="156835B2" w:rsidR="003702B8" w:rsidRPr="002F3A26" w:rsidRDefault="003702B8" w:rsidP="008B59E5">
            <w:pPr>
              <w:pStyle w:val="TableParagraph"/>
              <w:ind w:left="170"/>
              <w:rPr>
                <w:rFonts w:cs="Arial"/>
              </w:rPr>
            </w:pPr>
            <w:r w:rsidRPr="002F3A26">
              <w:t>0.95</w:t>
            </w:r>
          </w:p>
        </w:tc>
        <w:tc>
          <w:tcPr>
            <w:tcW w:w="1062" w:type="dxa"/>
          </w:tcPr>
          <w:p w14:paraId="4070DE7D" w14:textId="1CC8CEC4" w:rsidR="003702B8" w:rsidRPr="002F3A26" w:rsidRDefault="003702B8" w:rsidP="008B59E5">
            <w:pPr>
              <w:pStyle w:val="TableParagraph"/>
              <w:ind w:left="170"/>
              <w:rPr>
                <w:rFonts w:cs="Arial"/>
              </w:rPr>
            </w:pPr>
            <w:r w:rsidRPr="002F3A26">
              <w:t>0.98</w:t>
            </w:r>
          </w:p>
        </w:tc>
        <w:tc>
          <w:tcPr>
            <w:tcW w:w="1063" w:type="dxa"/>
          </w:tcPr>
          <w:p w14:paraId="4514478A" w14:textId="45621B4B" w:rsidR="003702B8" w:rsidRPr="002F3A26" w:rsidRDefault="003702B8" w:rsidP="008B59E5">
            <w:pPr>
              <w:pStyle w:val="TableParagraph"/>
              <w:ind w:left="170"/>
            </w:pPr>
            <w:r w:rsidRPr="002F3A26">
              <w:t>1.16</w:t>
            </w:r>
            <w:r w:rsidRPr="002F3A26">
              <w:rPr>
                <w:vertAlign w:val="superscript"/>
              </w:rPr>
              <w:t>*</w:t>
            </w:r>
          </w:p>
        </w:tc>
        <w:tc>
          <w:tcPr>
            <w:tcW w:w="1062" w:type="dxa"/>
          </w:tcPr>
          <w:p w14:paraId="360942B7" w14:textId="155E5294" w:rsidR="003702B8" w:rsidRPr="002F3A26" w:rsidRDefault="003702B8" w:rsidP="008B59E5">
            <w:pPr>
              <w:pStyle w:val="TableParagraph"/>
              <w:ind w:left="170"/>
            </w:pPr>
            <w:r w:rsidRPr="002F3A26">
              <w:t>1.14</w:t>
            </w:r>
          </w:p>
        </w:tc>
        <w:tc>
          <w:tcPr>
            <w:tcW w:w="1062" w:type="dxa"/>
          </w:tcPr>
          <w:p w14:paraId="1C512832" w14:textId="3C9AB15E" w:rsidR="003702B8" w:rsidRPr="002F3A26" w:rsidRDefault="003702B8" w:rsidP="008B59E5">
            <w:pPr>
              <w:pStyle w:val="TableParagraph"/>
              <w:ind w:left="170"/>
            </w:pPr>
            <w:r w:rsidRPr="002F3A26">
              <w:t>0.97</w:t>
            </w:r>
          </w:p>
        </w:tc>
        <w:tc>
          <w:tcPr>
            <w:tcW w:w="1062" w:type="dxa"/>
          </w:tcPr>
          <w:p w14:paraId="707FC51A" w14:textId="4B94D339" w:rsidR="003702B8" w:rsidRPr="002F3A26" w:rsidRDefault="003702B8" w:rsidP="008B59E5">
            <w:pPr>
              <w:pStyle w:val="TableParagraph"/>
              <w:ind w:left="170"/>
            </w:pPr>
            <w:r w:rsidRPr="002F3A26">
              <w:t>0.90</w:t>
            </w:r>
          </w:p>
        </w:tc>
        <w:tc>
          <w:tcPr>
            <w:tcW w:w="1063" w:type="dxa"/>
          </w:tcPr>
          <w:p w14:paraId="70B96676" w14:textId="4165E24B" w:rsidR="003702B8" w:rsidRPr="002F3A26" w:rsidRDefault="003702B8" w:rsidP="008B59E5">
            <w:pPr>
              <w:pStyle w:val="TableParagraph"/>
              <w:ind w:left="170"/>
            </w:pPr>
            <w:r w:rsidRPr="002F3A26">
              <w:t>0.90</w:t>
            </w:r>
            <w:r w:rsidRPr="002F3A26">
              <w:rPr>
                <w:vertAlign w:val="superscript"/>
              </w:rPr>
              <w:t>**</w:t>
            </w:r>
          </w:p>
        </w:tc>
        <w:tc>
          <w:tcPr>
            <w:tcW w:w="1062" w:type="dxa"/>
          </w:tcPr>
          <w:p w14:paraId="7C7ECAC5" w14:textId="2ED37615" w:rsidR="003702B8" w:rsidRPr="002F3A26" w:rsidRDefault="003702B8" w:rsidP="008B59E5">
            <w:pPr>
              <w:pStyle w:val="TableParagraph"/>
              <w:ind w:left="170"/>
            </w:pPr>
            <w:r w:rsidRPr="002F3A26">
              <w:t>0.99</w:t>
            </w:r>
          </w:p>
        </w:tc>
        <w:tc>
          <w:tcPr>
            <w:tcW w:w="1062" w:type="dxa"/>
          </w:tcPr>
          <w:p w14:paraId="2735DACF" w14:textId="3992716D" w:rsidR="003702B8" w:rsidRPr="002F3A26" w:rsidRDefault="003702B8" w:rsidP="008B59E5">
            <w:pPr>
              <w:pStyle w:val="TableParagraph"/>
              <w:ind w:left="170"/>
            </w:pPr>
            <w:r w:rsidRPr="002F3A26">
              <w:t>1.15</w:t>
            </w:r>
          </w:p>
        </w:tc>
        <w:tc>
          <w:tcPr>
            <w:tcW w:w="1063" w:type="dxa"/>
          </w:tcPr>
          <w:p w14:paraId="5817F89C" w14:textId="677E8FD3" w:rsidR="003702B8" w:rsidRPr="002F3A26" w:rsidRDefault="003702B8" w:rsidP="008B59E5">
            <w:pPr>
              <w:pStyle w:val="TableParagraph"/>
              <w:ind w:left="170"/>
            </w:pPr>
            <w:r w:rsidRPr="002F3A26">
              <w:t>1.17</w:t>
            </w:r>
          </w:p>
        </w:tc>
      </w:tr>
      <w:tr w:rsidR="003702B8" w:rsidRPr="002F3A26" w14:paraId="4E68E6C2" w14:textId="77777777" w:rsidTr="00954558">
        <w:trPr>
          <w:trHeight w:val="218"/>
        </w:trPr>
        <w:tc>
          <w:tcPr>
            <w:tcW w:w="2263" w:type="dxa"/>
          </w:tcPr>
          <w:p w14:paraId="4019775F" w14:textId="0797BF60" w:rsidR="003702B8" w:rsidRPr="002F3A26" w:rsidRDefault="003702B8" w:rsidP="003702B8">
            <w:pPr>
              <w:pStyle w:val="TableParagraph"/>
              <w:rPr>
                <w:rFonts w:cs="Arial"/>
              </w:rPr>
            </w:pPr>
            <w:r w:rsidRPr="002F3A26">
              <w:t>Observations</w:t>
            </w:r>
          </w:p>
        </w:tc>
        <w:tc>
          <w:tcPr>
            <w:tcW w:w="1062" w:type="dxa"/>
          </w:tcPr>
          <w:p w14:paraId="2C053EB2" w14:textId="7B108404" w:rsidR="003702B8" w:rsidRPr="002F3A26" w:rsidRDefault="003702B8" w:rsidP="008B59E5">
            <w:pPr>
              <w:pStyle w:val="TableParagraph"/>
              <w:ind w:left="170"/>
              <w:rPr>
                <w:rFonts w:cs="Arial"/>
              </w:rPr>
            </w:pPr>
            <w:r w:rsidRPr="002F3A26">
              <w:t>89522</w:t>
            </w:r>
          </w:p>
        </w:tc>
        <w:tc>
          <w:tcPr>
            <w:tcW w:w="1062" w:type="dxa"/>
          </w:tcPr>
          <w:p w14:paraId="6042FB91" w14:textId="77777777" w:rsidR="003702B8" w:rsidRPr="002F3A26" w:rsidRDefault="003702B8" w:rsidP="008B59E5">
            <w:pPr>
              <w:pStyle w:val="TableParagraph"/>
              <w:ind w:left="170"/>
              <w:rPr>
                <w:rFonts w:cs="Arial"/>
              </w:rPr>
            </w:pPr>
          </w:p>
        </w:tc>
        <w:tc>
          <w:tcPr>
            <w:tcW w:w="1062" w:type="dxa"/>
          </w:tcPr>
          <w:p w14:paraId="04B9DFC4" w14:textId="77777777" w:rsidR="003702B8" w:rsidRPr="002F3A26" w:rsidRDefault="003702B8" w:rsidP="008B59E5">
            <w:pPr>
              <w:pStyle w:val="TableParagraph"/>
              <w:ind w:left="170"/>
              <w:rPr>
                <w:rFonts w:cs="Arial"/>
              </w:rPr>
            </w:pPr>
          </w:p>
        </w:tc>
        <w:tc>
          <w:tcPr>
            <w:tcW w:w="1063" w:type="dxa"/>
          </w:tcPr>
          <w:p w14:paraId="69CA1FDE" w14:textId="77777777" w:rsidR="003702B8" w:rsidRPr="002F3A26" w:rsidRDefault="003702B8" w:rsidP="008B59E5">
            <w:pPr>
              <w:pStyle w:val="TableParagraph"/>
              <w:ind w:left="170"/>
            </w:pPr>
          </w:p>
        </w:tc>
        <w:tc>
          <w:tcPr>
            <w:tcW w:w="1062" w:type="dxa"/>
          </w:tcPr>
          <w:p w14:paraId="0A35744C" w14:textId="77777777" w:rsidR="003702B8" w:rsidRPr="002F3A26" w:rsidRDefault="003702B8" w:rsidP="008B59E5">
            <w:pPr>
              <w:pStyle w:val="TableParagraph"/>
              <w:ind w:left="170"/>
            </w:pPr>
          </w:p>
        </w:tc>
        <w:tc>
          <w:tcPr>
            <w:tcW w:w="1062" w:type="dxa"/>
          </w:tcPr>
          <w:p w14:paraId="3FBB499F" w14:textId="77777777" w:rsidR="003702B8" w:rsidRPr="002F3A26" w:rsidRDefault="003702B8" w:rsidP="008B59E5">
            <w:pPr>
              <w:pStyle w:val="TableParagraph"/>
              <w:ind w:left="170"/>
            </w:pPr>
          </w:p>
        </w:tc>
        <w:tc>
          <w:tcPr>
            <w:tcW w:w="1062" w:type="dxa"/>
          </w:tcPr>
          <w:p w14:paraId="0F043394" w14:textId="77777777" w:rsidR="003702B8" w:rsidRPr="002F3A26" w:rsidRDefault="003702B8" w:rsidP="008B59E5">
            <w:pPr>
              <w:pStyle w:val="TableParagraph"/>
              <w:ind w:left="170"/>
            </w:pPr>
          </w:p>
        </w:tc>
        <w:tc>
          <w:tcPr>
            <w:tcW w:w="1063" w:type="dxa"/>
          </w:tcPr>
          <w:p w14:paraId="2F3B6DF0" w14:textId="77777777" w:rsidR="003702B8" w:rsidRPr="002F3A26" w:rsidRDefault="003702B8" w:rsidP="008B59E5">
            <w:pPr>
              <w:pStyle w:val="TableParagraph"/>
              <w:ind w:left="170"/>
            </w:pPr>
          </w:p>
        </w:tc>
        <w:tc>
          <w:tcPr>
            <w:tcW w:w="1062" w:type="dxa"/>
          </w:tcPr>
          <w:p w14:paraId="00989B40" w14:textId="77777777" w:rsidR="003702B8" w:rsidRPr="002F3A26" w:rsidRDefault="003702B8" w:rsidP="008B59E5">
            <w:pPr>
              <w:pStyle w:val="TableParagraph"/>
              <w:ind w:left="170"/>
            </w:pPr>
          </w:p>
        </w:tc>
        <w:tc>
          <w:tcPr>
            <w:tcW w:w="1062" w:type="dxa"/>
          </w:tcPr>
          <w:p w14:paraId="79888438" w14:textId="77777777" w:rsidR="003702B8" w:rsidRPr="002F3A26" w:rsidRDefault="003702B8" w:rsidP="008B59E5">
            <w:pPr>
              <w:pStyle w:val="TableParagraph"/>
              <w:ind w:left="170"/>
            </w:pPr>
          </w:p>
        </w:tc>
        <w:tc>
          <w:tcPr>
            <w:tcW w:w="1063" w:type="dxa"/>
          </w:tcPr>
          <w:p w14:paraId="05454B5D" w14:textId="77777777" w:rsidR="003702B8" w:rsidRPr="002F3A26" w:rsidRDefault="003702B8" w:rsidP="008B59E5">
            <w:pPr>
              <w:pStyle w:val="TableParagraph"/>
              <w:ind w:left="170"/>
            </w:pPr>
          </w:p>
        </w:tc>
      </w:tr>
      <w:tr w:rsidR="003702B8" w:rsidRPr="002F3A26" w14:paraId="6683A893" w14:textId="77777777" w:rsidTr="00954558">
        <w:trPr>
          <w:trHeight w:val="218"/>
        </w:trPr>
        <w:tc>
          <w:tcPr>
            <w:tcW w:w="2263" w:type="dxa"/>
          </w:tcPr>
          <w:p w14:paraId="29696E41" w14:textId="79FB30BE" w:rsidR="003702B8" w:rsidRPr="002F3A26" w:rsidRDefault="003702B8" w:rsidP="003702B8">
            <w:pPr>
              <w:pStyle w:val="TableParagraph"/>
              <w:rPr>
                <w:rFonts w:cs="Arial"/>
              </w:rPr>
            </w:pPr>
            <w:r w:rsidRPr="002F3A26">
              <w:t xml:space="preserve">Pseudo </w:t>
            </w:r>
            <w:r w:rsidRPr="002F3A26">
              <w:rPr>
                <w:i/>
                <w:iCs/>
              </w:rPr>
              <w:t>R</w:t>
            </w:r>
            <w:r w:rsidRPr="002F3A26">
              <w:rPr>
                <w:vertAlign w:val="superscript"/>
              </w:rPr>
              <w:t>2</w:t>
            </w:r>
          </w:p>
        </w:tc>
        <w:tc>
          <w:tcPr>
            <w:tcW w:w="1062" w:type="dxa"/>
          </w:tcPr>
          <w:p w14:paraId="4CB77BEB" w14:textId="3DEB1DCD" w:rsidR="003702B8" w:rsidRPr="002F3A26" w:rsidRDefault="003702B8" w:rsidP="008B59E5">
            <w:pPr>
              <w:pStyle w:val="TableParagraph"/>
              <w:ind w:left="170"/>
              <w:rPr>
                <w:rFonts w:cs="Arial"/>
              </w:rPr>
            </w:pPr>
            <w:r w:rsidRPr="002F3A26">
              <w:t>0.035</w:t>
            </w:r>
          </w:p>
        </w:tc>
        <w:tc>
          <w:tcPr>
            <w:tcW w:w="1062" w:type="dxa"/>
          </w:tcPr>
          <w:p w14:paraId="3619CB13" w14:textId="77777777" w:rsidR="003702B8" w:rsidRPr="002F3A26" w:rsidRDefault="003702B8" w:rsidP="008B59E5">
            <w:pPr>
              <w:pStyle w:val="TableParagraph"/>
              <w:ind w:left="170"/>
              <w:rPr>
                <w:rFonts w:cs="Arial"/>
              </w:rPr>
            </w:pPr>
          </w:p>
        </w:tc>
        <w:tc>
          <w:tcPr>
            <w:tcW w:w="1062" w:type="dxa"/>
          </w:tcPr>
          <w:p w14:paraId="1690768A" w14:textId="77777777" w:rsidR="003702B8" w:rsidRPr="002F3A26" w:rsidRDefault="003702B8" w:rsidP="008B59E5">
            <w:pPr>
              <w:pStyle w:val="TableParagraph"/>
              <w:ind w:left="170"/>
              <w:rPr>
                <w:rFonts w:cs="Arial"/>
              </w:rPr>
            </w:pPr>
          </w:p>
        </w:tc>
        <w:tc>
          <w:tcPr>
            <w:tcW w:w="1063" w:type="dxa"/>
          </w:tcPr>
          <w:p w14:paraId="3F204F6B" w14:textId="77777777" w:rsidR="003702B8" w:rsidRPr="002F3A26" w:rsidRDefault="003702B8" w:rsidP="008B59E5">
            <w:pPr>
              <w:pStyle w:val="TableParagraph"/>
              <w:ind w:left="170"/>
            </w:pPr>
          </w:p>
        </w:tc>
        <w:tc>
          <w:tcPr>
            <w:tcW w:w="1062" w:type="dxa"/>
          </w:tcPr>
          <w:p w14:paraId="55939A0E" w14:textId="77777777" w:rsidR="003702B8" w:rsidRPr="002F3A26" w:rsidRDefault="003702B8" w:rsidP="008B59E5">
            <w:pPr>
              <w:pStyle w:val="TableParagraph"/>
              <w:ind w:left="170"/>
            </w:pPr>
          </w:p>
        </w:tc>
        <w:tc>
          <w:tcPr>
            <w:tcW w:w="1062" w:type="dxa"/>
          </w:tcPr>
          <w:p w14:paraId="1A89F14A" w14:textId="77777777" w:rsidR="003702B8" w:rsidRPr="002F3A26" w:rsidRDefault="003702B8" w:rsidP="008B59E5">
            <w:pPr>
              <w:pStyle w:val="TableParagraph"/>
              <w:ind w:left="170"/>
            </w:pPr>
          </w:p>
        </w:tc>
        <w:tc>
          <w:tcPr>
            <w:tcW w:w="1062" w:type="dxa"/>
          </w:tcPr>
          <w:p w14:paraId="38FA746E" w14:textId="77777777" w:rsidR="003702B8" w:rsidRPr="002F3A26" w:rsidRDefault="003702B8" w:rsidP="008B59E5">
            <w:pPr>
              <w:pStyle w:val="TableParagraph"/>
              <w:ind w:left="170"/>
            </w:pPr>
          </w:p>
        </w:tc>
        <w:tc>
          <w:tcPr>
            <w:tcW w:w="1063" w:type="dxa"/>
          </w:tcPr>
          <w:p w14:paraId="7B5183E9" w14:textId="77777777" w:rsidR="003702B8" w:rsidRPr="002F3A26" w:rsidRDefault="003702B8" w:rsidP="008B59E5">
            <w:pPr>
              <w:pStyle w:val="TableParagraph"/>
              <w:ind w:left="170"/>
            </w:pPr>
          </w:p>
        </w:tc>
        <w:tc>
          <w:tcPr>
            <w:tcW w:w="1062" w:type="dxa"/>
          </w:tcPr>
          <w:p w14:paraId="57CE5F25" w14:textId="77777777" w:rsidR="003702B8" w:rsidRPr="002F3A26" w:rsidRDefault="003702B8" w:rsidP="008B59E5">
            <w:pPr>
              <w:pStyle w:val="TableParagraph"/>
              <w:ind w:left="170"/>
            </w:pPr>
          </w:p>
        </w:tc>
        <w:tc>
          <w:tcPr>
            <w:tcW w:w="1062" w:type="dxa"/>
          </w:tcPr>
          <w:p w14:paraId="2324EFDA" w14:textId="77777777" w:rsidR="003702B8" w:rsidRPr="002F3A26" w:rsidRDefault="003702B8" w:rsidP="008B59E5">
            <w:pPr>
              <w:pStyle w:val="TableParagraph"/>
              <w:ind w:left="170"/>
            </w:pPr>
          </w:p>
        </w:tc>
        <w:tc>
          <w:tcPr>
            <w:tcW w:w="1063" w:type="dxa"/>
          </w:tcPr>
          <w:p w14:paraId="5B12423B" w14:textId="77777777" w:rsidR="003702B8" w:rsidRPr="002F3A26" w:rsidRDefault="003702B8" w:rsidP="008B59E5">
            <w:pPr>
              <w:pStyle w:val="TableParagraph"/>
              <w:ind w:left="170"/>
            </w:pPr>
          </w:p>
        </w:tc>
      </w:tr>
    </w:tbl>
    <w:p w14:paraId="22B10CD7" w14:textId="7D66F40D" w:rsidR="00500DF0" w:rsidRPr="002F3A26" w:rsidRDefault="00500DF0" w:rsidP="00500DF0">
      <w:pPr>
        <w:pStyle w:val="Notes"/>
      </w:pPr>
      <w:r w:rsidRPr="002F3A26">
        <w:t xml:space="preserve">Notes: Data from PLIDA.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Statistical significance: * p &lt; 0.05, ** p &lt; 0.01, *** p &lt; 0.001.</w:t>
      </w:r>
    </w:p>
    <w:p w14:paraId="17F818C1" w14:textId="253DE287" w:rsidR="00954558" w:rsidRPr="002F3A26" w:rsidRDefault="00954558" w:rsidP="00D23949">
      <w:pPr>
        <w:pStyle w:val="Caption"/>
      </w:pPr>
      <w:bookmarkStart w:id="96" w:name="_Ref191543037"/>
      <w:r>
        <w:lastRenderedPageBreak/>
        <w:t xml:space="preserve">Table </w:t>
      </w:r>
      <w:fldSimple w:instr=" STYLEREF 7 \s ">
        <w:r w:rsidR="00627572">
          <w:rPr>
            <w:noProof/>
          </w:rPr>
          <w:t>C</w:t>
        </w:r>
      </w:fldSimple>
      <w:r>
        <w:noBreakHyphen/>
      </w:r>
      <w:fldSimple w:instr=" SEQ Table_ap \* ARABIC \s 7 ">
        <w:r w:rsidR="00627572">
          <w:rPr>
            <w:noProof/>
          </w:rPr>
          <w:t>3</w:t>
        </w:r>
      </w:fldSimple>
      <w:bookmarkEnd w:id="96"/>
      <w:r w:rsidR="00EE2BEB">
        <w:rPr>
          <w:noProof/>
        </w:rPr>
        <w:t>:</w:t>
      </w:r>
      <w:r>
        <w:t xml:space="preserve"> M</w:t>
      </w:r>
      <w:r w:rsidRPr="002F3A26">
        <w:t>odel coefficients (</w:t>
      </w:r>
      <w:r w:rsidR="009F5FEC">
        <w:t>RR</w:t>
      </w:r>
      <w:r w:rsidRPr="002F3A26">
        <w:t xml:space="preserve">) from </w:t>
      </w:r>
      <w:r w:rsidR="00EE2BEB">
        <w:t>M</w:t>
      </w:r>
      <w:r>
        <w:t xml:space="preserve">odel XII, multinomial </w:t>
      </w:r>
      <w:r w:rsidRPr="002F3A26">
        <w:t xml:space="preserve">logistic regression models of </w:t>
      </w:r>
      <w:r>
        <w:t>field of study at selective institutions</w:t>
      </w:r>
    </w:p>
    <w:tbl>
      <w:tblPr>
        <w:tblStyle w:val="ACSEStable"/>
        <w:tblW w:w="0" w:type="auto"/>
        <w:tblLayout w:type="fixed"/>
        <w:tblCellMar>
          <w:top w:w="28" w:type="dxa"/>
          <w:left w:w="68" w:type="dxa"/>
          <w:bottom w:w="28" w:type="dxa"/>
          <w:right w:w="68" w:type="dxa"/>
        </w:tblCellMar>
        <w:tblLook w:val="04A0" w:firstRow="1" w:lastRow="0" w:firstColumn="1" w:lastColumn="0" w:noHBand="0" w:noVBand="1"/>
      </w:tblPr>
      <w:tblGrid>
        <w:gridCol w:w="2263"/>
        <w:gridCol w:w="1062"/>
        <w:gridCol w:w="1062"/>
        <w:gridCol w:w="1062"/>
        <w:gridCol w:w="1063"/>
        <w:gridCol w:w="1062"/>
        <w:gridCol w:w="1062"/>
        <w:gridCol w:w="1062"/>
        <w:gridCol w:w="1063"/>
        <w:gridCol w:w="1062"/>
        <w:gridCol w:w="1062"/>
        <w:gridCol w:w="1063"/>
      </w:tblGrid>
      <w:tr w:rsidR="00871A12" w:rsidRPr="002F3A26" w14:paraId="37396493" w14:textId="77777777" w:rsidTr="00954558">
        <w:trPr>
          <w:cnfStyle w:val="100000000000" w:firstRow="1" w:lastRow="0" w:firstColumn="0" w:lastColumn="0" w:oddVBand="0" w:evenVBand="0" w:oddHBand="0" w:evenHBand="0" w:firstRowFirstColumn="0" w:firstRowLastColumn="0" w:lastRowFirstColumn="0" w:lastRowLastColumn="0"/>
          <w:cantSplit/>
          <w:trHeight w:val="1722"/>
        </w:trPr>
        <w:tc>
          <w:tcPr>
            <w:tcW w:w="2263" w:type="dxa"/>
          </w:tcPr>
          <w:p w14:paraId="15299E55" w14:textId="77777777" w:rsidR="00B740B7" w:rsidRPr="002F3A26" w:rsidRDefault="00B740B7" w:rsidP="008B59E5">
            <w:pPr>
              <w:pStyle w:val="TOCHeading"/>
              <w:rPr>
                <w:b/>
                <w:bCs/>
              </w:rPr>
            </w:pPr>
            <w:r w:rsidRPr="002F3A26">
              <w:rPr>
                <w:b/>
                <w:bCs/>
              </w:rPr>
              <w:t>Outcome (ref. Society &amp; Culture)</w:t>
            </w:r>
          </w:p>
        </w:tc>
        <w:tc>
          <w:tcPr>
            <w:tcW w:w="1062" w:type="dxa"/>
            <w:textDirection w:val="btLr"/>
            <w:vAlign w:val="center"/>
          </w:tcPr>
          <w:p w14:paraId="78ABE3D7" w14:textId="77777777" w:rsidR="00B740B7" w:rsidRPr="002F3A26" w:rsidRDefault="00B740B7" w:rsidP="008B59E5">
            <w:pPr>
              <w:pStyle w:val="TOCHeading"/>
              <w:jc w:val="center"/>
              <w:rPr>
                <w:b/>
                <w:bCs/>
              </w:rPr>
            </w:pPr>
            <w:r w:rsidRPr="002F3A26">
              <w:rPr>
                <w:b/>
                <w:bCs/>
              </w:rPr>
              <w:t>Natural &amp; Physical Sciences</w:t>
            </w:r>
          </w:p>
        </w:tc>
        <w:tc>
          <w:tcPr>
            <w:tcW w:w="1062" w:type="dxa"/>
            <w:textDirection w:val="btLr"/>
            <w:vAlign w:val="center"/>
          </w:tcPr>
          <w:p w14:paraId="75509B73" w14:textId="77777777" w:rsidR="00B740B7" w:rsidRPr="002F3A26" w:rsidRDefault="00B740B7" w:rsidP="008B59E5">
            <w:pPr>
              <w:pStyle w:val="TOCHeading"/>
              <w:jc w:val="center"/>
              <w:rPr>
                <w:b/>
                <w:bCs/>
              </w:rPr>
            </w:pPr>
            <w:r w:rsidRPr="002F3A26">
              <w:rPr>
                <w:b/>
                <w:bCs/>
              </w:rPr>
              <w:t>Information Technology</w:t>
            </w:r>
          </w:p>
        </w:tc>
        <w:tc>
          <w:tcPr>
            <w:tcW w:w="1062" w:type="dxa"/>
            <w:textDirection w:val="btLr"/>
            <w:vAlign w:val="center"/>
          </w:tcPr>
          <w:p w14:paraId="30687DA5" w14:textId="77777777" w:rsidR="00B740B7" w:rsidRPr="002F3A26" w:rsidRDefault="00B740B7" w:rsidP="008B59E5">
            <w:pPr>
              <w:pStyle w:val="TOCHeading"/>
              <w:jc w:val="center"/>
              <w:rPr>
                <w:b/>
                <w:bCs/>
              </w:rPr>
            </w:pPr>
            <w:r w:rsidRPr="002F3A26">
              <w:rPr>
                <w:b/>
                <w:bCs/>
              </w:rPr>
              <w:t>Engineering &amp; Related Technology</w:t>
            </w:r>
          </w:p>
        </w:tc>
        <w:tc>
          <w:tcPr>
            <w:tcW w:w="1063" w:type="dxa"/>
            <w:textDirection w:val="btLr"/>
            <w:vAlign w:val="center"/>
          </w:tcPr>
          <w:p w14:paraId="33A8E7F4" w14:textId="77777777" w:rsidR="00B740B7" w:rsidRPr="002F3A26" w:rsidRDefault="00B740B7" w:rsidP="008B59E5">
            <w:pPr>
              <w:pStyle w:val="TOCHeading"/>
              <w:jc w:val="center"/>
              <w:rPr>
                <w:b/>
                <w:bCs/>
              </w:rPr>
            </w:pPr>
            <w:r w:rsidRPr="002F3A26">
              <w:rPr>
                <w:b/>
                <w:bCs/>
              </w:rPr>
              <w:t>Architecture &amp; Building</w:t>
            </w:r>
          </w:p>
        </w:tc>
        <w:tc>
          <w:tcPr>
            <w:tcW w:w="1062" w:type="dxa"/>
            <w:textDirection w:val="btLr"/>
            <w:vAlign w:val="center"/>
          </w:tcPr>
          <w:p w14:paraId="71D73A47" w14:textId="04745E03" w:rsidR="00B740B7" w:rsidRPr="002F3A26" w:rsidRDefault="00B740B7" w:rsidP="008B59E5">
            <w:pPr>
              <w:pStyle w:val="TOCHeading"/>
              <w:jc w:val="center"/>
              <w:rPr>
                <w:b/>
                <w:bCs/>
              </w:rPr>
            </w:pPr>
            <w:r w:rsidRPr="002F3A26">
              <w:rPr>
                <w:b/>
                <w:bCs/>
              </w:rPr>
              <w:t>Agriculture Environmental &amp; Rel</w:t>
            </w:r>
            <w:r w:rsidR="00634F39" w:rsidRPr="002F3A26">
              <w:rPr>
                <w:b/>
                <w:bCs/>
              </w:rPr>
              <w:t>.</w:t>
            </w:r>
            <w:r w:rsidRPr="002F3A26">
              <w:rPr>
                <w:b/>
                <w:bCs/>
              </w:rPr>
              <w:t xml:space="preserve"> Studies</w:t>
            </w:r>
          </w:p>
        </w:tc>
        <w:tc>
          <w:tcPr>
            <w:tcW w:w="1062" w:type="dxa"/>
            <w:textDirection w:val="btLr"/>
            <w:vAlign w:val="center"/>
          </w:tcPr>
          <w:p w14:paraId="68E3B04C" w14:textId="77777777" w:rsidR="00B740B7" w:rsidRPr="002F3A26" w:rsidRDefault="00B740B7" w:rsidP="008B59E5">
            <w:pPr>
              <w:pStyle w:val="TOCHeading"/>
              <w:jc w:val="center"/>
              <w:rPr>
                <w:b/>
                <w:bCs/>
              </w:rPr>
            </w:pPr>
            <w:r w:rsidRPr="002F3A26">
              <w:rPr>
                <w:b/>
                <w:bCs/>
              </w:rPr>
              <w:t>Other Health</w:t>
            </w:r>
          </w:p>
        </w:tc>
        <w:tc>
          <w:tcPr>
            <w:tcW w:w="1062" w:type="dxa"/>
            <w:textDirection w:val="btLr"/>
            <w:vAlign w:val="center"/>
          </w:tcPr>
          <w:p w14:paraId="01EF5337" w14:textId="77777777" w:rsidR="00B740B7" w:rsidRPr="002F3A26" w:rsidRDefault="00B740B7" w:rsidP="008B59E5">
            <w:pPr>
              <w:pStyle w:val="TOCHeading"/>
              <w:jc w:val="center"/>
              <w:rPr>
                <w:b/>
                <w:bCs/>
              </w:rPr>
            </w:pPr>
            <w:r w:rsidRPr="002F3A26">
              <w:rPr>
                <w:b/>
                <w:bCs/>
              </w:rPr>
              <w:t>Education</w:t>
            </w:r>
          </w:p>
        </w:tc>
        <w:tc>
          <w:tcPr>
            <w:tcW w:w="1063" w:type="dxa"/>
            <w:textDirection w:val="btLr"/>
            <w:vAlign w:val="center"/>
          </w:tcPr>
          <w:p w14:paraId="55582545" w14:textId="77777777" w:rsidR="00B740B7" w:rsidRPr="002F3A26" w:rsidRDefault="00B740B7" w:rsidP="008B59E5">
            <w:pPr>
              <w:pStyle w:val="TOCHeading"/>
              <w:jc w:val="center"/>
              <w:rPr>
                <w:b/>
                <w:bCs/>
              </w:rPr>
            </w:pPr>
            <w:r w:rsidRPr="002F3A26">
              <w:rPr>
                <w:b/>
                <w:bCs/>
              </w:rPr>
              <w:t>Management &amp; Commerce</w:t>
            </w:r>
          </w:p>
        </w:tc>
        <w:tc>
          <w:tcPr>
            <w:tcW w:w="1062" w:type="dxa"/>
            <w:textDirection w:val="btLr"/>
            <w:vAlign w:val="center"/>
          </w:tcPr>
          <w:p w14:paraId="1361F40C" w14:textId="77777777" w:rsidR="00B740B7" w:rsidRPr="002F3A26" w:rsidRDefault="00B740B7" w:rsidP="008B59E5">
            <w:pPr>
              <w:pStyle w:val="TOCHeading"/>
              <w:jc w:val="center"/>
              <w:rPr>
                <w:b/>
                <w:bCs/>
              </w:rPr>
            </w:pPr>
            <w:r w:rsidRPr="002F3A26">
              <w:rPr>
                <w:b/>
                <w:bCs/>
              </w:rPr>
              <w:t>Creative Arts</w:t>
            </w:r>
          </w:p>
        </w:tc>
        <w:tc>
          <w:tcPr>
            <w:tcW w:w="1062" w:type="dxa"/>
            <w:textDirection w:val="btLr"/>
            <w:vAlign w:val="center"/>
          </w:tcPr>
          <w:p w14:paraId="2FDC28DB" w14:textId="77777777" w:rsidR="00B740B7" w:rsidRPr="002F3A26" w:rsidRDefault="00B740B7" w:rsidP="008B59E5">
            <w:pPr>
              <w:pStyle w:val="TOCHeading"/>
              <w:jc w:val="center"/>
              <w:rPr>
                <w:b/>
                <w:bCs/>
              </w:rPr>
            </w:pPr>
            <w:r w:rsidRPr="002F3A26">
              <w:rPr>
                <w:b/>
                <w:bCs/>
              </w:rPr>
              <w:t>Medical Studies</w:t>
            </w:r>
          </w:p>
        </w:tc>
        <w:tc>
          <w:tcPr>
            <w:tcW w:w="1063" w:type="dxa"/>
            <w:textDirection w:val="btLr"/>
            <w:vAlign w:val="center"/>
          </w:tcPr>
          <w:p w14:paraId="2C1831C0" w14:textId="77777777" w:rsidR="00B740B7" w:rsidRPr="002F3A26" w:rsidRDefault="00B740B7" w:rsidP="008B59E5">
            <w:pPr>
              <w:pStyle w:val="TOCHeading"/>
              <w:jc w:val="center"/>
              <w:rPr>
                <w:b/>
                <w:bCs/>
              </w:rPr>
            </w:pPr>
            <w:r w:rsidRPr="002F3A26">
              <w:rPr>
                <w:b/>
                <w:bCs/>
              </w:rPr>
              <w:t>Law</w:t>
            </w:r>
          </w:p>
        </w:tc>
      </w:tr>
      <w:tr w:rsidR="00B740B7" w:rsidRPr="002F3A26" w14:paraId="3980B99E" w14:textId="77777777" w:rsidTr="00954558">
        <w:trPr>
          <w:trHeight w:val="230"/>
        </w:trPr>
        <w:tc>
          <w:tcPr>
            <w:tcW w:w="2263" w:type="dxa"/>
          </w:tcPr>
          <w:p w14:paraId="2FD41C5E" w14:textId="145F62A8" w:rsidR="00B740B7" w:rsidRPr="002F3A26" w:rsidRDefault="00B740B7" w:rsidP="00634F39">
            <w:pPr>
              <w:pStyle w:val="TableParagraph"/>
            </w:pPr>
            <w:r w:rsidRPr="002F3A26">
              <w:t>FiF</w:t>
            </w:r>
          </w:p>
        </w:tc>
        <w:tc>
          <w:tcPr>
            <w:tcW w:w="1062" w:type="dxa"/>
            <w:vAlign w:val="center"/>
          </w:tcPr>
          <w:p w14:paraId="77510821" w14:textId="2F647B6A" w:rsidR="00B740B7" w:rsidRPr="002F3A26" w:rsidRDefault="00B740B7" w:rsidP="008B59E5">
            <w:pPr>
              <w:pStyle w:val="TableParagraph"/>
              <w:ind w:left="170"/>
            </w:pPr>
            <w:r w:rsidRPr="002F3A26">
              <w:t>0.94</w:t>
            </w:r>
          </w:p>
        </w:tc>
        <w:tc>
          <w:tcPr>
            <w:tcW w:w="1062" w:type="dxa"/>
            <w:vAlign w:val="center"/>
          </w:tcPr>
          <w:p w14:paraId="7AB1CCDA" w14:textId="613771BC" w:rsidR="00B740B7" w:rsidRPr="002F3A26" w:rsidRDefault="00B740B7" w:rsidP="008B59E5">
            <w:pPr>
              <w:pStyle w:val="TableParagraph"/>
              <w:ind w:left="170"/>
            </w:pPr>
            <w:r w:rsidRPr="002F3A26">
              <w:t>1.07</w:t>
            </w:r>
          </w:p>
        </w:tc>
        <w:tc>
          <w:tcPr>
            <w:tcW w:w="1062" w:type="dxa"/>
            <w:vAlign w:val="center"/>
          </w:tcPr>
          <w:p w14:paraId="120CB292" w14:textId="2704DB83" w:rsidR="00B740B7" w:rsidRPr="002F3A26" w:rsidRDefault="00B740B7" w:rsidP="008B59E5">
            <w:pPr>
              <w:pStyle w:val="TableParagraph"/>
              <w:ind w:left="170"/>
            </w:pPr>
            <w:r w:rsidRPr="002F3A26">
              <w:t>0.95</w:t>
            </w:r>
          </w:p>
        </w:tc>
        <w:tc>
          <w:tcPr>
            <w:tcW w:w="1063" w:type="dxa"/>
            <w:vAlign w:val="center"/>
          </w:tcPr>
          <w:p w14:paraId="0C2B49C2" w14:textId="615E012A" w:rsidR="00B740B7" w:rsidRPr="002F3A26" w:rsidRDefault="00B740B7" w:rsidP="008B59E5">
            <w:pPr>
              <w:pStyle w:val="TableParagraph"/>
              <w:ind w:left="170"/>
            </w:pPr>
            <w:r w:rsidRPr="002F3A26">
              <w:t>1.36</w:t>
            </w:r>
            <w:r w:rsidRPr="002F3A26">
              <w:rPr>
                <w:vertAlign w:val="superscript"/>
              </w:rPr>
              <w:t>***</w:t>
            </w:r>
          </w:p>
        </w:tc>
        <w:tc>
          <w:tcPr>
            <w:tcW w:w="1062" w:type="dxa"/>
            <w:vAlign w:val="center"/>
          </w:tcPr>
          <w:p w14:paraId="73B94C39" w14:textId="61CF7079" w:rsidR="00B740B7" w:rsidRPr="002F3A26" w:rsidRDefault="00B740B7" w:rsidP="008B59E5">
            <w:pPr>
              <w:pStyle w:val="TableParagraph"/>
              <w:ind w:left="170"/>
            </w:pPr>
            <w:r w:rsidRPr="002F3A26">
              <w:t>1.28</w:t>
            </w:r>
          </w:p>
        </w:tc>
        <w:tc>
          <w:tcPr>
            <w:tcW w:w="1062" w:type="dxa"/>
            <w:vAlign w:val="center"/>
          </w:tcPr>
          <w:p w14:paraId="26AE221E" w14:textId="1414968E" w:rsidR="00B740B7" w:rsidRPr="002F3A26" w:rsidRDefault="00B740B7" w:rsidP="008B59E5">
            <w:pPr>
              <w:pStyle w:val="TableParagraph"/>
              <w:ind w:left="170"/>
            </w:pPr>
            <w:r w:rsidRPr="002F3A26">
              <w:t>1.16</w:t>
            </w:r>
            <w:r w:rsidRPr="002F3A26">
              <w:rPr>
                <w:vertAlign w:val="superscript"/>
              </w:rPr>
              <w:t>**</w:t>
            </w:r>
          </w:p>
        </w:tc>
        <w:tc>
          <w:tcPr>
            <w:tcW w:w="1062" w:type="dxa"/>
            <w:vAlign w:val="center"/>
          </w:tcPr>
          <w:p w14:paraId="015F92AC" w14:textId="64011BEE" w:rsidR="00B740B7" w:rsidRPr="002F3A26" w:rsidRDefault="00B740B7" w:rsidP="008B59E5">
            <w:pPr>
              <w:pStyle w:val="TableParagraph"/>
              <w:ind w:left="170"/>
            </w:pPr>
            <w:r w:rsidRPr="002F3A26">
              <w:t>1.78</w:t>
            </w:r>
            <w:r w:rsidRPr="002F3A26">
              <w:rPr>
                <w:vertAlign w:val="superscript"/>
              </w:rPr>
              <w:t>***</w:t>
            </w:r>
          </w:p>
        </w:tc>
        <w:tc>
          <w:tcPr>
            <w:tcW w:w="1063" w:type="dxa"/>
            <w:vAlign w:val="center"/>
          </w:tcPr>
          <w:p w14:paraId="4A8A85AF" w14:textId="2B7C32DE" w:rsidR="00B740B7" w:rsidRPr="002F3A26" w:rsidRDefault="00B740B7" w:rsidP="008B59E5">
            <w:pPr>
              <w:pStyle w:val="TableParagraph"/>
              <w:ind w:left="170"/>
            </w:pPr>
            <w:r w:rsidRPr="002F3A26">
              <w:t>0.99</w:t>
            </w:r>
          </w:p>
        </w:tc>
        <w:tc>
          <w:tcPr>
            <w:tcW w:w="1062" w:type="dxa"/>
            <w:vAlign w:val="center"/>
          </w:tcPr>
          <w:p w14:paraId="4AE055F9" w14:textId="558C81F3" w:rsidR="00B740B7" w:rsidRPr="002F3A26" w:rsidRDefault="00B740B7" w:rsidP="008B59E5">
            <w:pPr>
              <w:pStyle w:val="TableParagraph"/>
              <w:ind w:left="170"/>
            </w:pPr>
            <w:r w:rsidRPr="002F3A26">
              <w:t>1.03</w:t>
            </w:r>
          </w:p>
        </w:tc>
        <w:tc>
          <w:tcPr>
            <w:tcW w:w="1062" w:type="dxa"/>
            <w:vAlign w:val="center"/>
          </w:tcPr>
          <w:p w14:paraId="1B4F0049" w14:textId="7377983B" w:rsidR="00B740B7" w:rsidRPr="002F3A26" w:rsidRDefault="00B740B7" w:rsidP="008B59E5">
            <w:pPr>
              <w:pStyle w:val="TableParagraph"/>
              <w:ind w:left="170"/>
            </w:pPr>
            <w:r w:rsidRPr="002F3A26">
              <w:t>0.29</w:t>
            </w:r>
            <w:r w:rsidRPr="002F3A26">
              <w:rPr>
                <w:vertAlign w:val="superscript"/>
              </w:rPr>
              <w:t>***</w:t>
            </w:r>
          </w:p>
        </w:tc>
        <w:tc>
          <w:tcPr>
            <w:tcW w:w="1063" w:type="dxa"/>
            <w:vAlign w:val="center"/>
          </w:tcPr>
          <w:p w14:paraId="40CAA74B" w14:textId="07E102A5" w:rsidR="00B740B7" w:rsidRPr="002F3A26" w:rsidRDefault="00B740B7" w:rsidP="008B59E5">
            <w:pPr>
              <w:pStyle w:val="TableParagraph"/>
              <w:ind w:left="170"/>
            </w:pPr>
            <w:r w:rsidRPr="002F3A26">
              <w:t>0.68</w:t>
            </w:r>
            <w:r w:rsidRPr="002F3A26">
              <w:rPr>
                <w:vertAlign w:val="superscript"/>
              </w:rPr>
              <w:t>***</w:t>
            </w:r>
          </w:p>
        </w:tc>
      </w:tr>
      <w:tr w:rsidR="00B740B7" w:rsidRPr="002F3A26" w14:paraId="7AC1CD87" w14:textId="77777777" w:rsidTr="00954558">
        <w:trPr>
          <w:trHeight w:val="218"/>
        </w:trPr>
        <w:tc>
          <w:tcPr>
            <w:tcW w:w="2263" w:type="dxa"/>
          </w:tcPr>
          <w:p w14:paraId="1A5DC648" w14:textId="5D7C1C74" w:rsidR="00B740B7" w:rsidRPr="002F3A26" w:rsidRDefault="00B740B7" w:rsidP="00634F39">
            <w:pPr>
              <w:pStyle w:val="TableParagraph"/>
              <w:rPr>
                <w:rFonts w:cs="Arial"/>
              </w:rPr>
            </w:pPr>
            <w:r w:rsidRPr="002F3A26">
              <w:t>Low SES</w:t>
            </w:r>
          </w:p>
        </w:tc>
        <w:tc>
          <w:tcPr>
            <w:tcW w:w="1062" w:type="dxa"/>
          </w:tcPr>
          <w:p w14:paraId="1A8C7081" w14:textId="54D3C557" w:rsidR="00B740B7" w:rsidRPr="002F3A26" w:rsidRDefault="00B740B7" w:rsidP="008B59E5">
            <w:pPr>
              <w:pStyle w:val="TableParagraph"/>
              <w:ind w:left="170"/>
              <w:rPr>
                <w:rFonts w:cs="Arial"/>
              </w:rPr>
            </w:pPr>
            <w:r w:rsidRPr="002F3A26">
              <w:t>1.09</w:t>
            </w:r>
          </w:p>
        </w:tc>
        <w:tc>
          <w:tcPr>
            <w:tcW w:w="1062" w:type="dxa"/>
          </w:tcPr>
          <w:p w14:paraId="18C4CF1F" w14:textId="3A4F9B2E" w:rsidR="00B740B7" w:rsidRPr="002F3A26" w:rsidRDefault="00B740B7" w:rsidP="008B59E5">
            <w:pPr>
              <w:pStyle w:val="TableParagraph"/>
              <w:ind w:left="170"/>
              <w:rPr>
                <w:rFonts w:cs="Arial"/>
              </w:rPr>
            </w:pPr>
            <w:r w:rsidRPr="002F3A26">
              <w:t>1.45</w:t>
            </w:r>
            <w:r w:rsidRPr="002F3A26">
              <w:rPr>
                <w:vertAlign w:val="superscript"/>
              </w:rPr>
              <w:t>**</w:t>
            </w:r>
          </w:p>
        </w:tc>
        <w:tc>
          <w:tcPr>
            <w:tcW w:w="1062" w:type="dxa"/>
          </w:tcPr>
          <w:p w14:paraId="514A8BF6" w14:textId="11271AC5" w:rsidR="00B740B7" w:rsidRPr="002F3A26" w:rsidRDefault="00B740B7" w:rsidP="008B59E5">
            <w:pPr>
              <w:pStyle w:val="TableParagraph"/>
              <w:ind w:left="170"/>
              <w:rPr>
                <w:rFonts w:cs="Arial"/>
              </w:rPr>
            </w:pPr>
            <w:r w:rsidRPr="002F3A26">
              <w:t>1.40</w:t>
            </w:r>
            <w:r w:rsidRPr="002F3A26">
              <w:rPr>
                <w:vertAlign w:val="superscript"/>
              </w:rPr>
              <w:t>***</w:t>
            </w:r>
          </w:p>
        </w:tc>
        <w:tc>
          <w:tcPr>
            <w:tcW w:w="1063" w:type="dxa"/>
          </w:tcPr>
          <w:p w14:paraId="33E842F2" w14:textId="7BB7A008" w:rsidR="00B740B7" w:rsidRPr="002F3A26" w:rsidRDefault="00B740B7" w:rsidP="008B59E5">
            <w:pPr>
              <w:pStyle w:val="TableParagraph"/>
              <w:ind w:left="170"/>
            </w:pPr>
            <w:r w:rsidRPr="002F3A26">
              <w:t>1.13</w:t>
            </w:r>
          </w:p>
        </w:tc>
        <w:tc>
          <w:tcPr>
            <w:tcW w:w="1062" w:type="dxa"/>
          </w:tcPr>
          <w:p w14:paraId="705D0AF0" w14:textId="202EFE4D" w:rsidR="00B740B7" w:rsidRPr="002F3A26" w:rsidRDefault="00B740B7" w:rsidP="008B59E5">
            <w:pPr>
              <w:pStyle w:val="TableParagraph"/>
              <w:ind w:left="170"/>
            </w:pPr>
            <w:r w:rsidRPr="002F3A26">
              <w:t>0.53</w:t>
            </w:r>
          </w:p>
        </w:tc>
        <w:tc>
          <w:tcPr>
            <w:tcW w:w="1062" w:type="dxa"/>
          </w:tcPr>
          <w:p w14:paraId="3C798EE7" w14:textId="07AA1ED2" w:rsidR="00B740B7" w:rsidRPr="002F3A26" w:rsidRDefault="00B740B7" w:rsidP="008B59E5">
            <w:pPr>
              <w:pStyle w:val="TableParagraph"/>
              <w:ind w:left="170"/>
            </w:pPr>
            <w:r w:rsidRPr="002F3A26">
              <w:t>1.48</w:t>
            </w:r>
            <w:r w:rsidRPr="002F3A26">
              <w:rPr>
                <w:vertAlign w:val="superscript"/>
              </w:rPr>
              <w:t>***</w:t>
            </w:r>
          </w:p>
        </w:tc>
        <w:tc>
          <w:tcPr>
            <w:tcW w:w="1062" w:type="dxa"/>
          </w:tcPr>
          <w:p w14:paraId="1E6BF52F" w14:textId="05BFCFDB" w:rsidR="00B740B7" w:rsidRPr="002F3A26" w:rsidRDefault="00B740B7" w:rsidP="008B59E5">
            <w:pPr>
              <w:pStyle w:val="TableParagraph"/>
              <w:ind w:left="170"/>
            </w:pPr>
            <w:r w:rsidRPr="002F3A26">
              <w:t>1.63</w:t>
            </w:r>
            <w:r w:rsidRPr="002F3A26">
              <w:rPr>
                <w:vertAlign w:val="superscript"/>
              </w:rPr>
              <w:t>***</w:t>
            </w:r>
          </w:p>
        </w:tc>
        <w:tc>
          <w:tcPr>
            <w:tcW w:w="1063" w:type="dxa"/>
          </w:tcPr>
          <w:p w14:paraId="2EA9C792" w14:textId="4C4C283E" w:rsidR="00B740B7" w:rsidRPr="002F3A26" w:rsidRDefault="00B740B7" w:rsidP="008B59E5">
            <w:pPr>
              <w:pStyle w:val="TableParagraph"/>
              <w:ind w:left="170"/>
            </w:pPr>
            <w:r w:rsidRPr="002F3A26">
              <w:t>0.97</w:t>
            </w:r>
          </w:p>
        </w:tc>
        <w:tc>
          <w:tcPr>
            <w:tcW w:w="1062" w:type="dxa"/>
          </w:tcPr>
          <w:p w14:paraId="0E284DE3" w14:textId="03DB3A2D" w:rsidR="00B740B7" w:rsidRPr="002F3A26" w:rsidRDefault="00B740B7" w:rsidP="008B59E5">
            <w:pPr>
              <w:pStyle w:val="TableParagraph"/>
              <w:ind w:left="170"/>
            </w:pPr>
            <w:r w:rsidRPr="002F3A26">
              <w:t>0.88</w:t>
            </w:r>
          </w:p>
        </w:tc>
        <w:tc>
          <w:tcPr>
            <w:tcW w:w="1062" w:type="dxa"/>
          </w:tcPr>
          <w:p w14:paraId="3B40A70D" w14:textId="7C033B2A" w:rsidR="00B740B7" w:rsidRPr="002F3A26" w:rsidRDefault="00B740B7" w:rsidP="008B59E5">
            <w:pPr>
              <w:pStyle w:val="TableParagraph"/>
              <w:ind w:left="170"/>
            </w:pPr>
            <w:r w:rsidRPr="002F3A26">
              <w:t>1.08</w:t>
            </w:r>
          </w:p>
        </w:tc>
        <w:tc>
          <w:tcPr>
            <w:tcW w:w="1063" w:type="dxa"/>
          </w:tcPr>
          <w:p w14:paraId="3A55704B" w14:textId="13BA19DC" w:rsidR="00B740B7" w:rsidRPr="002F3A26" w:rsidRDefault="00B740B7" w:rsidP="008B59E5">
            <w:pPr>
              <w:pStyle w:val="TableParagraph"/>
              <w:ind w:left="170"/>
            </w:pPr>
            <w:r w:rsidRPr="002F3A26">
              <w:t>0.80</w:t>
            </w:r>
          </w:p>
        </w:tc>
      </w:tr>
      <w:tr w:rsidR="00B740B7" w:rsidRPr="002F3A26" w14:paraId="710AFE1B" w14:textId="77777777" w:rsidTr="00954558">
        <w:trPr>
          <w:trHeight w:val="79"/>
        </w:trPr>
        <w:tc>
          <w:tcPr>
            <w:tcW w:w="2263" w:type="dxa"/>
          </w:tcPr>
          <w:p w14:paraId="77F69D8A" w14:textId="7B55B435" w:rsidR="00B740B7" w:rsidRPr="002F3A26" w:rsidRDefault="009F5FEC" w:rsidP="00634F39">
            <w:pPr>
              <w:pStyle w:val="TableParagraph"/>
              <w:rPr>
                <w:rFonts w:cs="Arial"/>
              </w:rPr>
            </w:pPr>
            <w:r>
              <w:t>RR</w:t>
            </w:r>
          </w:p>
        </w:tc>
        <w:tc>
          <w:tcPr>
            <w:tcW w:w="1062" w:type="dxa"/>
          </w:tcPr>
          <w:p w14:paraId="4B06ADBE" w14:textId="4BB8EE71" w:rsidR="00B740B7" w:rsidRPr="002F3A26" w:rsidRDefault="00B740B7" w:rsidP="008B59E5">
            <w:pPr>
              <w:pStyle w:val="TableParagraph"/>
              <w:ind w:left="170"/>
              <w:rPr>
                <w:rFonts w:cs="Arial"/>
              </w:rPr>
            </w:pPr>
            <w:r w:rsidRPr="002F3A26">
              <w:t>1.13</w:t>
            </w:r>
            <w:r w:rsidRPr="002F3A26">
              <w:rPr>
                <w:vertAlign w:val="superscript"/>
              </w:rPr>
              <w:t>**</w:t>
            </w:r>
          </w:p>
        </w:tc>
        <w:tc>
          <w:tcPr>
            <w:tcW w:w="1062" w:type="dxa"/>
          </w:tcPr>
          <w:p w14:paraId="5A44408B" w14:textId="6D5A70DA" w:rsidR="00B740B7" w:rsidRPr="002F3A26" w:rsidRDefault="00B740B7" w:rsidP="008B59E5">
            <w:pPr>
              <w:pStyle w:val="TableParagraph"/>
              <w:ind w:left="170"/>
              <w:rPr>
                <w:rFonts w:cs="Arial"/>
              </w:rPr>
            </w:pPr>
            <w:r w:rsidRPr="002F3A26">
              <w:t>0.76</w:t>
            </w:r>
            <w:r w:rsidRPr="002F3A26">
              <w:rPr>
                <w:vertAlign w:val="superscript"/>
              </w:rPr>
              <w:t>**</w:t>
            </w:r>
          </w:p>
        </w:tc>
        <w:tc>
          <w:tcPr>
            <w:tcW w:w="1062" w:type="dxa"/>
          </w:tcPr>
          <w:p w14:paraId="076CEB44" w14:textId="7245CF8B" w:rsidR="00B740B7" w:rsidRPr="002F3A26" w:rsidRDefault="00B740B7" w:rsidP="008B59E5">
            <w:pPr>
              <w:pStyle w:val="TableParagraph"/>
              <w:ind w:left="170"/>
              <w:rPr>
                <w:rFonts w:cs="Arial"/>
              </w:rPr>
            </w:pPr>
            <w:r w:rsidRPr="002F3A26">
              <w:t>1.28</w:t>
            </w:r>
            <w:r w:rsidRPr="002F3A26">
              <w:rPr>
                <w:vertAlign w:val="superscript"/>
              </w:rPr>
              <w:t>***</w:t>
            </w:r>
          </w:p>
        </w:tc>
        <w:tc>
          <w:tcPr>
            <w:tcW w:w="1063" w:type="dxa"/>
          </w:tcPr>
          <w:p w14:paraId="788A5037" w14:textId="2E869B78" w:rsidR="00B740B7" w:rsidRPr="002F3A26" w:rsidRDefault="00B740B7" w:rsidP="008B59E5">
            <w:pPr>
              <w:pStyle w:val="TableParagraph"/>
              <w:ind w:left="170"/>
            </w:pPr>
            <w:r w:rsidRPr="002F3A26">
              <w:t>1.06</w:t>
            </w:r>
          </w:p>
        </w:tc>
        <w:tc>
          <w:tcPr>
            <w:tcW w:w="1062" w:type="dxa"/>
          </w:tcPr>
          <w:p w14:paraId="6D3436E1" w14:textId="14B49785" w:rsidR="00B740B7" w:rsidRPr="002F3A26" w:rsidRDefault="00B740B7" w:rsidP="008B59E5">
            <w:pPr>
              <w:pStyle w:val="TableParagraph"/>
              <w:ind w:left="170"/>
            </w:pPr>
            <w:r w:rsidRPr="002F3A26">
              <w:t>2.76</w:t>
            </w:r>
            <w:r w:rsidRPr="002F3A26">
              <w:rPr>
                <w:vertAlign w:val="superscript"/>
              </w:rPr>
              <w:t>***</w:t>
            </w:r>
          </w:p>
        </w:tc>
        <w:tc>
          <w:tcPr>
            <w:tcW w:w="1062" w:type="dxa"/>
          </w:tcPr>
          <w:p w14:paraId="072A3AF8" w14:textId="0B7F1171" w:rsidR="00B740B7" w:rsidRPr="002F3A26" w:rsidRDefault="00B740B7" w:rsidP="008B59E5">
            <w:pPr>
              <w:pStyle w:val="TableParagraph"/>
              <w:ind w:left="170"/>
            </w:pPr>
            <w:r w:rsidRPr="002F3A26">
              <w:t>1.24</w:t>
            </w:r>
            <w:r w:rsidRPr="002F3A26">
              <w:rPr>
                <w:vertAlign w:val="superscript"/>
              </w:rPr>
              <w:t>***</w:t>
            </w:r>
          </w:p>
        </w:tc>
        <w:tc>
          <w:tcPr>
            <w:tcW w:w="1062" w:type="dxa"/>
          </w:tcPr>
          <w:p w14:paraId="7A24FEDA" w14:textId="5E3CD6FE" w:rsidR="00B740B7" w:rsidRPr="002F3A26" w:rsidRDefault="00B740B7" w:rsidP="008B59E5">
            <w:pPr>
              <w:pStyle w:val="TableParagraph"/>
              <w:ind w:left="170"/>
            </w:pPr>
            <w:r w:rsidRPr="002F3A26">
              <w:t>1.41</w:t>
            </w:r>
            <w:r w:rsidRPr="002F3A26">
              <w:rPr>
                <w:vertAlign w:val="superscript"/>
              </w:rPr>
              <w:t>***</w:t>
            </w:r>
          </w:p>
        </w:tc>
        <w:tc>
          <w:tcPr>
            <w:tcW w:w="1063" w:type="dxa"/>
          </w:tcPr>
          <w:p w14:paraId="7851EB53" w14:textId="1EEB5CBE" w:rsidR="00B740B7" w:rsidRPr="002F3A26" w:rsidRDefault="00B740B7" w:rsidP="008B59E5">
            <w:pPr>
              <w:pStyle w:val="TableParagraph"/>
              <w:ind w:left="170"/>
            </w:pPr>
            <w:r w:rsidRPr="002F3A26">
              <w:t>0.61</w:t>
            </w:r>
            <w:r w:rsidRPr="002F3A26">
              <w:rPr>
                <w:vertAlign w:val="superscript"/>
              </w:rPr>
              <w:t>***</w:t>
            </w:r>
          </w:p>
        </w:tc>
        <w:tc>
          <w:tcPr>
            <w:tcW w:w="1062" w:type="dxa"/>
          </w:tcPr>
          <w:p w14:paraId="0235E2E5" w14:textId="2E424653" w:rsidR="00B740B7" w:rsidRPr="002F3A26" w:rsidRDefault="00B740B7" w:rsidP="008B59E5">
            <w:pPr>
              <w:pStyle w:val="TableParagraph"/>
              <w:ind w:left="170"/>
            </w:pPr>
            <w:r w:rsidRPr="002F3A26">
              <w:t>1.17</w:t>
            </w:r>
            <w:r w:rsidRPr="002F3A26">
              <w:rPr>
                <w:vertAlign w:val="superscript"/>
              </w:rPr>
              <w:t>*</w:t>
            </w:r>
          </w:p>
        </w:tc>
        <w:tc>
          <w:tcPr>
            <w:tcW w:w="1062" w:type="dxa"/>
          </w:tcPr>
          <w:p w14:paraId="684E221D" w14:textId="29D90C06" w:rsidR="00B740B7" w:rsidRPr="002F3A26" w:rsidRDefault="00B740B7" w:rsidP="008B59E5">
            <w:pPr>
              <w:pStyle w:val="TableParagraph"/>
              <w:ind w:left="170"/>
            </w:pPr>
            <w:r w:rsidRPr="002F3A26">
              <w:t>2.05</w:t>
            </w:r>
            <w:r w:rsidRPr="002F3A26">
              <w:rPr>
                <w:vertAlign w:val="superscript"/>
              </w:rPr>
              <w:t>***</w:t>
            </w:r>
          </w:p>
        </w:tc>
        <w:tc>
          <w:tcPr>
            <w:tcW w:w="1063" w:type="dxa"/>
          </w:tcPr>
          <w:p w14:paraId="187F91D9" w14:textId="019739C2" w:rsidR="00B740B7" w:rsidRPr="002F3A26" w:rsidRDefault="00B740B7" w:rsidP="008B59E5">
            <w:pPr>
              <w:pStyle w:val="TableParagraph"/>
              <w:ind w:left="170"/>
            </w:pPr>
            <w:r w:rsidRPr="002F3A26">
              <w:t>1.43</w:t>
            </w:r>
            <w:r w:rsidRPr="002F3A26">
              <w:rPr>
                <w:vertAlign w:val="superscript"/>
              </w:rPr>
              <w:t>***</w:t>
            </w:r>
          </w:p>
        </w:tc>
      </w:tr>
      <w:tr w:rsidR="00B740B7" w:rsidRPr="002F3A26" w14:paraId="009A0854" w14:textId="77777777" w:rsidTr="00954558">
        <w:trPr>
          <w:trHeight w:val="218"/>
        </w:trPr>
        <w:tc>
          <w:tcPr>
            <w:tcW w:w="2263" w:type="dxa"/>
          </w:tcPr>
          <w:p w14:paraId="4DC34E90" w14:textId="08DAFB78" w:rsidR="00B740B7" w:rsidRPr="002F3A26" w:rsidRDefault="00B740B7" w:rsidP="00634F39">
            <w:pPr>
              <w:pStyle w:val="TableParagraph"/>
              <w:rPr>
                <w:rFonts w:cs="Arial"/>
              </w:rPr>
            </w:pPr>
            <w:r w:rsidRPr="002F3A26">
              <w:t>Indigenous</w:t>
            </w:r>
          </w:p>
        </w:tc>
        <w:tc>
          <w:tcPr>
            <w:tcW w:w="1062" w:type="dxa"/>
          </w:tcPr>
          <w:p w14:paraId="58A9D4C9" w14:textId="18B1B136" w:rsidR="00B740B7" w:rsidRPr="002F3A26" w:rsidRDefault="00B740B7" w:rsidP="008B59E5">
            <w:pPr>
              <w:pStyle w:val="TableParagraph"/>
              <w:ind w:left="170"/>
              <w:rPr>
                <w:rFonts w:cs="Arial"/>
              </w:rPr>
            </w:pPr>
            <w:r w:rsidRPr="002F3A26">
              <w:t>0.69</w:t>
            </w:r>
            <w:r w:rsidRPr="002F3A26">
              <w:rPr>
                <w:vertAlign w:val="superscript"/>
              </w:rPr>
              <w:t>*</w:t>
            </w:r>
          </w:p>
        </w:tc>
        <w:tc>
          <w:tcPr>
            <w:tcW w:w="1062" w:type="dxa"/>
          </w:tcPr>
          <w:p w14:paraId="06550122" w14:textId="2E060362" w:rsidR="00B740B7" w:rsidRPr="002F3A26" w:rsidRDefault="00B740B7" w:rsidP="008B59E5">
            <w:pPr>
              <w:pStyle w:val="TableParagraph"/>
              <w:ind w:left="170"/>
              <w:rPr>
                <w:rFonts w:cs="Arial"/>
              </w:rPr>
            </w:pPr>
            <w:r w:rsidRPr="002F3A26">
              <w:t>0.62</w:t>
            </w:r>
          </w:p>
        </w:tc>
        <w:tc>
          <w:tcPr>
            <w:tcW w:w="1062" w:type="dxa"/>
          </w:tcPr>
          <w:p w14:paraId="06192E3A" w14:textId="572DC5B5" w:rsidR="00B740B7" w:rsidRPr="002F3A26" w:rsidRDefault="00B740B7" w:rsidP="008B59E5">
            <w:pPr>
              <w:pStyle w:val="TableParagraph"/>
              <w:ind w:left="170"/>
              <w:rPr>
                <w:rFonts w:cs="Arial"/>
              </w:rPr>
            </w:pPr>
            <w:r w:rsidRPr="002F3A26">
              <w:t>0.83</w:t>
            </w:r>
          </w:p>
        </w:tc>
        <w:tc>
          <w:tcPr>
            <w:tcW w:w="1063" w:type="dxa"/>
          </w:tcPr>
          <w:p w14:paraId="0F0F1561" w14:textId="24160BD1" w:rsidR="00B740B7" w:rsidRPr="002F3A26" w:rsidRDefault="00B740B7" w:rsidP="008B59E5">
            <w:pPr>
              <w:pStyle w:val="TableParagraph"/>
              <w:ind w:left="170"/>
            </w:pPr>
            <w:r w:rsidRPr="002F3A26">
              <w:t>0.95</w:t>
            </w:r>
          </w:p>
        </w:tc>
        <w:tc>
          <w:tcPr>
            <w:tcW w:w="1062" w:type="dxa"/>
          </w:tcPr>
          <w:p w14:paraId="50B3E774" w14:textId="585EBA60" w:rsidR="00B740B7" w:rsidRPr="002F3A26" w:rsidRDefault="00B740B7" w:rsidP="008B59E5">
            <w:pPr>
              <w:pStyle w:val="TableParagraph"/>
              <w:ind w:left="170"/>
            </w:pPr>
            <w:r w:rsidRPr="002F3A26">
              <w:t>0.81</w:t>
            </w:r>
          </w:p>
        </w:tc>
        <w:tc>
          <w:tcPr>
            <w:tcW w:w="1062" w:type="dxa"/>
          </w:tcPr>
          <w:p w14:paraId="20C33658" w14:textId="17E905AC" w:rsidR="00B740B7" w:rsidRPr="002F3A26" w:rsidRDefault="00B740B7" w:rsidP="008B59E5">
            <w:pPr>
              <w:pStyle w:val="TableParagraph"/>
              <w:ind w:left="170"/>
            </w:pPr>
            <w:r w:rsidRPr="002F3A26">
              <w:t>0.57</w:t>
            </w:r>
            <w:r w:rsidRPr="002F3A26">
              <w:rPr>
                <w:vertAlign w:val="superscript"/>
              </w:rPr>
              <w:t>*</w:t>
            </w:r>
          </w:p>
        </w:tc>
        <w:tc>
          <w:tcPr>
            <w:tcW w:w="1062" w:type="dxa"/>
          </w:tcPr>
          <w:p w14:paraId="7C088257" w14:textId="378853E3" w:rsidR="00B740B7" w:rsidRPr="002F3A26" w:rsidRDefault="00B740B7" w:rsidP="008B59E5">
            <w:pPr>
              <w:pStyle w:val="TableParagraph"/>
              <w:ind w:left="170"/>
            </w:pPr>
            <w:r w:rsidRPr="002F3A26">
              <w:t>1.65</w:t>
            </w:r>
          </w:p>
        </w:tc>
        <w:tc>
          <w:tcPr>
            <w:tcW w:w="1063" w:type="dxa"/>
          </w:tcPr>
          <w:p w14:paraId="6D7D4288" w14:textId="18A8FDF2" w:rsidR="00B740B7" w:rsidRPr="002F3A26" w:rsidRDefault="00B740B7" w:rsidP="008B59E5">
            <w:pPr>
              <w:pStyle w:val="TableParagraph"/>
              <w:ind w:left="170"/>
            </w:pPr>
            <w:r w:rsidRPr="002F3A26">
              <w:t>0.54</w:t>
            </w:r>
            <w:r w:rsidRPr="002F3A26">
              <w:rPr>
                <w:vertAlign w:val="superscript"/>
              </w:rPr>
              <w:t>**</w:t>
            </w:r>
          </w:p>
        </w:tc>
        <w:tc>
          <w:tcPr>
            <w:tcW w:w="1062" w:type="dxa"/>
          </w:tcPr>
          <w:p w14:paraId="18029556" w14:textId="44266147" w:rsidR="00B740B7" w:rsidRPr="002F3A26" w:rsidRDefault="00B740B7" w:rsidP="008B59E5">
            <w:pPr>
              <w:pStyle w:val="TableParagraph"/>
              <w:ind w:left="170"/>
            </w:pPr>
            <w:r w:rsidRPr="002F3A26">
              <w:t>1.75</w:t>
            </w:r>
            <w:r w:rsidRPr="002F3A26">
              <w:rPr>
                <w:vertAlign w:val="superscript"/>
              </w:rPr>
              <w:t>**</w:t>
            </w:r>
          </w:p>
        </w:tc>
        <w:tc>
          <w:tcPr>
            <w:tcW w:w="1062" w:type="dxa"/>
          </w:tcPr>
          <w:p w14:paraId="3627D325" w14:textId="25D26C56" w:rsidR="00B740B7" w:rsidRPr="002F3A26" w:rsidRDefault="00B740B7" w:rsidP="008B59E5">
            <w:pPr>
              <w:pStyle w:val="TableParagraph"/>
              <w:ind w:left="170"/>
            </w:pPr>
            <w:r w:rsidRPr="002F3A26">
              <w:t>1.52</w:t>
            </w:r>
          </w:p>
        </w:tc>
        <w:tc>
          <w:tcPr>
            <w:tcW w:w="1063" w:type="dxa"/>
          </w:tcPr>
          <w:p w14:paraId="30DBF02F" w14:textId="627F0DEC" w:rsidR="00B740B7" w:rsidRPr="002F3A26" w:rsidRDefault="00B740B7" w:rsidP="008B59E5">
            <w:pPr>
              <w:pStyle w:val="TableParagraph"/>
              <w:ind w:left="170"/>
            </w:pPr>
            <w:r w:rsidRPr="002F3A26">
              <w:t>1.14</w:t>
            </w:r>
          </w:p>
        </w:tc>
      </w:tr>
      <w:tr w:rsidR="00B740B7" w:rsidRPr="002F3A26" w14:paraId="242F72CD" w14:textId="77777777" w:rsidTr="00954558">
        <w:trPr>
          <w:trHeight w:val="218"/>
        </w:trPr>
        <w:tc>
          <w:tcPr>
            <w:tcW w:w="2263" w:type="dxa"/>
          </w:tcPr>
          <w:p w14:paraId="303E3C68" w14:textId="68F4189F" w:rsidR="00B740B7" w:rsidRPr="002F3A26" w:rsidRDefault="00B740B7" w:rsidP="00634F39">
            <w:pPr>
              <w:pStyle w:val="TableParagraph"/>
              <w:rPr>
                <w:rFonts w:cs="Arial"/>
              </w:rPr>
            </w:pPr>
            <w:r w:rsidRPr="002F3A26">
              <w:t>NESB</w:t>
            </w:r>
          </w:p>
        </w:tc>
        <w:tc>
          <w:tcPr>
            <w:tcW w:w="1062" w:type="dxa"/>
          </w:tcPr>
          <w:p w14:paraId="5EA03CF8" w14:textId="7E720C4A" w:rsidR="00B740B7" w:rsidRPr="002F3A26" w:rsidRDefault="00B740B7" w:rsidP="008B59E5">
            <w:pPr>
              <w:pStyle w:val="TableParagraph"/>
              <w:ind w:left="170"/>
              <w:rPr>
                <w:rFonts w:cs="Arial"/>
              </w:rPr>
            </w:pPr>
            <w:r w:rsidRPr="002F3A26">
              <w:t>2.34</w:t>
            </w:r>
            <w:r w:rsidRPr="002F3A26">
              <w:rPr>
                <w:vertAlign w:val="superscript"/>
              </w:rPr>
              <w:t>***</w:t>
            </w:r>
          </w:p>
        </w:tc>
        <w:tc>
          <w:tcPr>
            <w:tcW w:w="1062" w:type="dxa"/>
          </w:tcPr>
          <w:p w14:paraId="444FDD9B" w14:textId="71C205D8" w:rsidR="00B740B7" w:rsidRPr="002F3A26" w:rsidRDefault="00B740B7" w:rsidP="008B59E5">
            <w:pPr>
              <w:pStyle w:val="TableParagraph"/>
              <w:ind w:left="170"/>
              <w:rPr>
                <w:rFonts w:cs="Arial"/>
              </w:rPr>
            </w:pPr>
            <w:r w:rsidRPr="002F3A26">
              <w:t>2.11</w:t>
            </w:r>
            <w:r w:rsidRPr="002F3A26">
              <w:rPr>
                <w:vertAlign w:val="superscript"/>
              </w:rPr>
              <w:t>***</w:t>
            </w:r>
          </w:p>
        </w:tc>
        <w:tc>
          <w:tcPr>
            <w:tcW w:w="1062" w:type="dxa"/>
          </w:tcPr>
          <w:p w14:paraId="46F56DEE" w14:textId="7EB9C0F4" w:rsidR="00B740B7" w:rsidRPr="002F3A26" w:rsidRDefault="00B740B7" w:rsidP="008B59E5">
            <w:pPr>
              <w:pStyle w:val="TableParagraph"/>
              <w:ind w:left="170"/>
              <w:rPr>
                <w:rFonts w:cs="Arial"/>
              </w:rPr>
            </w:pPr>
            <w:r w:rsidRPr="002F3A26">
              <w:t>2.57</w:t>
            </w:r>
            <w:r w:rsidRPr="002F3A26">
              <w:rPr>
                <w:vertAlign w:val="superscript"/>
              </w:rPr>
              <w:t>***</w:t>
            </w:r>
          </w:p>
        </w:tc>
        <w:tc>
          <w:tcPr>
            <w:tcW w:w="1063" w:type="dxa"/>
          </w:tcPr>
          <w:p w14:paraId="50872F82" w14:textId="3B6551C9" w:rsidR="00B740B7" w:rsidRPr="002F3A26" w:rsidRDefault="00B740B7" w:rsidP="008B59E5">
            <w:pPr>
              <w:pStyle w:val="TableParagraph"/>
              <w:ind w:left="170"/>
            </w:pPr>
            <w:r w:rsidRPr="002F3A26">
              <w:t>2.22</w:t>
            </w:r>
            <w:r w:rsidRPr="002F3A26">
              <w:rPr>
                <w:vertAlign w:val="superscript"/>
              </w:rPr>
              <w:t>***</w:t>
            </w:r>
          </w:p>
        </w:tc>
        <w:tc>
          <w:tcPr>
            <w:tcW w:w="1062" w:type="dxa"/>
          </w:tcPr>
          <w:p w14:paraId="6D366537" w14:textId="39525654" w:rsidR="00B740B7" w:rsidRPr="002F3A26" w:rsidRDefault="00B740B7" w:rsidP="008B59E5">
            <w:pPr>
              <w:pStyle w:val="TableParagraph"/>
              <w:ind w:left="170"/>
            </w:pPr>
            <w:r w:rsidRPr="002F3A26">
              <w:t>0.83</w:t>
            </w:r>
          </w:p>
        </w:tc>
        <w:tc>
          <w:tcPr>
            <w:tcW w:w="1062" w:type="dxa"/>
          </w:tcPr>
          <w:p w14:paraId="5AD5EAC3" w14:textId="2BE86F97" w:rsidR="00B740B7" w:rsidRPr="002F3A26" w:rsidRDefault="00B740B7" w:rsidP="008B59E5">
            <w:pPr>
              <w:pStyle w:val="TableParagraph"/>
              <w:ind w:left="170"/>
            </w:pPr>
            <w:r w:rsidRPr="002F3A26">
              <w:t>1.85</w:t>
            </w:r>
            <w:r w:rsidRPr="002F3A26">
              <w:rPr>
                <w:vertAlign w:val="superscript"/>
              </w:rPr>
              <w:t>***</w:t>
            </w:r>
          </w:p>
        </w:tc>
        <w:tc>
          <w:tcPr>
            <w:tcW w:w="1062" w:type="dxa"/>
          </w:tcPr>
          <w:p w14:paraId="5B9C1760" w14:textId="1D517197" w:rsidR="00B740B7" w:rsidRPr="002F3A26" w:rsidRDefault="00B740B7" w:rsidP="008B59E5">
            <w:pPr>
              <w:pStyle w:val="TableParagraph"/>
              <w:ind w:left="170"/>
            </w:pPr>
            <w:r w:rsidRPr="002F3A26">
              <w:t>1.19</w:t>
            </w:r>
          </w:p>
        </w:tc>
        <w:tc>
          <w:tcPr>
            <w:tcW w:w="1063" w:type="dxa"/>
          </w:tcPr>
          <w:p w14:paraId="0E39A43B" w14:textId="2E57B6EB" w:rsidR="00B740B7" w:rsidRPr="002F3A26" w:rsidRDefault="00B740B7" w:rsidP="008B59E5">
            <w:pPr>
              <w:pStyle w:val="TableParagraph"/>
              <w:ind w:left="170"/>
            </w:pPr>
            <w:r w:rsidRPr="002F3A26">
              <w:t>1.97</w:t>
            </w:r>
            <w:r w:rsidRPr="002F3A26">
              <w:rPr>
                <w:vertAlign w:val="superscript"/>
              </w:rPr>
              <w:t>***</w:t>
            </w:r>
          </w:p>
        </w:tc>
        <w:tc>
          <w:tcPr>
            <w:tcW w:w="1062" w:type="dxa"/>
          </w:tcPr>
          <w:p w14:paraId="3A86DA4C" w14:textId="2E20BB7D" w:rsidR="00B740B7" w:rsidRPr="002F3A26" w:rsidRDefault="00B740B7" w:rsidP="008B59E5">
            <w:pPr>
              <w:pStyle w:val="TableParagraph"/>
              <w:ind w:left="170"/>
            </w:pPr>
            <w:r w:rsidRPr="002F3A26">
              <w:t>0.85</w:t>
            </w:r>
          </w:p>
        </w:tc>
        <w:tc>
          <w:tcPr>
            <w:tcW w:w="1062" w:type="dxa"/>
          </w:tcPr>
          <w:p w14:paraId="62717C09" w14:textId="0C24A04A" w:rsidR="00B740B7" w:rsidRPr="002F3A26" w:rsidRDefault="00B740B7" w:rsidP="008B59E5">
            <w:pPr>
              <w:pStyle w:val="TableParagraph"/>
              <w:ind w:left="170"/>
            </w:pPr>
            <w:r w:rsidRPr="002F3A26">
              <w:t>1.62</w:t>
            </w:r>
            <w:r w:rsidRPr="002F3A26">
              <w:rPr>
                <w:vertAlign w:val="superscript"/>
              </w:rPr>
              <w:t>*</w:t>
            </w:r>
          </w:p>
        </w:tc>
        <w:tc>
          <w:tcPr>
            <w:tcW w:w="1063" w:type="dxa"/>
          </w:tcPr>
          <w:p w14:paraId="36B04AB9" w14:textId="6C5AAB93" w:rsidR="00B740B7" w:rsidRPr="002F3A26" w:rsidRDefault="00B740B7" w:rsidP="008B59E5">
            <w:pPr>
              <w:pStyle w:val="TableParagraph"/>
              <w:ind w:left="170"/>
            </w:pPr>
            <w:r w:rsidRPr="002F3A26">
              <w:t>1.44</w:t>
            </w:r>
            <w:r w:rsidRPr="002F3A26">
              <w:rPr>
                <w:vertAlign w:val="superscript"/>
              </w:rPr>
              <w:t>*</w:t>
            </w:r>
          </w:p>
        </w:tc>
      </w:tr>
      <w:tr w:rsidR="00B740B7" w:rsidRPr="002F3A26" w14:paraId="055321FD" w14:textId="77777777" w:rsidTr="00954558">
        <w:trPr>
          <w:trHeight w:val="218"/>
        </w:trPr>
        <w:tc>
          <w:tcPr>
            <w:tcW w:w="2263" w:type="dxa"/>
          </w:tcPr>
          <w:p w14:paraId="4B53E2E9" w14:textId="66A66B79" w:rsidR="00B740B7" w:rsidRPr="002F3A26" w:rsidRDefault="00B740B7" w:rsidP="00634F39">
            <w:pPr>
              <w:pStyle w:val="TableParagraph"/>
              <w:rPr>
                <w:rFonts w:cs="Arial"/>
              </w:rPr>
            </w:pPr>
            <w:r w:rsidRPr="002F3A26">
              <w:t>Women</w:t>
            </w:r>
          </w:p>
        </w:tc>
        <w:tc>
          <w:tcPr>
            <w:tcW w:w="1062" w:type="dxa"/>
          </w:tcPr>
          <w:p w14:paraId="6C34E693" w14:textId="427398C3" w:rsidR="00B740B7" w:rsidRPr="002F3A26" w:rsidRDefault="00B740B7" w:rsidP="008B59E5">
            <w:pPr>
              <w:pStyle w:val="TableParagraph"/>
              <w:ind w:left="170"/>
              <w:rPr>
                <w:rFonts w:cs="Arial"/>
              </w:rPr>
            </w:pPr>
            <w:r w:rsidRPr="002F3A26">
              <w:t>0.57</w:t>
            </w:r>
            <w:r w:rsidRPr="002F3A26">
              <w:rPr>
                <w:vertAlign w:val="superscript"/>
              </w:rPr>
              <w:t>***</w:t>
            </w:r>
          </w:p>
        </w:tc>
        <w:tc>
          <w:tcPr>
            <w:tcW w:w="1062" w:type="dxa"/>
          </w:tcPr>
          <w:p w14:paraId="447E7EC0" w14:textId="24A5806B" w:rsidR="00B740B7" w:rsidRPr="002F3A26" w:rsidRDefault="00B740B7" w:rsidP="008B59E5">
            <w:pPr>
              <w:pStyle w:val="TableParagraph"/>
              <w:ind w:left="170"/>
              <w:rPr>
                <w:rFonts w:cs="Arial"/>
              </w:rPr>
            </w:pPr>
            <w:r w:rsidRPr="002F3A26">
              <w:t>0.14</w:t>
            </w:r>
            <w:r w:rsidRPr="002F3A26">
              <w:rPr>
                <w:vertAlign w:val="superscript"/>
              </w:rPr>
              <w:t>***</w:t>
            </w:r>
          </w:p>
        </w:tc>
        <w:tc>
          <w:tcPr>
            <w:tcW w:w="1062" w:type="dxa"/>
          </w:tcPr>
          <w:p w14:paraId="43D1746D" w14:textId="31704B23" w:rsidR="00B740B7" w:rsidRPr="002F3A26" w:rsidRDefault="00B740B7" w:rsidP="008B59E5">
            <w:pPr>
              <w:pStyle w:val="TableParagraph"/>
              <w:ind w:left="170"/>
              <w:rPr>
                <w:rFonts w:cs="Arial"/>
              </w:rPr>
            </w:pPr>
            <w:r w:rsidRPr="002F3A26">
              <w:t>0.17</w:t>
            </w:r>
            <w:r w:rsidRPr="002F3A26">
              <w:rPr>
                <w:vertAlign w:val="superscript"/>
              </w:rPr>
              <w:t>***</w:t>
            </w:r>
          </w:p>
        </w:tc>
        <w:tc>
          <w:tcPr>
            <w:tcW w:w="1063" w:type="dxa"/>
          </w:tcPr>
          <w:p w14:paraId="556C49EB" w14:textId="4E0DF169" w:rsidR="00B740B7" w:rsidRPr="002F3A26" w:rsidRDefault="00B740B7" w:rsidP="008B59E5">
            <w:pPr>
              <w:pStyle w:val="TableParagraph"/>
              <w:ind w:left="170"/>
            </w:pPr>
            <w:r w:rsidRPr="002F3A26">
              <w:t>0.58</w:t>
            </w:r>
            <w:r w:rsidRPr="002F3A26">
              <w:rPr>
                <w:vertAlign w:val="superscript"/>
              </w:rPr>
              <w:t>***</w:t>
            </w:r>
          </w:p>
        </w:tc>
        <w:tc>
          <w:tcPr>
            <w:tcW w:w="1062" w:type="dxa"/>
          </w:tcPr>
          <w:p w14:paraId="365CB1C9" w14:textId="1929C5D6" w:rsidR="00B740B7" w:rsidRPr="002F3A26" w:rsidRDefault="00B740B7" w:rsidP="008B59E5">
            <w:pPr>
              <w:pStyle w:val="TableParagraph"/>
              <w:ind w:left="170"/>
            </w:pPr>
            <w:r w:rsidRPr="002F3A26">
              <w:t>0.77</w:t>
            </w:r>
            <w:r w:rsidRPr="002F3A26">
              <w:rPr>
                <w:vertAlign w:val="superscript"/>
              </w:rPr>
              <w:t>*</w:t>
            </w:r>
          </w:p>
        </w:tc>
        <w:tc>
          <w:tcPr>
            <w:tcW w:w="1062" w:type="dxa"/>
          </w:tcPr>
          <w:p w14:paraId="1D1D37B3" w14:textId="365A0B68" w:rsidR="00B740B7" w:rsidRPr="002F3A26" w:rsidRDefault="00B740B7" w:rsidP="008B59E5">
            <w:pPr>
              <w:pStyle w:val="TableParagraph"/>
              <w:ind w:left="170"/>
            </w:pPr>
            <w:r w:rsidRPr="002F3A26">
              <w:t>1.37</w:t>
            </w:r>
            <w:r w:rsidRPr="002F3A26">
              <w:rPr>
                <w:vertAlign w:val="superscript"/>
              </w:rPr>
              <w:t>***</w:t>
            </w:r>
          </w:p>
        </w:tc>
        <w:tc>
          <w:tcPr>
            <w:tcW w:w="1062" w:type="dxa"/>
          </w:tcPr>
          <w:p w14:paraId="04EE930A" w14:textId="0A400A5E" w:rsidR="00B740B7" w:rsidRPr="002F3A26" w:rsidRDefault="00B740B7" w:rsidP="008B59E5">
            <w:pPr>
              <w:pStyle w:val="TableParagraph"/>
              <w:ind w:left="170"/>
            </w:pPr>
            <w:r w:rsidRPr="002F3A26">
              <w:t>1.55</w:t>
            </w:r>
            <w:r w:rsidRPr="002F3A26">
              <w:rPr>
                <w:vertAlign w:val="superscript"/>
              </w:rPr>
              <w:t>***</w:t>
            </w:r>
          </w:p>
        </w:tc>
        <w:tc>
          <w:tcPr>
            <w:tcW w:w="1063" w:type="dxa"/>
          </w:tcPr>
          <w:p w14:paraId="4F8BA546" w14:textId="3645F779" w:rsidR="00B740B7" w:rsidRPr="002F3A26" w:rsidRDefault="00B740B7" w:rsidP="008B59E5">
            <w:pPr>
              <w:pStyle w:val="TableParagraph"/>
              <w:ind w:left="170"/>
            </w:pPr>
            <w:r w:rsidRPr="002F3A26">
              <w:t>0.40</w:t>
            </w:r>
            <w:r w:rsidRPr="002F3A26">
              <w:rPr>
                <w:vertAlign w:val="superscript"/>
              </w:rPr>
              <w:t>***</w:t>
            </w:r>
          </w:p>
        </w:tc>
        <w:tc>
          <w:tcPr>
            <w:tcW w:w="1062" w:type="dxa"/>
          </w:tcPr>
          <w:p w14:paraId="1116DA92" w14:textId="4F357B4C" w:rsidR="00B740B7" w:rsidRPr="002F3A26" w:rsidRDefault="00B740B7" w:rsidP="008B59E5">
            <w:pPr>
              <w:pStyle w:val="TableParagraph"/>
              <w:ind w:left="170"/>
            </w:pPr>
            <w:r w:rsidRPr="002F3A26">
              <w:t>1.08</w:t>
            </w:r>
            <w:r w:rsidRPr="002F3A26">
              <w:rPr>
                <w:vertAlign w:val="superscript"/>
              </w:rPr>
              <w:t>*</w:t>
            </w:r>
          </w:p>
        </w:tc>
        <w:tc>
          <w:tcPr>
            <w:tcW w:w="1062" w:type="dxa"/>
          </w:tcPr>
          <w:p w14:paraId="34CBCC5C" w14:textId="00112F12" w:rsidR="00B740B7" w:rsidRPr="002F3A26" w:rsidRDefault="00B740B7" w:rsidP="008B59E5">
            <w:pPr>
              <w:pStyle w:val="TableParagraph"/>
              <w:ind w:left="170"/>
            </w:pPr>
            <w:r w:rsidRPr="002F3A26">
              <w:t>0.65</w:t>
            </w:r>
            <w:r w:rsidRPr="002F3A26">
              <w:rPr>
                <w:vertAlign w:val="superscript"/>
              </w:rPr>
              <w:t>***</w:t>
            </w:r>
          </w:p>
        </w:tc>
        <w:tc>
          <w:tcPr>
            <w:tcW w:w="1063" w:type="dxa"/>
          </w:tcPr>
          <w:p w14:paraId="096BBD8B" w14:textId="07679B37" w:rsidR="00B740B7" w:rsidRPr="002F3A26" w:rsidRDefault="00B740B7" w:rsidP="008B59E5">
            <w:pPr>
              <w:pStyle w:val="TableParagraph"/>
              <w:ind w:left="170"/>
            </w:pPr>
            <w:r w:rsidRPr="002F3A26">
              <w:t>0.95</w:t>
            </w:r>
          </w:p>
        </w:tc>
      </w:tr>
      <w:tr w:rsidR="00B740B7" w:rsidRPr="002F3A26" w14:paraId="7C2FF6B5" w14:textId="77777777" w:rsidTr="00954558">
        <w:trPr>
          <w:trHeight w:val="218"/>
        </w:trPr>
        <w:tc>
          <w:tcPr>
            <w:tcW w:w="2263" w:type="dxa"/>
          </w:tcPr>
          <w:p w14:paraId="614BABFE" w14:textId="5C4EB066" w:rsidR="00B740B7" w:rsidRPr="002F3A26" w:rsidRDefault="00B740B7" w:rsidP="00634F39">
            <w:pPr>
              <w:pStyle w:val="TableParagraph"/>
              <w:rPr>
                <w:rFonts w:cs="Arial"/>
              </w:rPr>
            </w:pPr>
            <w:r w:rsidRPr="002F3A26">
              <w:t>Disability</w:t>
            </w:r>
          </w:p>
        </w:tc>
        <w:tc>
          <w:tcPr>
            <w:tcW w:w="1062" w:type="dxa"/>
          </w:tcPr>
          <w:p w14:paraId="2F121B3F" w14:textId="01C8C8DA" w:rsidR="00B740B7" w:rsidRPr="002F3A26" w:rsidRDefault="00B740B7" w:rsidP="008B59E5">
            <w:pPr>
              <w:pStyle w:val="TableParagraph"/>
              <w:ind w:left="170"/>
              <w:rPr>
                <w:rFonts w:cs="Arial"/>
              </w:rPr>
            </w:pPr>
            <w:r w:rsidRPr="002F3A26">
              <w:t>0.96</w:t>
            </w:r>
          </w:p>
        </w:tc>
        <w:tc>
          <w:tcPr>
            <w:tcW w:w="1062" w:type="dxa"/>
          </w:tcPr>
          <w:p w14:paraId="64AC0FE9" w14:textId="0E8CE110" w:rsidR="00B740B7" w:rsidRPr="002F3A26" w:rsidRDefault="00B740B7" w:rsidP="008B59E5">
            <w:pPr>
              <w:pStyle w:val="TableParagraph"/>
              <w:ind w:left="170"/>
              <w:rPr>
                <w:rFonts w:cs="Arial"/>
              </w:rPr>
            </w:pPr>
            <w:r w:rsidRPr="002F3A26">
              <w:t>1.04</w:t>
            </w:r>
          </w:p>
        </w:tc>
        <w:tc>
          <w:tcPr>
            <w:tcW w:w="1062" w:type="dxa"/>
          </w:tcPr>
          <w:p w14:paraId="37EB372F" w14:textId="7A9F0B14" w:rsidR="00B740B7" w:rsidRPr="002F3A26" w:rsidRDefault="00B740B7" w:rsidP="008B59E5">
            <w:pPr>
              <w:pStyle w:val="TableParagraph"/>
              <w:ind w:left="170"/>
              <w:rPr>
                <w:rFonts w:cs="Arial"/>
              </w:rPr>
            </w:pPr>
            <w:r w:rsidRPr="002F3A26">
              <w:t>0.98</w:t>
            </w:r>
          </w:p>
        </w:tc>
        <w:tc>
          <w:tcPr>
            <w:tcW w:w="1063" w:type="dxa"/>
          </w:tcPr>
          <w:p w14:paraId="55B0E23C" w14:textId="355443F3" w:rsidR="00B740B7" w:rsidRPr="002F3A26" w:rsidRDefault="00B740B7" w:rsidP="008B59E5">
            <w:pPr>
              <w:pStyle w:val="TableParagraph"/>
              <w:ind w:left="170"/>
            </w:pPr>
            <w:r w:rsidRPr="002F3A26">
              <w:t>1.12</w:t>
            </w:r>
          </w:p>
        </w:tc>
        <w:tc>
          <w:tcPr>
            <w:tcW w:w="1062" w:type="dxa"/>
          </w:tcPr>
          <w:p w14:paraId="7DE401AB" w14:textId="5CCB89C9" w:rsidR="00B740B7" w:rsidRPr="002F3A26" w:rsidRDefault="00B740B7" w:rsidP="008B59E5">
            <w:pPr>
              <w:pStyle w:val="TableParagraph"/>
              <w:ind w:left="170"/>
            </w:pPr>
            <w:r w:rsidRPr="002F3A26">
              <w:t>0.63</w:t>
            </w:r>
          </w:p>
        </w:tc>
        <w:tc>
          <w:tcPr>
            <w:tcW w:w="1062" w:type="dxa"/>
          </w:tcPr>
          <w:p w14:paraId="2F20F036" w14:textId="344AD30A" w:rsidR="00B740B7" w:rsidRPr="002F3A26" w:rsidRDefault="00B740B7" w:rsidP="008B59E5">
            <w:pPr>
              <w:pStyle w:val="TableParagraph"/>
              <w:ind w:left="170"/>
            </w:pPr>
            <w:r w:rsidRPr="002F3A26">
              <w:t>0.91</w:t>
            </w:r>
          </w:p>
        </w:tc>
        <w:tc>
          <w:tcPr>
            <w:tcW w:w="1062" w:type="dxa"/>
          </w:tcPr>
          <w:p w14:paraId="1DAC2175" w14:textId="48CA425F" w:rsidR="00B740B7" w:rsidRPr="002F3A26" w:rsidRDefault="00B740B7" w:rsidP="008B59E5">
            <w:pPr>
              <w:pStyle w:val="TableParagraph"/>
              <w:ind w:left="170"/>
            </w:pPr>
            <w:r w:rsidRPr="002F3A26">
              <w:t>1.21</w:t>
            </w:r>
          </w:p>
        </w:tc>
        <w:tc>
          <w:tcPr>
            <w:tcW w:w="1063" w:type="dxa"/>
          </w:tcPr>
          <w:p w14:paraId="6F8C572C" w14:textId="32160ED9" w:rsidR="00B740B7" w:rsidRPr="002F3A26" w:rsidRDefault="00B740B7" w:rsidP="008B59E5">
            <w:pPr>
              <w:pStyle w:val="TableParagraph"/>
              <w:ind w:left="170"/>
            </w:pPr>
            <w:r w:rsidRPr="002F3A26">
              <w:t>0.66</w:t>
            </w:r>
          </w:p>
        </w:tc>
        <w:tc>
          <w:tcPr>
            <w:tcW w:w="1062" w:type="dxa"/>
          </w:tcPr>
          <w:p w14:paraId="741C4AF5" w14:textId="10558D1A" w:rsidR="00B740B7" w:rsidRPr="002F3A26" w:rsidRDefault="00B740B7" w:rsidP="008B59E5">
            <w:pPr>
              <w:pStyle w:val="TableParagraph"/>
              <w:ind w:left="170"/>
            </w:pPr>
            <w:r w:rsidRPr="002F3A26">
              <w:t>1.14</w:t>
            </w:r>
          </w:p>
        </w:tc>
        <w:tc>
          <w:tcPr>
            <w:tcW w:w="1062" w:type="dxa"/>
          </w:tcPr>
          <w:p w14:paraId="7C749229" w14:textId="164B5990" w:rsidR="00B740B7" w:rsidRPr="002F3A26" w:rsidRDefault="00B740B7" w:rsidP="008B59E5">
            <w:pPr>
              <w:pStyle w:val="TableParagraph"/>
              <w:ind w:left="170"/>
            </w:pPr>
            <w:r w:rsidRPr="002F3A26">
              <w:t>0.88</w:t>
            </w:r>
          </w:p>
        </w:tc>
        <w:tc>
          <w:tcPr>
            <w:tcW w:w="1063" w:type="dxa"/>
          </w:tcPr>
          <w:p w14:paraId="1F182429" w14:textId="199E99AC" w:rsidR="00B740B7" w:rsidRPr="002F3A26" w:rsidRDefault="00B740B7" w:rsidP="008B59E5">
            <w:pPr>
              <w:pStyle w:val="TableParagraph"/>
              <w:ind w:left="170"/>
            </w:pPr>
            <w:r w:rsidRPr="002F3A26">
              <w:t>0.62</w:t>
            </w:r>
          </w:p>
        </w:tc>
      </w:tr>
      <w:tr w:rsidR="00B740B7" w:rsidRPr="002F3A26" w14:paraId="55E05155" w14:textId="77777777" w:rsidTr="00954558">
        <w:trPr>
          <w:trHeight w:val="218"/>
        </w:trPr>
        <w:tc>
          <w:tcPr>
            <w:tcW w:w="2263" w:type="dxa"/>
          </w:tcPr>
          <w:p w14:paraId="57187856" w14:textId="28257FD1" w:rsidR="00B740B7" w:rsidRPr="002F3A26" w:rsidRDefault="00B740B7" w:rsidP="00634F39">
            <w:pPr>
              <w:pStyle w:val="TableParagraph"/>
              <w:rPr>
                <w:rFonts w:cs="Arial"/>
              </w:rPr>
            </w:pPr>
            <w:r w:rsidRPr="002F3A26">
              <w:t>FiF # Low SES</w:t>
            </w:r>
          </w:p>
        </w:tc>
        <w:tc>
          <w:tcPr>
            <w:tcW w:w="1062" w:type="dxa"/>
          </w:tcPr>
          <w:p w14:paraId="60CD5B60" w14:textId="0D235C6F" w:rsidR="00B740B7" w:rsidRPr="002F3A26" w:rsidRDefault="00B740B7" w:rsidP="008B59E5">
            <w:pPr>
              <w:pStyle w:val="TableParagraph"/>
              <w:ind w:left="170"/>
              <w:rPr>
                <w:rFonts w:cs="Arial"/>
              </w:rPr>
            </w:pPr>
            <w:r w:rsidRPr="002F3A26">
              <w:t>1.21</w:t>
            </w:r>
            <w:r w:rsidRPr="002F3A26">
              <w:rPr>
                <w:vertAlign w:val="superscript"/>
              </w:rPr>
              <w:t>*</w:t>
            </w:r>
          </w:p>
        </w:tc>
        <w:tc>
          <w:tcPr>
            <w:tcW w:w="1062" w:type="dxa"/>
          </w:tcPr>
          <w:p w14:paraId="41374D70" w14:textId="609C1612" w:rsidR="00B740B7" w:rsidRPr="002F3A26" w:rsidRDefault="00B740B7" w:rsidP="008B59E5">
            <w:pPr>
              <w:pStyle w:val="TableParagraph"/>
              <w:ind w:left="170"/>
              <w:rPr>
                <w:rFonts w:cs="Arial"/>
              </w:rPr>
            </w:pPr>
            <w:r w:rsidRPr="002F3A26">
              <w:t>0.97</w:t>
            </w:r>
          </w:p>
        </w:tc>
        <w:tc>
          <w:tcPr>
            <w:tcW w:w="1062" w:type="dxa"/>
          </w:tcPr>
          <w:p w14:paraId="01A29A2F" w14:textId="43FA875F" w:rsidR="00B740B7" w:rsidRPr="002F3A26" w:rsidRDefault="00B740B7" w:rsidP="008B59E5">
            <w:pPr>
              <w:pStyle w:val="TableParagraph"/>
              <w:ind w:left="170"/>
              <w:rPr>
                <w:rFonts w:cs="Arial"/>
              </w:rPr>
            </w:pPr>
            <w:r w:rsidRPr="002F3A26">
              <w:t>1.02</w:t>
            </w:r>
          </w:p>
        </w:tc>
        <w:tc>
          <w:tcPr>
            <w:tcW w:w="1063" w:type="dxa"/>
          </w:tcPr>
          <w:p w14:paraId="56019E0B" w14:textId="04CB6B72" w:rsidR="00B740B7" w:rsidRPr="002F3A26" w:rsidRDefault="00B740B7" w:rsidP="008B59E5">
            <w:pPr>
              <w:pStyle w:val="TableParagraph"/>
              <w:ind w:left="170"/>
            </w:pPr>
            <w:r w:rsidRPr="002F3A26">
              <w:t>0.90</w:t>
            </w:r>
          </w:p>
        </w:tc>
        <w:tc>
          <w:tcPr>
            <w:tcW w:w="1062" w:type="dxa"/>
          </w:tcPr>
          <w:p w14:paraId="1718E2D8" w14:textId="25448013" w:rsidR="00B740B7" w:rsidRPr="002F3A26" w:rsidRDefault="00B740B7" w:rsidP="008B59E5">
            <w:pPr>
              <w:pStyle w:val="TableParagraph"/>
              <w:ind w:left="170"/>
            </w:pPr>
            <w:r w:rsidRPr="002F3A26">
              <w:t>1.70</w:t>
            </w:r>
          </w:p>
        </w:tc>
        <w:tc>
          <w:tcPr>
            <w:tcW w:w="1062" w:type="dxa"/>
          </w:tcPr>
          <w:p w14:paraId="30C3250D" w14:textId="161C1C88" w:rsidR="00B740B7" w:rsidRPr="002F3A26" w:rsidRDefault="00B740B7" w:rsidP="008B59E5">
            <w:pPr>
              <w:pStyle w:val="TableParagraph"/>
              <w:ind w:left="170"/>
            </w:pPr>
            <w:r w:rsidRPr="002F3A26">
              <w:t>1.06</w:t>
            </w:r>
          </w:p>
        </w:tc>
        <w:tc>
          <w:tcPr>
            <w:tcW w:w="1062" w:type="dxa"/>
          </w:tcPr>
          <w:p w14:paraId="4971407C" w14:textId="60562ADB" w:rsidR="00B740B7" w:rsidRPr="002F3A26" w:rsidRDefault="00B740B7" w:rsidP="008B59E5">
            <w:pPr>
              <w:pStyle w:val="TableParagraph"/>
              <w:ind w:left="170"/>
            </w:pPr>
            <w:r w:rsidRPr="002F3A26">
              <w:t>0.81</w:t>
            </w:r>
          </w:p>
        </w:tc>
        <w:tc>
          <w:tcPr>
            <w:tcW w:w="1063" w:type="dxa"/>
          </w:tcPr>
          <w:p w14:paraId="18C3A9F1" w14:textId="5DF3F7B8" w:rsidR="00B740B7" w:rsidRPr="002F3A26" w:rsidRDefault="00B740B7" w:rsidP="008B59E5">
            <w:pPr>
              <w:pStyle w:val="TableParagraph"/>
              <w:ind w:left="170"/>
            </w:pPr>
            <w:r w:rsidRPr="002F3A26">
              <w:t>1.14</w:t>
            </w:r>
          </w:p>
        </w:tc>
        <w:tc>
          <w:tcPr>
            <w:tcW w:w="1062" w:type="dxa"/>
          </w:tcPr>
          <w:p w14:paraId="3BCC2752" w14:textId="6BB9E905" w:rsidR="00B740B7" w:rsidRPr="002F3A26" w:rsidRDefault="00B740B7" w:rsidP="008B59E5">
            <w:pPr>
              <w:pStyle w:val="TableParagraph"/>
              <w:ind w:left="170"/>
            </w:pPr>
            <w:r w:rsidRPr="002F3A26">
              <w:t>1.08</w:t>
            </w:r>
          </w:p>
        </w:tc>
        <w:tc>
          <w:tcPr>
            <w:tcW w:w="1062" w:type="dxa"/>
          </w:tcPr>
          <w:p w14:paraId="220D50A7" w14:textId="259D8D2B" w:rsidR="00B740B7" w:rsidRPr="002F3A26" w:rsidRDefault="00B740B7" w:rsidP="008B59E5">
            <w:pPr>
              <w:pStyle w:val="TableParagraph"/>
              <w:ind w:left="170"/>
            </w:pPr>
            <w:r w:rsidRPr="002F3A26">
              <w:t>0.73</w:t>
            </w:r>
          </w:p>
        </w:tc>
        <w:tc>
          <w:tcPr>
            <w:tcW w:w="1063" w:type="dxa"/>
          </w:tcPr>
          <w:p w14:paraId="73DBE4AA" w14:textId="5AEFD5F6" w:rsidR="00B740B7" w:rsidRPr="002F3A26" w:rsidRDefault="00B740B7" w:rsidP="008B59E5">
            <w:pPr>
              <w:pStyle w:val="TableParagraph"/>
              <w:ind w:left="170"/>
            </w:pPr>
            <w:r w:rsidRPr="002F3A26">
              <w:t>1.91</w:t>
            </w:r>
            <w:r w:rsidRPr="002F3A26">
              <w:rPr>
                <w:vertAlign w:val="superscript"/>
              </w:rPr>
              <w:t>**</w:t>
            </w:r>
          </w:p>
        </w:tc>
      </w:tr>
      <w:tr w:rsidR="00B740B7" w:rsidRPr="002F3A26" w14:paraId="15CF13E9" w14:textId="77777777" w:rsidTr="00954558">
        <w:trPr>
          <w:trHeight w:val="218"/>
        </w:trPr>
        <w:tc>
          <w:tcPr>
            <w:tcW w:w="2263" w:type="dxa"/>
          </w:tcPr>
          <w:p w14:paraId="199D0239" w14:textId="76E4AD48" w:rsidR="00B740B7" w:rsidRPr="002F3A26" w:rsidRDefault="00B740B7" w:rsidP="00634F39">
            <w:pPr>
              <w:pStyle w:val="TableParagraph"/>
              <w:rPr>
                <w:rFonts w:cs="Arial"/>
              </w:rPr>
            </w:pPr>
            <w:r w:rsidRPr="002F3A26">
              <w:t xml:space="preserve">FiF # </w:t>
            </w:r>
            <w:r w:rsidR="009F5FEC">
              <w:t>RR</w:t>
            </w:r>
          </w:p>
        </w:tc>
        <w:tc>
          <w:tcPr>
            <w:tcW w:w="1062" w:type="dxa"/>
          </w:tcPr>
          <w:p w14:paraId="376AFE1A" w14:textId="3FD78FAD" w:rsidR="00B740B7" w:rsidRPr="002F3A26" w:rsidRDefault="00B740B7" w:rsidP="008B59E5">
            <w:pPr>
              <w:pStyle w:val="TableParagraph"/>
              <w:ind w:left="170"/>
              <w:rPr>
                <w:rFonts w:cs="Arial"/>
              </w:rPr>
            </w:pPr>
            <w:r w:rsidRPr="002F3A26">
              <w:t>1.01</w:t>
            </w:r>
          </w:p>
        </w:tc>
        <w:tc>
          <w:tcPr>
            <w:tcW w:w="1062" w:type="dxa"/>
          </w:tcPr>
          <w:p w14:paraId="1EA30A88" w14:textId="2D655E47" w:rsidR="00B740B7" w:rsidRPr="002F3A26" w:rsidRDefault="00B740B7" w:rsidP="008B59E5">
            <w:pPr>
              <w:pStyle w:val="TableParagraph"/>
              <w:ind w:left="170"/>
              <w:rPr>
                <w:rFonts w:cs="Arial"/>
              </w:rPr>
            </w:pPr>
            <w:r w:rsidRPr="002F3A26">
              <w:t>0.97</w:t>
            </w:r>
          </w:p>
        </w:tc>
        <w:tc>
          <w:tcPr>
            <w:tcW w:w="1062" w:type="dxa"/>
          </w:tcPr>
          <w:p w14:paraId="6FD7CA23" w14:textId="0A3006EF" w:rsidR="00B740B7" w:rsidRPr="002F3A26" w:rsidRDefault="00B740B7" w:rsidP="008B59E5">
            <w:pPr>
              <w:pStyle w:val="TableParagraph"/>
              <w:ind w:left="170"/>
              <w:rPr>
                <w:rFonts w:cs="Arial"/>
              </w:rPr>
            </w:pPr>
            <w:r w:rsidRPr="002F3A26">
              <w:t>0.95</w:t>
            </w:r>
          </w:p>
        </w:tc>
        <w:tc>
          <w:tcPr>
            <w:tcW w:w="1063" w:type="dxa"/>
          </w:tcPr>
          <w:p w14:paraId="44728C89" w14:textId="1FEE4911" w:rsidR="00B740B7" w:rsidRPr="002F3A26" w:rsidRDefault="00B740B7" w:rsidP="008B59E5">
            <w:pPr>
              <w:pStyle w:val="TableParagraph"/>
              <w:ind w:left="170"/>
            </w:pPr>
            <w:r w:rsidRPr="002F3A26">
              <w:t>0.76</w:t>
            </w:r>
            <w:r w:rsidRPr="002F3A26">
              <w:rPr>
                <w:vertAlign w:val="superscript"/>
              </w:rPr>
              <w:t>*</w:t>
            </w:r>
          </w:p>
        </w:tc>
        <w:tc>
          <w:tcPr>
            <w:tcW w:w="1062" w:type="dxa"/>
          </w:tcPr>
          <w:p w14:paraId="79864C4B" w14:textId="2975FBCA" w:rsidR="00B740B7" w:rsidRPr="002F3A26" w:rsidRDefault="00B740B7" w:rsidP="008B59E5">
            <w:pPr>
              <w:pStyle w:val="TableParagraph"/>
              <w:ind w:left="170"/>
            </w:pPr>
            <w:r w:rsidRPr="002F3A26">
              <w:t>1.26</w:t>
            </w:r>
          </w:p>
        </w:tc>
        <w:tc>
          <w:tcPr>
            <w:tcW w:w="1062" w:type="dxa"/>
          </w:tcPr>
          <w:p w14:paraId="3029C1FF" w14:textId="48E9A4D1" w:rsidR="00B740B7" w:rsidRPr="002F3A26" w:rsidRDefault="00B740B7" w:rsidP="008B59E5">
            <w:pPr>
              <w:pStyle w:val="TableParagraph"/>
              <w:ind w:left="170"/>
            </w:pPr>
            <w:r w:rsidRPr="002F3A26">
              <w:t>0.98</w:t>
            </w:r>
          </w:p>
        </w:tc>
        <w:tc>
          <w:tcPr>
            <w:tcW w:w="1062" w:type="dxa"/>
          </w:tcPr>
          <w:p w14:paraId="4D042AED" w14:textId="21711BA3" w:rsidR="00B740B7" w:rsidRPr="002F3A26" w:rsidRDefault="00B740B7" w:rsidP="008B59E5">
            <w:pPr>
              <w:pStyle w:val="TableParagraph"/>
              <w:ind w:left="170"/>
            </w:pPr>
            <w:r w:rsidRPr="002F3A26">
              <w:t>1.13</w:t>
            </w:r>
          </w:p>
        </w:tc>
        <w:tc>
          <w:tcPr>
            <w:tcW w:w="1063" w:type="dxa"/>
          </w:tcPr>
          <w:p w14:paraId="33EFB764" w14:textId="649F4E43" w:rsidR="00B740B7" w:rsidRPr="002F3A26" w:rsidRDefault="00B740B7" w:rsidP="008B59E5">
            <w:pPr>
              <w:pStyle w:val="TableParagraph"/>
              <w:ind w:left="170"/>
            </w:pPr>
            <w:r w:rsidRPr="002F3A26">
              <w:t>1.01</w:t>
            </w:r>
          </w:p>
        </w:tc>
        <w:tc>
          <w:tcPr>
            <w:tcW w:w="1062" w:type="dxa"/>
          </w:tcPr>
          <w:p w14:paraId="5E34C816" w14:textId="65B4DD19" w:rsidR="00B740B7" w:rsidRPr="002F3A26" w:rsidRDefault="00B740B7" w:rsidP="008B59E5">
            <w:pPr>
              <w:pStyle w:val="TableParagraph"/>
              <w:ind w:left="170"/>
            </w:pPr>
            <w:r w:rsidRPr="002F3A26">
              <w:t>0.96</w:t>
            </w:r>
          </w:p>
        </w:tc>
        <w:tc>
          <w:tcPr>
            <w:tcW w:w="1062" w:type="dxa"/>
          </w:tcPr>
          <w:p w14:paraId="29ECEAC1" w14:textId="2C146ADB" w:rsidR="00B740B7" w:rsidRPr="002F3A26" w:rsidRDefault="00B740B7" w:rsidP="008B59E5">
            <w:pPr>
              <w:pStyle w:val="TableParagraph"/>
              <w:ind w:left="170"/>
            </w:pPr>
            <w:r w:rsidRPr="002F3A26">
              <w:t>0.78</w:t>
            </w:r>
          </w:p>
        </w:tc>
        <w:tc>
          <w:tcPr>
            <w:tcW w:w="1063" w:type="dxa"/>
          </w:tcPr>
          <w:p w14:paraId="00F6C423" w14:textId="04A3C7A6" w:rsidR="00B740B7" w:rsidRPr="002F3A26" w:rsidRDefault="00B740B7" w:rsidP="008B59E5">
            <w:pPr>
              <w:pStyle w:val="TableParagraph"/>
              <w:ind w:left="170"/>
            </w:pPr>
            <w:r w:rsidRPr="002F3A26">
              <w:t>0.91</w:t>
            </w:r>
          </w:p>
        </w:tc>
      </w:tr>
      <w:tr w:rsidR="00B740B7" w:rsidRPr="002F3A26" w14:paraId="27D3F5C9" w14:textId="77777777" w:rsidTr="00954558">
        <w:trPr>
          <w:trHeight w:val="218"/>
        </w:trPr>
        <w:tc>
          <w:tcPr>
            <w:tcW w:w="2263" w:type="dxa"/>
          </w:tcPr>
          <w:p w14:paraId="443B9708" w14:textId="4F54D678" w:rsidR="00B740B7" w:rsidRPr="002F3A26" w:rsidRDefault="00B740B7" w:rsidP="00634F39">
            <w:pPr>
              <w:pStyle w:val="TableParagraph"/>
              <w:rPr>
                <w:rFonts w:cs="Arial"/>
              </w:rPr>
            </w:pPr>
            <w:r w:rsidRPr="002F3A26">
              <w:t>FiF # Indigenous</w:t>
            </w:r>
          </w:p>
        </w:tc>
        <w:tc>
          <w:tcPr>
            <w:tcW w:w="1062" w:type="dxa"/>
          </w:tcPr>
          <w:p w14:paraId="3D1DD487" w14:textId="10738F5F" w:rsidR="00B740B7" w:rsidRPr="002F3A26" w:rsidRDefault="00B740B7" w:rsidP="008B59E5">
            <w:pPr>
              <w:pStyle w:val="TableParagraph"/>
              <w:ind w:left="170"/>
              <w:rPr>
                <w:rFonts w:cs="Arial"/>
              </w:rPr>
            </w:pPr>
            <w:r w:rsidRPr="002F3A26">
              <w:t>0.71</w:t>
            </w:r>
          </w:p>
        </w:tc>
        <w:tc>
          <w:tcPr>
            <w:tcW w:w="1062" w:type="dxa"/>
          </w:tcPr>
          <w:p w14:paraId="3C6F0D45" w14:textId="5E70A4D7" w:rsidR="00B740B7" w:rsidRPr="002F3A26" w:rsidRDefault="00B740B7" w:rsidP="008B59E5">
            <w:pPr>
              <w:pStyle w:val="TableParagraph"/>
              <w:ind w:left="170"/>
              <w:rPr>
                <w:rFonts w:cs="Arial"/>
              </w:rPr>
            </w:pPr>
            <w:r w:rsidRPr="002F3A26">
              <w:t>0.64</w:t>
            </w:r>
          </w:p>
        </w:tc>
        <w:tc>
          <w:tcPr>
            <w:tcW w:w="1062" w:type="dxa"/>
          </w:tcPr>
          <w:p w14:paraId="0B5CDBD3" w14:textId="5A6C5A9D" w:rsidR="00B740B7" w:rsidRPr="002F3A26" w:rsidRDefault="00B740B7" w:rsidP="008B59E5">
            <w:pPr>
              <w:pStyle w:val="TableParagraph"/>
              <w:ind w:left="170"/>
              <w:rPr>
                <w:rFonts w:cs="Arial"/>
              </w:rPr>
            </w:pPr>
            <w:r w:rsidRPr="002F3A26">
              <w:t>0.56</w:t>
            </w:r>
          </w:p>
        </w:tc>
        <w:tc>
          <w:tcPr>
            <w:tcW w:w="1063" w:type="dxa"/>
          </w:tcPr>
          <w:p w14:paraId="0469D345" w14:textId="03D60E45" w:rsidR="00B740B7" w:rsidRPr="002F3A26" w:rsidRDefault="00B740B7" w:rsidP="008B59E5">
            <w:pPr>
              <w:pStyle w:val="TableParagraph"/>
              <w:ind w:left="170"/>
            </w:pPr>
            <w:r w:rsidRPr="002F3A26">
              <w:t>0.57</w:t>
            </w:r>
          </w:p>
        </w:tc>
        <w:tc>
          <w:tcPr>
            <w:tcW w:w="1062" w:type="dxa"/>
          </w:tcPr>
          <w:p w14:paraId="6ADAB895" w14:textId="5DD02A3B" w:rsidR="00B740B7" w:rsidRPr="002F3A26" w:rsidRDefault="00B740B7" w:rsidP="008B59E5">
            <w:pPr>
              <w:pStyle w:val="TableParagraph"/>
              <w:ind w:left="170"/>
            </w:pPr>
            <w:r w:rsidRPr="002F3A26">
              <w:t>0.44</w:t>
            </w:r>
          </w:p>
        </w:tc>
        <w:tc>
          <w:tcPr>
            <w:tcW w:w="1062" w:type="dxa"/>
          </w:tcPr>
          <w:p w14:paraId="63E82702" w14:textId="5C35221C" w:rsidR="00B740B7" w:rsidRPr="002F3A26" w:rsidRDefault="00B740B7" w:rsidP="008B59E5">
            <w:pPr>
              <w:pStyle w:val="TableParagraph"/>
              <w:ind w:left="170"/>
            </w:pPr>
            <w:r w:rsidRPr="002F3A26">
              <w:t>1.03</w:t>
            </w:r>
          </w:p>
        </w:tc>
        <w:tc>
          <w:tcPr>
            <w:tcW w:w="1062" w:type="dxa"/>
          </w:tcPr>
          <w:p w14:paraId="5C2D73BB" w14:textId="7A789D7A" w:rsidR="00B740B7" w:rsidRPr="002F3A26" w:rsidRDefault="00B740B7" w:rsidP="008B59E5">
            <w:pPr>
              <w:pStyle w:val="TableParagraph"/>
              <w:ind w:left="170"/>
            </w:pPr>
            <w:r w:rsidRPr="002F3A26">
              <w:t>0.52</w:t>
            </w:r>
          </w:p>
        </w:tc>
        <w:tc>
          <w:tcPr>
            <w:tcW w:w="1063" w:type="dxa"/>
          </w:tcPr>
          <w:p w14:paraId="56BDBE60" w14:textId="703DA545" w:rsidR="00B740B7" w:rsidRPr="002F3A26" w:rsidRDefault="00B740B7" w:rsidP="008B59E5">
            <w:pPr>
              <w:pStyle w:val="TableParagraph"/>
              <w:ind w:left="170"/>
            </w:pPr>
            <w:r w:rsidRPr="002F3A26">
              <w:t>0.58</w:t>
            </w:r>
          </w:p>
        </w:tc>
        <w:tc>
          <w:tcPr>
            <w:tcW w:w="1062" w:type="dxa"/>
          </w:tcPr>
          <w:p w14:paraId="713AF7E4" w14:textId="7E500758" w:rsidR="00B740B7" w:rsidRPr="002F3A26" w:rsidRDefault="00B740B7" w:rsidP="008B59E5">
            <w:pPr>
              <w:pStyle w:val="TableParagraph"/>
              <w:ind w:left="170"/>
            </w:pPr>
            <w:r w:rsidRPr="002F3A26">
              <w:t>0.52</w:t>
            </w:r>
            <w:r w:rsidRPr="002F3A26">
              <w:rPr>
                <w:vertAlign w:val="superscript"/>
              </w:rPr>
              <w:t>*</w:t>
            </w:r>
          </w:p>
        </w:tc>
        <w:tc>
          <w:tcPr>
            <w:tcW w:w="1062" w:type="dxa"/>
          </w:tcPr>
          <w:p w14:paraId="7E44DD56" w14:textId="50784703" w:rsidR="00B740B7" w:rsidRPr="002F3A26" w:rsidRDefault="00B740B7" w:rsidP="008B59E5">
            <w:pPr>
              <w:pStyle w:val="TableParagraph"/>
              <w:ind w:left="170"/>
            </w:pPr>
            <w:r w:rsidRPr="002F3A26">
              <w:t>0.83</w:t>
            </w:r>
          </w:p>
        </w:tc>
        <w:tc>
          <w:tcPr>
            <w:tcW w:w="1063" w:type="dxa"/>
          </w:tcPr>
          <w:p w14:paraId="32EC21A8" w14:textId="5BA67CF3" w:rsidR="00B740B7" w:rsidRPr="002F3A26" w:rsidRDefault="00B740B7" w:rsidP="008B59E5">
            <w:pPr>
              <w:pStyle w:val="TableParagraph"/>
              <w:ind w:left="170"/>
            </w:pPr>
            <w:r w:rsidRPr="002F3A26">
              <w:t>0.91</w:t>
            </w:r>
          </w:p>
        </w:tc>
      </w:tr>
      <w:tr w:rsidR="00B740B7" w:rsidRPr="002F3A26" w14:paraId="20C7D5D1" w14:textId="77777777" w:rsidTr="00954558">
        <w:trPr>
          <w:trHeight w:val="218"/>
        </w:trPr>
        <w:tc>
          <w:tcPr>
            <w:tcW w:w="2263" w:type="dxa"/>
          </w:tcPr>
          <w:p w14:paraId="0988EC00" w14:textId="5BA7F65C" w:rsidR="00B740B7" w:rsidRPr="002F3A26" w:rsidRDefault="00B740B7" w:rsidP="00634F39">
            <w:pPr>
              <w:pStyle w:val="TableParagraph"/>
              <w:rPr>
                <w:rFonts w:cs="Arial"/>
              </w:rPr>
            </w:pPr>
            <w:r w:rsidRPr="002F3A26">
              <w:t>FiF # NESB</w:t>
            </w:r>
          </w:p>
        </w:tc>
        <w:tc>
          <w:tcPr>
            <w:tcW w:w="1062" w:type="dxa"/>
          </w:tcPr>
          <w:p w14:paraId="64D27684" w14:textId="340C8A20" w:rsidR="00B740B7" w:rsidRPr="002F3A26" w:rsidRDefault="00B740B7" w:rsidP="008B59E5">
            <w:pPr>
              <w:pStyle w:val="TableParagraph"/>
              <w:ind w:left="170"/>
              <w:rPr>
                <w:rFonts w:cs="Arial"/>
              </w:rPr>
            </w:pPr>
            <w:r w:rsidRPr="002F3A26">
              <w:t>0.82</w:t>
            </w:r>
          </w:p>
        </w:tc>
        <w:tc>
          <w:tcPr>
            <w:tcW w:w="1062" w:type="dxa"/>
          </w:tcPr>
          <w:p w14:paraId="7919A0D5" w14:textId="2364218E" w:rsidR="00B740B7" w:rsidRPr="002F3A26" w:rsidRDefault="00B740B7" w:rsidP="008B59E5">
            <w:pPr>
              <w:pStyle w:val="TableParagraph"/>
              <w:ind w:left="170"/>
              <w:rPr>
                <w:rFonts w:cs="Arial"/>
              </w:rPr>
            </w:pPr>
            <w:r w:rsidRPr="002F3A26">
              <w:t>0.70</w:t>
            </w:r>
          </w:p>
        </w:tc>
        <w:tc>
          <w:tcPr>
            <w:tcW w:w="1062" w:type="dxa"/>
          </w:tcPr>
          <w:p w14:paraId="673C0762" w14:textId="56903063" w:rsidR="00B740B7" w:rsidRPr="002F3A26" w:rsidRDefault="00B740B7" w:rsidP="008B59E5">
            <w:pPr>
              <w:pStyle w:val="TableParagraph"/>
              <w:ind w:left="170"/>
              <w:rPr>
                <w:rFonts w:cs="Arial"/>
              </w:rPr>
            </w:pPr>
            <w:r w:rsidRPr="002F3A26">
              <w:t>0.79</w:t>
            </w:r>
          </w:p>
        </w:tc>
        <w:tc>
          <w:tcPr>
            <w:tcW w:w="1063" w:type="dxa"/>
          </w:tcPr>
          <w:p w14:paraId="04F42C1F" w14:textId="4F1B627E" w:rsidR="00B740B7" w:rsidRPr="002F3A26" w:rsidRDefault="00B740B7" w:rsidP="008B59E5">
            <w:pPr>
              <w:pStyle w:val="TableParagraph"/>
              <w:ind w:left="170"/>
            </w:pPr>
            <w:r w:rsidRPr="002F3A26">
              <w:t>0.75</w:t>
            </w:r>
          </w:p>
        </w:tc>
        <w:tc>
          <w:tcPr>
            <w:tcW w:w="1062" w:type="dxa"/>
          </w:tcPr>
          <w:p w14:paraId="264D5BDC" w14:textId="1EDF6758" w:rsidR="00B740B7" w:rsidRPr="002F3A26" w:rsidRDefault="00B740B7" w:rsidP="008B59E5">
            <w:pPr>
              <w:pStyle w:val="TableParagraph"/>
              <w:ind w:left="170"/>
            </w:pPr>
            <w:r w:rsidRPr="002F3A26">
              <w:t>0.59</w:t>
            </w:r>
          </w:p>
        </w:tc>
        <w:tc>
          <w:tcPr>
            <w:tcW w:w="1062" w:type="dxa"/>
          </w:tcPr>
          <w:p w14:paraId="00C9BC0D" w14:textId="54E30C75" w:rsidR="00B740B7" w:rsidRPr="002F3A26" w:rsidRDefault="00B740B7" w:rsidP="008B59E5">
            <w:pPr>
              <w:pStyle w:val="TableParagraph"/>
              <w:ind w:left="170"/>
            </w:pPr>
            <w:r w:rsidRPr="002F3A26">
              <w:t>0.78</w:t>
            </w:r>
            <w:r w:rsidRPr="002F3A26">
              <w:rPr>
                <w:vertAlign w:val="superscript"/>
              </w:rPr>
              <w:t>*</w:t>
            </w:r>
          </w:p>
        </w:tc>
        <w:tc>
          <w:tcPr>
            <w:tcW w:w="1062" w:type="dxa"/>
          </w:tcPr>
          <w:p w14:paraId="563FE9E1" w14:textId="353FA011" w:rsidR="00B740B7" w:rsidRPr="002F3A26" w:rsidRDefault="00B740B7" w:rsidP="008B59E5">
            <w:pPr>
              <w:pStyle w:val="TableParagraph"/>
              <w:ind w:left="170"/>
            </w:pPr>
            <w:r w:rsidRPr="002F3A26">
              <w:t>0.72</w:t>
            </w:r>
          </w:p>
        </w:tc>
        <w:tc>
          <w:tcPr>
            <w:tcW w:w="1063" w:type="dxa"/>
          </w:tcPr>
          <w:p w14:paraId="6CFC4E8E" w14:textId="618A915D" w:rsidR="00B740B7" w:rsidRPr="002F3A26" w:rsidRDefault="00B740B7" w:rsidP="008B59E5">
            <w:pPr>
              <w:pStyle w:val="TableParagraph"/>
              <w:ind w:left="170"/>
            </w:pPr>
            <w:r w:rsidRPr="002F3A26">
              <w:t>0.84</w:t>
            </w:r>
          </w:p>
        </w:tc>
        <w:tc>
          <w:tcPr>
            <w:tcW w:w="1062" w:type="dxa"/>
          </w:tcPr>
          <w:p w14:paraId="124ED461" w14:textId="116EA51A" w:rsidR="00B740B7" w:rsidRPr="002F3A26" w:rsidRDefault="00B740B7" w:rsidP="008B59E5">
            <w:pPr>
              <w:pStyle w:val="TableParagraph"/>
              <w:ind w:left="170"/>
            </w:pPr>
            <w:r w:rsidRPr="002F3A26">
              <w:t>0.77</w:t>
            </w:r>
          </w:p>
        </w:tc>
        <w:tc>
          <w:tcPr>
            <w:tcW w:w="1062" w:type="dxa"/>
          </w:tcPr>
          <w:p w14:paraId="75365684" w14:textId="5FD1676A" w:rsidR="00B740B7" w:rsidRPr="002F3A26" w:rsidRDefault="00B740B7" w:rsidP="008B59E5">
            <w:pPr>
              <w:pStyle w:val="TableParagraph"/>
              <w:ind w:left="170"/>
            </w:pPr>
            <w:r w:rsidRPr="002F3A26">
              <w:t>1.89</w:t>
            </w:r>
          </w:p>
        </w:tc>
        <w:tc>
          <w:tcPr>
            <w:tcW w:w="1063" w:type="dxa"/>
          </w:tcPr>
          <w:p w14:paraId="40A1F885" w14:textId="6A623F67" w:rsidR="00B740B7" w:rsidRPr="002F3A26" w:rsidRDefault="00B740B7" w:rsidP="008B59E5">
            <w:pPr>
              <w:pStyle w:val="TableParagraph"/>
              <w:ind w:left="170"/>
            </w:pPr>
            <w:r w:rsidRPr="002F3A26">
              <w:t>1.05</w:t>
            </w:r>
          </w:p>
        </w:tc>
      </w:tr>
      <w:tr w:rsidR="00B740B7" w:rsidRPr="002F3A26" w14:paraId="7623712E" w14:textId="77777777" w:rsidTr="00954558">
        <w:trPr>
          <w:trHeight w:val="218"/>
        </w:trPr>
        <w:tc>
          <w:tcPr>
            <w:tcW w:w="2263" w:type="dxa"/>
          </w:tcPr>
          <w:p w14:paraId="2D62820D" w14:textId="63F8B441" w:rsidR="00B740B7" w:rsidRPr="002F3A26" w:rsidRDefault="00B740B7" w:rsidP="00634F39">
            <w:pPr>
              <w:pStyle w:val="TableParagraph"/>
              <w:rPr>
                <w:rFonts w:cs="Arial"/>
              </w:rPr>
            </w:pPr>
            <w:r w:rsidRPr="002F3A26">
              <w:t>FiF # Women</w:t>
            </w:r>
          </w:p>
        </w:tc>
        <w:tc>
          <w:tcPr>
            <w:tcW w:w="1062" w:type="dxa"/>
          </w:tcPr>
          <w:p w14:paraId="3723FF5F" w14:textId="3897691D" w:rsidR="00B740B7" w:rsidRPr="002F3A26" w:rsidRDefault="00B740B7" w:rsidP="008B59E5">
            <w:pPr>
              <w:pStyle w:val="TableParagraph"/>
              <w:ind w:left="170"/>
              <w:rPr>
                <w:rFonts w:cs="Arial"/>
              </w:rPr>
            </w:pPr>
            <w:r w:rsidRPr="002F3A26">
              <w:t>0.89</w:t>
            </w:r>
            <w:r w:rsidRPr="002F3A26">
              <w:rPr>
                <w:vertAlign w:val="superscript"/>
              </w:rPr>
              <w:t>**</w:t>
            </w:r>
          </w:p>
        </w:tc>
        <w:tc>
          <w:tcPr>
            <w:tcW w:w="1062" w:type="dxa"/>
          </w:tcPr>
          <w:p w14:paraId="7B08A065" w14:textId="0B975646" w:rsidR="00B740B7" w:rsidRPr="002F3A26" w:rsidRDefault="00B740B7" w:rsidP="008B59E5">
            <w:pPr>
              <w:pStyle w:val="TableParagraph"/>
              <w:ind w:left="170"/>
              <w:rPr>
                <w:rFonts w:cs="Arial"/>
              </w:rPr>
            </w:pPr>
            <w:r w:rsidRPr="002F3A26">
              <w:t>0.70</w:t>
            </w:r>
            <w:r w:rsidRPr="002F3A26">
              <w:rPr>
                <w:vertAlign w:val="superscript"/>
              </w:rPr>
              <w:t>***</w:t>
            </w:r>
          </w:p>
        </w:tc>
        <w:tc>
          <w:tcPr>
            <w:tcW w:w="1062" w:type="dxa"/>
          </w:tcPr>
          <w:p w14:paraId="14FE4E70" w14:textId="6559A5EE" w:rsidR="00B740B7" w:rsidRPr="002F3A26" w:rsidRDefault="00B740B7" w:rsidP="008B59E5">
            <w:pPr>
              <w:pStyle w:val="TableParagraph"/>
              <w:ind w:left="170"/>
              <w:rPr>
                <w:rFonts w:cs="Arial"/>
              </w:rPr>
            </w:pPr>
            <w:r w:rsidRPr="002F3A26">
              <w:t>0.63</w:t>
            </w:r>
            <w:r w:rsidRPr="002F3A26">
              <w:rPr>
                <w:vertAlign w:val="superscript"/>
              </w:rPr>
              <w:t>***</w:t>
            </w:r>
          </w:p>
        </w:tc>
        <w:tc>
          <w:tcPr>
            <w:tcW w:w="1063" w:type="dxa"/>
          </w:tcPr>
          <w:p w14:paraId="7B13C905" w14:textId="0ED9C1BF" w:rsidR="00B740B7" w:rsidRPr="002F3A26" w:rsidRDefault="00B740B7" w:rsidP="008B59E5">
            <w:pPr>
              <w:pStyle w:val="TableParagraph"/>
              <w:ind w:left="170"/>
            </w:pPr>
            <w:r w:rsidRPr="002F3A26">
              <w:t>0.68</w:t>
            </w:r>
            <w:r w:rsidRPr="002F3A26">
              <w:rPr>
                <w:vertAlign w:val="superscript"/>
              </w:rPr>
              <w:t>***</w:t>
            </w:r>
          </w:p>
        </w:tc>
        <w:tc>
          <w:tcPr>
            <w:tcW w:w="1062" w:type="dxa"/>
          </w:tcPr>
          <w:p w14:paraId="4113B6B5" w14:textId="0A86D848" w:rsidR="00B740B7" w:rsidRPr="002F3A26" w:rsidRDefault="00B740B7" w:rsidP="008B59E5">
            <w:pPr>
              <w:pStyle w:val="TableParagraph"/>
              <w:ind w:left="170"/>
            </w:pPr>
            <w:r w:rsidRPr="002F3A26">
              <w:t>1.17</w:t>
            </w:r>
          </w:p>
        </w:tc>
        <w:tc>
          <w:tcPr>
            <w:tcW w:w="1062" w:type="dxa"/>
          </w:tcPr>
          <w:p w14:paraId="2C551B31" w14:textId="6BAC75D4" w:rsidR="00B740B7" w:rsidRPr="002F3A26" w:rsidRDefault="00B740B7" w:rsidP="008B59E5">
            <w:pPr>
              <w:pStyle w:val="TableParagraph"/>
              <w:ind w:left="170"/>
            </w:pPr>
            <w:r w:rsidRPr="002F3A26">
              <w:t>1.08</w:t>
            </w:r>
          </w:p>
        </w:tc>
        <w:tc>
          <w:tcPr>
            <w:tcW w:w="1062" w:type="dxa"/>
          </w:tcPr>
          <w:p w14:paraId="5800EDAF" w14:textId="43940FCE" w:rsidR="00B740B7" w:rsidRPr="002F3A26" w:rsidRDefault="00B740B7" w:rsidP="008B59E5">
            <w:pPr>
              <w:pStyle w:val="TableParagraph"/>
              <w:ind w:left="170"/>
            </w:pPr>
            <w:r w:rsidRPr="002F3A26">
              <w:t>0.92</w:t>
            </w:r>
          </w:p>
        </w:tc>
        <w:tc>
          <w:tcPr>
            <w:tcW w:w="1063" w:type="dxa"/>
          </w:tcPr>
          <w:p w14:paraId="36AB25F8" w14:textId="03ABE00E" w:rsidR="00B740B7" w:rsidRPr="002F3A26" w:rsidRDefault="00B740B7" w:rsidP="008B59E5">
            <w:pPr>
              <w:pStyle w:val="TableParagraph"/>
              <w:ind w:left="170"/>
            </w:pPr>
            <w:r w:rsidRPr="002F3A26">
              <w:t>1.05</w:t>
            </w:r>
          </w:p>
        </w:tc>
        <w:tc>
          <w:tcPr>
            <w:tcW w:w="1062" w:type="dxa"/>
          </w:tcPr>
          <w:p w14:paraId="4B731B81" w14:textId="410B8804" w:rsidR="00B740B7" w:rsidRPr="002F3A26" w:rsidRDefault="00B740B7" w:rsidP="008B59E5">
            <w:pPr>
              <w:pStyle w:val="TableParagraph"/>
              <w:ind w:left="170"/>
            </w:pPr>
            <w:r w:rsidRPr="002F3A26">
              <w:t>1.09</w:t>
            </w:r>
          </w:p>
        </w:tc>
        <w:tc>
          <w:tcPr>
            <w:tcW w:w="1062" w:type="dxa"/>
          </w:tcPr>
          <w:p w14:paraId="19F2F83C" w14:textId="7BBC1B54" w:rsidR="00B740B7" w:rsidRPr="002F3A26" w:rsidRDefault="00B740B7" w:rsidP="008B59E5">
            <w:pPr>
              <w:pStyle w:val="TableParagraph"/>
              <w:ind w:left="170"/>
            </w:pPr>
            <w:r w:rsidRPr="002F3A26">
              <w:t>0.97</w:t>
            </w:r>
          </w:p>
        </w:tc>
        <w:tc>
          <w:tcPr>
            <w:tcW w:w="1063" w:type="dxa"/>
          </w:tcPr>
          <w:p w14:paraId="1929DD82" w14:textId="6A6C6031" w:rsidR="00B740B7" w:rsidRPr="002F3A26" w:rsidRDefault="00B740B7" w:rsidP="008B59E5">
            <w:pPr>
              <w:pStyle w:val="TableParagraph"/>
              <w:ind w:left="170"/>
            </w:pPr>
            <w:r w:rsidRPr="002F3A26">
              <w:t>0.95</w:t>
            </w:r>
          </w:p>
        </w:tc>
      </w:tr>
      <w:tr w:rsidR="00B740B7" w:rsidRPr="002F3A26" w14:paraId="411EE457" w14:textId="77777777" w:rsidTr="00954558">
        <w:trPr>
          <w:trHeight w:val="218"/>
        </w:trPr>
        <w:tc>
          <w:tcPr>
            <w:tcW w:w="2263" w:type="dxa"/>
          </w:tcPr>
          <w:p w14:paraId="48B9F150" w14:textId="1A5EB3DE" w:rsidR="00B740B7" w:rsidRPr="002F3A26" w:rsidRDefault="00B740B7" w:rsidP="00634F39">
            <w:pPr>
              <w:pStyle w:val="TableParagraph"/>
              <w:rPr>
                <w:rFonts w:cs="Arial"/>
              </w:rPr>
            </w:pPr>
            <w:r w:rsidRPr="002F3A26">
              <w:t>FiF # Disability</w:t>
            </w:r>
          </w:p>
        </w:tc>
        <w:tc>
          <w:tcPr>
            <w:tcW w:w="1062" w:type="dxa"/>
          </w:tcPr>
          <w:p w14:paraId="206B70CB" w14:textId="285B9155" w:rsidR="00B740B7" w:rsidRPr="002F3A26" w:rsidRDefault="00B740B7" w:rsidP="008B59E5">
            <w:pPr>
              <w:pStyle w:val="TableParagraph"/>
              <w:ind w:left="170"/>
              <w:rPr>
                <w:rFonts w:cs="Arial"/>
              </w:rPr>
            </w:pPr>
            <w:r w:rsidRPr="002F3A26">
              <w:t>0.81</w:t>
            </w:r>
          </w:p>
        </w:tc>
        <w:tc>
          <w:tcPr>
            <w:tcW w:w="1062" w:type="dxa"/>
          </w:tcPr>
          <w:p w14:paraId="54D2D058" w14:textId="3345F998" w:rsidR="00B740B7" w:rsidRPr="002F3A26" w:rsidRDefault="00B740B7" w:rsidP="008B59E5">
            <w:pPr>
              <w:pStyle w:val="TableParagraph"/>
              <w:ind w:left="170"/>
              <w:rPr>
                <w:rFonts w:cs="Arial"/>
              </w:rPr>
            </w:pPr>
            <w:r w:rsidRPr="002F3A26">
              <w:t>0.65</w:t>
            </w:r>
          </w:p>
        </w:tc>
        <w:tc>
          <w:tcPr>
            <w:tcW w:w="1062" w:type="dxa"/>
          </w:tcPr>
          <w:p w14:paraId="368FAD71" w14:textId="7016ECDD" w:rsidR="00B740B7" w:rsidRPr="002F3A26" w:rsidRDefault="00B740B7" w:rsidP="008B59E5">
            <w:pPr>
              <w:pStyle w:val="TableParagraph"/>
              <w:ind w:left="170"/>
              <w:rPr>
                <w:rFonts w:cs="Arial"/>
              </w:rPr>
            </w:pPr>
            <w:r w:rsidRPr="002F3A26">
              <w:t>0.37</w:t>
            </w:r>
            <w:r w:rsidRPr="002F3A26">
              <w:rPr>
                <w:vertAlign w:val="superscript"/>
              </w:rPr>
              <w:t>*</w:t>
            </w:r>
          </w:p>
        </w:tc>
        <w:tc>
          <w:tcPr>
            <w:tcW w:w="1063" w:type="dxa"/>
          </w:tcPr>
          <w:p w14:paraId="40FD89FD" w14:textId="53CF5355" w:rsidR="00B740B7" w:rsidRPr="002F3A26" w:rsidRDefault="00B740B7" w:rsidP="008B59E5">
            <w:pPr>
              <w:pStyle w:val="TableParagraph"/>
              <w:ind w:left="170"/>
            </w:pPr>
            <w:r w:rsidRPr="002F3A26">
              <w:t>0.55</w:t>
            </w:r>
          </w:p>
        </w:tc>
        <w:tc>
          <w:tcPr>
            <w:tcW w:w="1062" w:type="dxa"/>
          </w:tcPr>
          <w:p w14:paraId="59A382C1" w14:textId="0A5CB24E" w:rsidR="00B740B7" w:rsidRPr="002F3A26" w:rsidRDefault="00B740B7" w:rsidP="008B59E5">
            <w:pPr>
              <w:pStyle w:val="TableParagraph"/>
              <w:ind w:left="170"/>
            </w:pPr>
            <w:r w:rsidRPr="002F3A26">
              <w:t>1.53</w:t>
            </w:r>
          </w:p>
        </w:tc>
        <w:tc>
          <w:tcPr>
            <w:tcW w:w="1062" w:type="dxa"/>
          </w:tcPr>
          <w:p w14:paraId="70DC09C4" w14:textId="71B518B0" w:rsidR="00B740B7" w:rsidRPr="002F3A26" w:rsidRDefault="00B740B7" w:rsidP="008B59E5">
            <w:pPr>
              <w:pStyle w:val="TableParagraph"/>
              <w:ind w:left="170"/>
            </w:pPr>
            <w:r w:rsidRPr="002F3A26">
              <w:t>0.39</w:t>
            </w:r>
            <w:r w:rsidRPr="002F3A26">
              <w:rPr>
                <w:vertAlign w:val="superscript"/>
              </w:rPr>
              <w:t>*</w:t>
            </w:r>
          </w:p>
        </w:tc>
        <w:tc>
          <w:tcPr>
            <w:tcW w:w="1062" w:type="dxa"/>
          </w:tcPr>
          <w:p w14:paraId="446F945F" w14:textId="32B30CD0" w:rsidR="00B740B7" w:rsidRPr="002F3A26" w:rsidRDefault="00B740B7" w:rsidP="008B59E5">
            <w:pPr>
              <w:pStyle w:val="TableParagraph"/>
              <w:ind w:left="170"/>
            </w:pPr>
            <w:r w:rsidRPr="002F3A26">
              <w:t>0.52</w:t>
            </w:r>
          </w:p>
        </w:tc>
        <w:tc>
          <w:tcPr>
            <w:tcW w:w="1063" w:type="dxa"/>
          </w:tcPr>
          <w:p w14:paraId="079BD735" w14:textId="71B38758" w:rsidR="00B740B7" w:rsidRPr="002F3A26" w:rsidRDefault="00B740B7" w:rsidP="008B59E5">
            <w:pPr>
              <w:pStyle w:val="TableParagraph"/>
              <w:ind w:left="170"/>
            </w:pPr>
            <w:r w:rsidRPr="002F3A26">
              <w:t>0.46</w:t>
            </w:r>
            <w:r w:rsidRPr="002F3A26">
              <w:rPr>
                <w:vertAlign w:val="superscript"/>
              </w:rPr>
              <w:t>*</w:t>
            </w:r>
          </w:p>
        </w:tc>
        <w:tc>
          <w:tcPr>
            <w:tcW w:w="1062" w:type="dxa"/>
          </w:tcPr>
          <w:p w14:paraId="73001021" w14:textId="1DE56635" w:rsidR="00B740B7" w:rsidRPr="002F3A26" w:rsidRDefault="00B740B7" w:rsidP="008B59E5">
            <w:pPr>
              <w:pStyle w:val="TableParagraph"/>
              <w:ind w:left="170"/>
            </w:pPr>
            <w:r w:rsidRPr="002F3A26">
              <w:t>0.73</w:t>
            </w:r>
          </w:p>
        </w:tc>
        <w:tc>
          <w:tcPr>
            <w:tcW w:w="1062" w:type="dxa"/>
          </w:tcPr>
          <w:p w14:paraId="6477A6D7" w14:textId="74E97962" w:rsidR="00B740B7" w:rsidRPr="002F3A26" w:rsidRDefault="00B740B7" w:rsidP="008B59E5">
            <w:pPr>
              <w:pStyle w:val="TableParagraph"/>
              <w:ind w:left="170"/>
            </w:pPr>
            <w:r w:rsidRPr="002F3A26">
              <w:t>1.31</w:t>
            </w:r>
          </w:p>
        </w:tc>
        <w:tc>
          <w:tcPr>
            <w:tcW w:w="1063" w:type="dxa"/>
          </w:tcPr>
          <w:p w14:paraId="5D487E37" w14:textId="7E6F404F" w:rsidR="00B740B7" w:rsidRPr="002F3A26" w:rsidRDefault="00B740B7" w:rsidP="008B59E5">
            <w:pPr>
              <w:pStyle w:val="TableParagraph"/>
              <w:ind w:left="170"/>
            </w:pPr>
            <w:r w:rsidRPr="002F3A26">
              <w:t>0.86</w:t>
            </w:r>
          </w:p>
        </w:tc>
      </w:tr>
      <w:tr w:rsidR="00B740B7" w:rsidRPr="002F3A26" w14:paraId="4117807E" w14:textId="77777777" w:rsidTr="00954558">
        <w:trPr>
          <w:trHeight w:val="218"/>
        </w:trPr>
        <w:tc>
          <w:tcPr>
            <w:tcW w:w="2263" w:type="dxa"/>
          </w:tcPr>
          <w:p w14:paraId="592AA7B5" w14:textId="2BA4FDDE" w:rsidR="00B740B7" w:rsidRPr="002F3A26" w:rsidRDefault="00B740B7" w:rsidP="00634F39">
            <w:pPr>
              <w:pStyle w:val="TableParagraph"/>
              <w:rPr>
                <w:rFonts w:cs="Arial"/>
              </w:rPr>
            </w:pPr>
            <w:r w:rsidRPr="002F3A26">
              <w:t>Father: not manager/professional</w:t>
            </w:r>
          </w:p>
        </w:tc>
        <w:tc>
          <w:tcPr>
            <w:tcW w:w="1062" w:type="dxa"/>
          </w:tcPr>
          <w:p w14:paraId="5470BD3E" w14:textId="4B0E0807" w:rsidR="00B740B7" w:rsidRPr="002F3A26" w:rsidRDefault="00B740B7" w:rsidP="008B59E5">
            <w:pPr>
              <w:pStyle w:val="TableParagraph"/>
              <w:ind w:left="170"/>
              <w:rPr>
                <w:rFonts w:cs="Arial"/>
              </w:rPr>
            </w:pPr>
            <w:r w:rsidRPr="002F3A26">
              <w:t>1.03</w:t>
            </w:r>
          </w:p>
        </w:tc>
        <w:tc>
          <w:tcPr>
            <w:tcW w:w="1062" w:type="dxa"/>
          </w:tcPr>
          <w:p w14:paraId="0418E259" w14:textId="43579ED5" w:rsidR="00B740B7" w:rsidRPr="002F3A26" w:rsidRDefault="00B740B7" w:rsidP="008B59E5">
            <w:pPr>
              <w:pStyle w:val="TableParagraph"/>
              <w:ind w:left="170"/>
              <w:rPr>
                <w:rFonts w:cs="Arial"/>
              </w:rPr>
            </w:pPr>
            <w:r w:rsidRPr="002F3A26">
              <w:t>1.16</w:t>
            </w:r>
            <w:r w:rsidRPr="002F3A26">
              <w:rPr>
                <w:vertAlign w:val="superscript"/>
              </w:rPr>
              <w:t>**</w:t>
            </w:r>
          </w:p>
        </w:tc>
        <w:tc>
          <w:tcPr>
            <w:tcW w:w="1062" w:type="dxa"/>
          </w:tcPr>
          <w:p w14:paraId="49B0163F" w14:textId="0F3BE9B6" w:rsidR="00B740B7" w:rsidRPr="002F3A26" w:rsidRDefault="00B740B7" w:rsidP="008B59E5">
            <w:pPr>
              <w:pStyle w:val="TableParagraph"/>
              <w:ind w:left="170"/>
              <w:rPr>
                <w:rFonts w:cs="Arial"/>
              </w:rPr>
            </w:pPr>
            <w:r w:rsidRPr="002F3A26">
              <w:t>1.08</w:t>
            </w:r>
            <w:r w:rsidRPr="002F3A26">
              <w:rPr>
                <w:vertAlign w:val="superscript"/>
              </w:rPr>
              <w:t>*</w:t>
            </w:r>
          </w:p>
        </w:tc>
        <w:tc>
          <w:tcPr>
            <w:tcW w:w="1063" w:type="dxa"/>
          </w:tcPr>
          <w:p w14:paraId="03524548" w14:textId="70B0B340" w:rsidR="00B740B7" w:rsidRPr="002F3A26" w:rsidRDefault="00B740B7" w:rsidP="008B59E5">
            <w:pPr>
              <w:pStyle w:val="TableParagraph"/>
              <w:ind w:left="170"/>
            </w:pPr>
            <w:r w:rsidRPr="002F3A26">
              <w:t>0.97</w:t>
            </w:r>
          </w:p>
        </w:tc>
        <w:tc>
          <w:tcPr>
            <w:tcW w:w="1062" w:type="dxa"/>
          </w:tcPr>
          <w:p w14:paraId="06389F32" w14:textId="44B846E5" w:rsidR="00B740B7" w:rsidRPr="002F3A26" w:rsidRDefault="00B740B7" w:rsidP="008B59E5">
            <w:pPr>
              <w:pStyle w:val="TableParagraph"/>
              <w:ind w:left="170"/>
            </w:pPr>
            <w:r w:rsidRPr="002F3A26">
              <w:t>0.80</w:t>
            </w:r>
            <w:r w:rsidRPr="002F3A26">
              <w:rPr>
                <w:vertAlign w:val="superscript"/>
              </w:rPr>
              <w:t>*</w:t>
            </w:r>
          </w:p>
        </w:tc>
        <w:tc>
          <w:tcPr>
            <w:tcW w:w="1062" w:type="dxa"/>
          </w:tcPr>
          <w:p w14:paraId="453FF1F2" w14:textId="335D5732" w:rsidR="00B740B7" w:rsidRPr="002F3A26" w:rsidRDefault="00B740B7" w:rsidP="008B59E5">
            <w:pPr>
              <w:pStyle w:val="TableParagraph"/>
              <w:ind w:left="170"/>
            </w:pPr>
            <w:r w:rsidRPr="002F3A26">
              <w:t>1.18</w:t>
            </w:r>
            <w:r w:rsidRPr="002F3A26">
              <w:rPr>
                <w:vertAlign w:val="superscript"/>
              </w:rPr>
              <w:t>***</w:t>
            </w:r>
          </w:p>
        </w:tc>
        <w:tc>
          <w:tcPr>
            <w:tcW w:w="1062" w:type="dxa"/>
          </w:tcPr>
          <w:p w14:paraId="4131A4E7" w14:textId="1AA99A32" w:rsidR="00B740B7" w:rsidRPr="002F3A26" w:rsidRDefault="00B740B7" w:rsidP="008B59E5">
            <w:pPr>
              <w:pStyle w:val="TableParagraph"/>
              <w:ind w:left="170"/>
            </w:pPr>
            <w:r w:rsidRPr="002F3A26">
              <w:t>1.22</w:t>
            </w:r>
            <w:r w:rsidRPr="002F3A26">
              <w:rPr>
                <w:vertAlign w:val="superscript"/>
              </w:rPr>
              <w:t>***</w:t>
            </w:r>
          </w:p>
        </w:tc>
        <w:tc>
          <w:tcPr>
            <w:tcW w:w="1063" w:type="dxa"/>
          </w:tcPr>
          <w:p w14:paraId="28901BDE" w14:textId="7FC1F809" w:rsidR="00B740B7" w:rsidRPr="002F3A26" w:rsidRDefault="00B740B7" w:rsidP="008B59E5">
            <w:pPr>
              <w:pStyle w:val="TableParagraph"/>
              <w:ind w:left="170"/>
            </w:pPr>
            <w:r w:rsidRPr="002F3A26">
              <w:t>1.00</w:t>
            </w:r>
          </w:p>
        </w:tc>
        <w:tc>
          <w:tcPr>
            <w:tcW w:w="1062" w:type="dxa"/>
          </w:tcPr>
          <w:p w14:paraId="347CF0B0" w14:textId="2CC9FB87" w:rsidR="00B740B7" w:rsidRPr="002F3A26" w:rsidRDefault="00B740B7" w:rsidP="008B59E5">
            <w:pPr>
              <w:pStyle w:val="TableParagraph"/>
              <w:ind w:left="170"/>
            </w:pPr>
            <w:r w:rsidRPr="002F3A26">
              <w:t>0.92</w:t>
            </w:r>
            <w:r w:rsidRPr="002F3A26">
              <w:rPr>
                <w:vertAlign w:val="superscript"/>
              </w:rPr>
              <w:t>*</w:t>
            </w:r>
          </w:p>
        </w:tc>
        <w:tc>
          <w:tcPr>
            <w:tcW w:w="1062" w:type="dxa"/>
          </w:tcPr>
          <w:p w14:paraId="382A61FC" w14:textId="6C49AFB2" w:rsidR="00B740B7" w:rsidRPr="002F3A26" w:rsidRDefault="00B740B7" w:rsidP="008B59E5">
            <w:pPr>
              <w:pStyle w:val="TableParagraph"/>
              <w:ind w:left="170"/>
            </w:pPr>
            <w:r w:rsidRPr="002F3A26">
              <w:t>0.70</w:t>
            </w:r>
            <w:r w:rsidRPr="002F3A26">
              <w:rPr>
                <w:vertAlign w:val="superscript"/>
              </w:rPr>
              <w:t>***</w:t>
            </w:r>
          </w:p>
        </w:tc>
        <w:tc>
          <w:tcPr>
            <w:tcW w:w="1063" w:type="dxa"/>
          </w:tcPr>
          <w:p w14:paraId="4CFDD66A" w14:textId="55BA8106" w:rsidR="00B740B7" w:rsidRPr="002F3A26" w:rsidRDefault="00B740B7" w:rsidP="008B59E5">
            <w:pPr>
              <w:pStyle w:val="TableParagraph"/>
              <w:ind w:left="170"/>
            </w:pPr>
            <w:r w:rsidRPr="002F3A26">
              <w:t>0.87</w:t>
            </w:r>
            <w:r w:rsidRPr="002F3A26">
              <w:rPr>
                <w:vertAlign w:val="superscript"/>
              </w:rPr>
              <w:t>*</w:t>
            </w:r>
          </w:p>
        </w:tc>
      </w:tr>
      <w:tr w:rsidR="00B740B7" w:rsidRPr="002F3A26" w14:paraId="51287AEC" w14:textId="77777777" w:rsidTr="00954558">
        <w:trPr>
          <w:trHeight w:val="218"/>
        </w:trPr>
        <w:tc>
          <w:tcPr>
            <w:tcW w:w="2263" w:type="dxa"/>
          </w:tcPr>
          <w:p w14:paraId="3DA92F66" w14:textId="12AC586C" w:rsidR="00B740B7" w:rsidRPr="002F3A26" w:rsidRDefault="00B740B7" w:rsidP="00634F39">
            <w:pPr>
              <w:pStyle w:val="TableParagraph"/>
              <w:rPr>
                <w:rFonts w:cs="Arial"/>
              </w:rPr>
            </w:pPr>
            <w:r w:rsidRPr="002F3A26">
              <w:t>Mother: not manager/professional</w:t>
            </w:r>
          </w:p>
        </w:tc>
        <w:tc>
          <w:tcPr>
            <w:tcW w:w="1062" w:type="dxa"/>
          </w:tcPr>
          <w:p w14:paraId="1E8C3CCA" w14:textId="3907BCB0" w:rsidR="00B740B7" w:rsidRPr="002F3A26" w:rsidRDefault="00B740B7" w:rsidP="008B59E5">
            <w:pPr>
              <w:pStyle w:val="TableParagraph"/>
              <w:ind w:left="170"/>
              <w:rPr>
                <w:rFonts w:cs="Arial"/>
              </w:rPr>
            </w:pPr>
            <w:r w:rsidRPr="002F3A26">
              <w:t>1.12</w:t>
            </w:r>
            <w:r w:rsidRPr="002F3A26">
              <w:rPr>
                <w:vertAlign w:val="superscript"/>
              </w:rPr>
              <w:t>***</w:t>
            </w:r>
          </w:p>
        </w:tc>
        <w:tc>
          <w:tcPr>
            <w:tcW w:w="1062" w:type="dxa"/>
          </w:tcPr>
          <w:p w14:paraId="0504D7F8" w14:textId="0AB0C120" w:rsidR="00B740B7" w:rsidRPr="002F3A26" w:rsidRDefault="00B740B7" w:rsidP="008B59E5">
            <w:pPr>
              <w:pStyle w:val="TableParagraph"/>
              <w:ind w:left="170"/>
              <w:rPr>
                <w:rFonts w:cs="Arial"/>
              </w:rPr>
            </w:pPr>
            <w:r w:rsidRPr="002F3A26">
              <w:t>1.42</w:t>
            </w:r>
            <w:r w:rsidRPr="002F3A26">
              <w:rPr>
                <w:vertAlign w:val="superscript"/>
              </w:rPr>
              <w:t>***</w:t>
            </w:r>
          </w:p>
        </w:tc>
        <w:tc>
          <w:tcPr>
            <w:tcW w:w="1062" w:type="dxa"/>
          </w:tcPr>
          <w:p w14:paraId="25DDFC9E" w14:textId="6C08DD6D" w:rsidR="00B740B7" w:rsidRPr="002F3A26" w:rsidRDefault="00B740B7" w:rsidP="008B59E5">
            <w:pPr>
              <w:pStyle w:val="TableParagraph"/>
              <w:ind w:left="170"/>
              <w:rPr>
                <w:rFonts w:cs="Arial"/>
              </w:rPr>
            </w:pPr>
            <w:r w:rsidRPr="002F3A26">
              <w:t>1.22</w:t>
            </w:r>
            <w:r w:rsidRPr="002F3A26">
              <w:rPr>
                <w:vertAlign w:val="superscript"/>
              </w:rPr>
              <w:t>***</w:t>
            </w:r>
          </w:p>
        </w:tc>
        <w:tc>
          <w:tcPr>
            <w:tcW w:w="1063" w:type="dxa"/>
          </w:tcPr>
          <w:p w14:paraId="503103BA" w14:textId="0C51611C" w:rsidR="00B740B7" w:rsidRPr="002F3A26" w:rsidRDefault="00B740B7" w:rsidP="008B59E5">
            <w:pPr>
              <w:pStyle w:val="TableParagraph"/>
              <w:ind w:left="170"/>
            </w:pPr>
            <w:r w:rsidRPr="002F3A26">
              <w:t>1.08</w:t>
            </w:r>
          </w:p>
        </w:tc>
        <w:tc>
          <w:tcPr>
            <w:tcW w:w="1062" w:type="dxa"/>
          </w:tcPr>
          <w:p w14:paraId="0368D79B" w14:textId="107E7ADA" w:rsidR="00B740B7" w:rsidRPr="002F3A26" w:rsidRDefault="00B740B7" w:rsidP="008B59E5">
            <w:pPr>
              <w:pStyle w:val="TableParagraph"/>
              <w:ind w:left="170"/>
            </w:pPr>
            <w:r w:rsidRPr="002F3A26">
              <w:t>0.92</w:t>
            </w:r>
          </w:p>
        </w:tc>
        <w:tc>
          <w:tcPr>
            <w:tcW w:w="1062" w:type="dxa"/>
          </w:tcPr>
          <w:p w14:paraId="68241166" w14:textId="11EC9187" w:rsidR="00B740B7" w:rsidRPr="002F3A26" w:rsidRDefault="00B740B7" w:rsidP="008B59E5">
            <w:pPr>
              <w:pStyle w:val="TableParagraph"/>
              <w:ind w:left="170"/>
            </w:pPr>
            <w:r w:rsidRPr="002F3A26">
              <w:t>1.13</w:t>
            </w:r>
            <w:r w:rsidRPr="002F3A26">
              <w:rPr>
                <w:vertAlign w:val="superscript"/>
              </w:rPr>
              <w:t>***</w:t>
            </w:r>
          </w:p>
        </w:tc>
        <w:tc>
          <w:tcPr>
            <w:tcW w:w="1062" w:type="dxa"/>
          </w:tcPr>
          <w:p w14:paraId="4ABC69D2" w14:textId="434CE272" w:rsidR="00B740B7" w:rsidRPr="002F3A26" w:rsidRDefault="00B740B7" w:rsidP="008B59E5">
            <w:pPr>
              <w:pStyle w:val="TableParagraph"/>
              <w:ind w:left="170"/>
            </w:pPr>
            <w:r w:rsidRPr="002F3A26">
              <w:t>1.00</w:t>
            </w:r>
          </w:p>
        </w:tc>
        <w:tc>
          <w:tcPr>
            <w:tcW w:w="1063" w:type="dxa"/>
          </w:tcPr>
          <w:p w14:paraId="3934691E" w14:textId="1C2C90DE" w:rsidR="00B740B7" w:rsidRPr="002F3A26" w:rsidRDefault="00B740B7" w:rsidP="008B59E5">
            <w:pPr>
              <w:pStyle w:val="TableParagraph"/>
              <w:ind w:left="170"/>
            </w:pPr>
            <w:r w:rsidRPr="002F3A26">
              <w:t>1.25</w:t>
            </w:r>
            <w:r w:rsidRPr="002F3A26">
              <w:rPr>
                <w:vertAlign w:val="superscript"/>
              </w:rPr>
              <w:t>***</w:t>
            </w:r>
          </w:p>
        </w:tc>
        <w:tc>
          <w:tcPr>
            <w:tcW w:w="1062" w:type="dxa"/>
          </w:tcPr>
          <w:p w14:paraId="7529193A" w14:textId="0A1AD010" w:rsidR="00B740B7" w:rsidRPr="002F3A26" w:rsidRDefault="00B740B7" w:rsidP="008B59E5">
            <w:pPr>
              <w:pStyle w:val="TableParagraph"/>
              <w:ind w:left="170"/>
            </w:pPr>
            <w:r w:rsidRPr="002F3A26">
              <w:t>1.01</w:t>
            </w:r>
          </w:p>
        </w:tc>
        <w:tc>
          <w:tcPr>
            <w:tcW w:w="1062" w:type="dxa"/>
          </w:tcPr>
          <w:p w14:paraId="44B9C154" w14:textId="19A1F9A4" w:rsidR="00B740B7" w:rsidRPr="002F3A26" w:rsidRDefault="00B740B7" w:rsidP="008B59E5">
            <w:pPr>
              <w:pStyle w:val="TableParagraph"/>
              <w:ind w:left="170"/>
            </w:pPr>
            <w:r w:rsidRPr="002F3A26">
              <w:t>0.91</w:t>
            </w:r>
          </w:p>
        </w:tc>
        <w:tc>
          <w:tcPr>
            <w:tcW w:w="1063" w:type="dxa"/>
          </w:tcPr>
          <w:p w14:paraId="253A85B7" w14:textId="7EB49945" w:rsidR="00B740B7" w:rsidRPr="002F3A26" w:rsidRDefault="00B740B7" w:rsidP="008B59E5">
            <w:pPr>
              <w:pStyle w:val="TableParagraph"/>
              <w:ind w:left="170"/>
            </w:pPr>
            <w:r w:rsidRPr="002F3A26">
              <w:t>1.03</w:t>
            </w:r>
          </w:p>
        </w:tc>
      </w:tr>
      <w:tr w:rsidR="00B740B7" w:rsidRPr="002F3A26" w14:paraId="2B66355D" w14:textId="77777777" w:rsidTr="00954558">
        <w:trPr>
          <w:trHeight w:val="218"/>
        </w:trPr>
        <w:tc>
          <w:tcPr>
            <w:tcW w:w="2263" w:type="dxa"/>
          </w:tcPr>
          <w:p w14:paraId="1900877A" w14:textId="2263BD96" w:rsidR="00B740B7" w:rsidRPr="002F3A26" w:rsidRDefault="00B740B7" w:rsidP="00634F39">
            <w:pPr>
              <w:pStyle w:val="TableParagraph"/>
              <w:rPr>
                <w:rFonts w:cs="Arial"/>
              </w:rPr>
            </w:pPr>
            <w:r w:rsidRPr="002F3A26">
              <w:t>Single parent</w:t>
            </w:r>
          </w:p>
        </w:tc>
        <w:tc>
          <w:tcPr>
            <w:tcW w:w="1062" w:type="dxa"/>
          </w:tcPr>
          <w:p w14:paraId="445A21B2" w14:textId="5E57462D" w:rsidR="00B740B7" w:rsidRPr="002F3A26" w:rsidRDefault="00B740B7" w:rsidP="008B59E5">
            <w:pPr>
              <w:pStyle w:val="TableParagraph"/>
              <w:ind w:left="170"/>
              <w:rPr>
                <w:rFonts w:cs="Arial"/>
              </w:rPr>
            </w:pPr>
            <w:r w:rsidRPr="002F3A26">
              <w:t>0.72</w:t>
            </w:r>
            <w:r w:rsidRPr="002F3A26">
              <w:rPr>
                <w:vertAlign w:val="superscript"/>
              </w:rPr>
              <w:t>***</w:t>
            </w:r>
          </w:p>
        </w:tc>
        <w:tc>
          <w:tcPr>
            <w:tcW w:w="1062" w:type="dxa"/>
          </w:tcPr>
          <w:p w14:paraId="50CB835A" w14:textId="1A0F3666" w:rsidR="00B740B7" w:rsidRPr="002F3A26" w:rsidRDefault="00B740B7" w:rsidP="008B59E5">
            <w:pPr>
              <w:pStyle w:val="TableParagraph"/>
              <w:ind w:left="170"/>
              <w:rPr>
                <w:rFonts w:cs="Arial"/>
              </w:rPr>
            </w:pPr>
            <w:r w:rsidRPr="002F3A26">
              <w:t>0.69</w:t>
            </w:r>
            <w:r w:rsidRPr="002F3A26">
              <w:rPr>
                <w:vertAlign w:val="superscript"/>
              </w:rPr>
              <w:t>***</w:t>
            </w:r>
          </w:p>
        </w:tc>
        <w:tc>
          <w:tcPr>
            <w:tcW w:w="1062" w:type="dxa"/>
          </w:tcPr>
          <w:p w14:paraId="2A7AFDCC" w14:textId="17C51699" w:rsidR="00B740B7" w:rsidRPr="002F3A26" w:rsidRDefault="00B740B7" w:rsidP="008B59E5">
            <w:pPr>
              <w:pStyle w:val="TableParagraph"/>
              <w:ind w:left="170"/>
              <w:rPr>
                <w:rFonts w:cs="Arial"/>
              </w:rPr>
            </w:pPr>
            <w:r w:rsidRPr="002F3A26">
              <w:t>0.66</w:t>
            </w:r>
            <w:r w:rsidRPr="002F3A26">
              <w:rPr>
                <w:vertAlign w:val="superscript"/>
              </w:rPr>
              <w:t>***</w:t>
            </w:r>
          </w:p>
        </w:tc>
        <w:tc>
          <w:tcPr>
            <w:tcW w:w="1063" w:type="dxa"/>
          </w:tcPr>
          <w:p w14:paraId="4B673661" w14:textId="55A396F7" w:rsidR="00B740B7" w:rsidRPr="002F3A26" w:rsidRDefault="00B740B7" w:rsidP="008B59E5">
            <w:pPr>
              <w:pStyle w:val="TableParagraph"/>
              <w:ind w:left="170"/>
            </w:pPr>
            <w:r w:rsidRPr="002F3A26">
              <w:t>0.67</w:t>
            </w:r>
            <w:r w:rsidRPr="002F3A26">
              <w:rPr>
                <w:vertAlign w:val="superscript"/>
              </w:rPr>
              <w:t>***</w:t>
            </w:r>
          </w:p>
        </w:tc>
        <w:tc>
          <w:tcPr>
            <w:tcW w:w="1062" w:type="dxa"/>
          </w:tcPr>
          <w:p w14:paraId="519DF4B7" w14:textId="52422A6E" w:rsidR="00B740B7" w:rsidRPr="002F3A26" w:rsidRDefault="00B740B7" w:rsidP="008B59E5">
            <w:pPr>
              <w:pStyle w:val="TableParagraph"/>
              <w:ind w:left="170"/>
            </w:pPr>
            <w:r w:rsidRPr="002F3A26">
              <w:t>0.94</w:t>
            </w:r>
          </w:p>
        </w:tc>
        <w:tc>
          <w:tcPr>
            <w:tcW w:w="1062" w:type="dxa"/>
          </w:tcPr>
          <w:p w14:paraId="33C1E347" w14:textId="182679F4" w:rsidR="00B740B7" w:rsidRPr="002F3A26" w:rsidRDefault="00B740B7" w:rsidP="008B59E5">
            <w:pPr>
              <w:pStyle w:val="TableParagraph"/>
              <w:ind w:left="170"/>
            </w:pPr>
            <w:r w:rsidRPr="002F3A26">
              <w:t>0.61</w:t>
            </w:r>
            <w:r w:rsidRPr="002F3A26">
              <w:rPr>
                <w:vertAlign w:val="superscript"/>
              </w:rPr>
              <w:t>***</w:t>
            </w:r>
          </w:p>
        </w:tc>
        <w:tc>
          <w:tcPr>
            <w:tcW w:w="1062" w:type="dxa"/>
          </w:tcPr>
          <w:p w14:paraId="3038E99E" w14:textId="7139FE53" w:rsidR="00B740B7" w:rsidRPr="002F3A26" w:rsidRDefault="00B740B7" w:rsidP="008B59E5">
            <w:pPr>
              <w:pStyle w:val="TableParagraph"/>
              <w:ind w:left="170"/>
            </w:pPr>
            <w:r w:rsidRPr="002F3A26">
              <w:t>0.71</w:t>
            </w:r>
            <w:r w:rsidRPr="002F3A26">
              <w:rPr>
                <w:vertAlign w:val="superscript"/>
              </w:rPr>
              <w:t>***</w:t>
            </w:r>
          </w:p>
        </w:tc>
        <w:tc>
          <w:tcPr>
            <w:tcW w:w="1063" w:type="dxa"/>
          </w:tcPr>
          <w:p w14:paraId="12672F8A" w14:textId="72DE549D" w:rsidR="00B740B7" w:rsidRPr="002F3A26" w:rsidRDefault="00B740B7" w:rsidP="008B59E5">
            <w:pPr>
              <w:pStyle w:val="TableParagraph"/>
              <w:ind w:left="170"/>
            </w:pPr>
            <w:r w:rsidRPr="002F3A26">
              <w:t>0.77</w:t>
            </w:r>
            <w:r w:rsidRPr="002F3A26">
              <w:rPr>
                <w:vertAlign w:val="superscript"/>
              </w:rPr>
              <w:t>***</w:t>
            </w:r>
          </w:p>
        </w:tc>
        <w:tc>
          <w:tcPr>
            <w:tcW w:w="1062" w:type="dxa"/>
          </w:tcPr>
          <w:p w14:paraId="1B1C84F6" w14:textId="4F58C9EE" w:rsidR="00B740B7" w:rsidRPr="002F3A26" w:rsidRDefault="00B740B7" w:rsidP="008B59E5">
            <w:pPr>
              <w:pStyle w:val="TableParagraph"/>
              <w:ind w:left="170"/>
            </w:pPr>
            <w:r w:rsidRPr="002F3A26">
              <w:t>0.93</w:t>
            </w:r>
          </w:p>
        </w:tc>
        <w:tc>
          <w:tcPr>
            <w:tcW w:w="1062" w:type="dxa"/>
          </w:tcPr>
          <w:p w14:paraId="302589B7" w14:textId="7F3762F8" w:rsidR="00B740B7" w:rsidRPr="002F3A26" w:rsidRDefault="00B740B7" w:rsidP="008B59E5">
            <w:pPr>
              <w:pStyle w:val="TableParagraph"/>
              <w:ind w:left="170"/>
            </w:pPr>
            <w:r w:rsidRPr="002F3A26">
              <w:t>0.53</w:t>
            </w:r>
            <w:r w:rsidRPr="002F3A26">
              <w:rPr>
                <w:vertAlign w:val="superscript"/>
              </w:rPr>
              <w:t>***</w:t>
            </w:r>
          </w:p>
        </w:tc>
        <w:tc>
          <w:tcPr>
            <w:tcW w:w="1063" w:type="dxa"/>
          </w:tcPr>
          <w:p w14:paraId="2B20FBBC" w14:textId="51F06E87" w:rsidR="00B740B7" w:rsidRPr="002F3A26" w:rsidRDefault="00B740B7" w:rsidP="008B59E5">
            <w:pPr>
              <w:pStyle w:val="TableParagraph"/>
              <w:ind w:left="170"/>
            </w:pPr>
            <w:r w:rsidRPr="002F3A26">
              <w:t>1.10</w:t>
            </w:r>
          </w:p>
        </w:tc>
      </w:tr>
      <w:tr w:rsidR="00B740B7" w:rsidRPr="002F3A26" w14:paraId="6B15E26D" w14:textId="77777777" w:rsidTr="00954558">
        <w:trPr>
          <w:trHeight w:val="218"/>
        </w:trPr>
        <w:tc>
          <w:tcPr>
            <w:tcW w:w="2263" w:type="dxa"/>
          </w:tcPr>
          <w:p w14:paraId="1281437A" w14:textId="330FD6E5" w:rsidR="00B740B7" w:rsidRPr="002F3A26" w:rsidRDefault="00B740B7" w:rsidP="00634F39">
            <w:pPr>
              <w:pStyle w:val="TableParagraph"/>
            </w:pPr>
            <w:r w:rsidRPr="002F3A26">
              <w:t>Family income (ref. $3,000 or more)</w:t>
            </w:r>
          </w:p>
        </w:tc>
        <w:tc>
          <w:tcPr>
            <w:tcW w:w="1062" w:type="dxa"/>
          </w:tcPr>
          <w:p w14:paraId="040663BC" w14:textId="77777777" w:rsidR="00B740B7" w:rsidRPr="002F3A26" w:rsidRDefault="00B740B7" w:rsidP="008B59E5">
            <w:pPr>
              <w:pStyle w:val="TableParagraph"/>
              <w:ind w:left="170"/>
            </w:pPr>
          </w:p>
        </w:tc>
        <w:tc>
          <w:tcPr>
            <w:tcW w:w="1062" w:type="dxa"/>
          </w:tcPr>
          <w:p w14:paraId="042CD08F" w14:textId="77777777" w:rsidR="00B740B7" w:rsidRPr="002F3A26" w:rsidRDefault="00B740B7" w:rsidP="008B59E5">
            <w:pPr>
              <w:pStyle w:val="TableParagraph"/>
              <w:ind w:left="170"/>
            </w:pPr>
          </w:p>
        </w:tc>
        <w:tc>
          <w:tcPr>
            <w:tcW w:w="1062" w:type="dxa"/>
          </w:tcPr>
          <w:p w14:paraId="4649A656" w14:textId="77777777" w:rsidR="00B740B7" w:rsidRPr="002F3A26" w:rsidRDefault="00B740B7" w:rsidP="008B59E5">
            <w:pPr>
              <w:pStyle w:val="TableParagraph"/>
              <w:ind w:left="170"/>
            </w:pPr>
          </w:p>
        </w:tc>
        <w:tc>
          <w:tcPr>
            <w:tcW w:w="1063" w:type="dxa"/>
          </w:tcPr>
          <w:p w14:paraId="127F076A" w14:textId="77777777" w:rsidR="00B740B7" w:rsidRPr="002F3A26" w:rsidRDefault="00B740B7" w:rsidP="008B59E5">
            <w:pPr>
              <w:pStyle w:val="TableParagraph"/>
              <w:ind w:left="170"/>
            </w:pPr>
          </w:p>
        </w:tc>
        <w:tc>
          <w:tcPr>
            <w:tcW w:w="1062" w:type="dxa"/>
          </w:tcPr>
          <w:p w14:paraId="2E4C1CA4" w14:textId="77777777" w:rsidR="00B740B7" w:rsidRPr="002F3A26" w:rsidRDefault="00B740B7" w:rsidP="008B59E5">
            <w:pPr>
              <w:pStyle w:val="TableParagraph"/>
              <w:ind w:left="170"/>
            </w:pPr>
          </w:p>
        </w:tc>
        <w:tc>
          <w:tcPr>
            <w:tcW w:w="1062" w:type="dxa"/>
          </w:tcPr>
          <w:p w14:paraId="38F37CB8" w14:textId="77777777" w:rsidR="00B740B7" w:rsidRPr="002F3A26" w:rsidRDefault="00B740B7" w:rsidP="008B59E5">
            <w:pPr>
              <w:pStyle w:val="TableParagraph"/>
              <w:ind w:left="170"/>
            </w:pPr>
          </w:p>
        </w:tc>
        <w:tc>
          <w:tcPr>
            <w:tcW w:w="1062" w:type="dxa"/>
          </w:tcPr>
          <w:p w14:paraId="70048112" w14:textId="77777777" w:rsidR="00B740B7" w:rsidRPr="002F3A26" w:rsidRDefault="00B740B7" w:rsidP="008B59E5">
            <w:pPr>
              <w:pStyle w:val="TableParagraph"/>
              <w:ind w:left="170"/>
            </w:pPr>
          </w:p>
        </w:tc>
        <w:tc>
          <w:tcPr>
            <w:tcW w:w="1063" w:type="dxa"/>
          </w:tcPr>
          <w:p w14:paraId="77D894C2" w14:textId="77777777" w:rsidR="00B740B7" w:rsidRPr="002F3A26" w:rsidRDefault="00B740B7" w:rsidP="008B59E5">
            <w:pPr>
              <w:pStyle w:val="TableParagraph"/>
              <w:ind w:left="170"/>
            </w:pPr>
          </w:p>
        </w:tc>
        <w:tc>
          <w:tcPr>
            <w:tcW w:w="1062" w:type="dxa"/>
          </w:tcPr>
          <w:p w14:paraId="4ACFD508" w14:textId="77777777" w:rsidR="00B740B7" w:rsidRPr="002F3A26" w:rsidRDefault="00B740B7" w:rsidP="008B59E5">
            <w:pPr>
              <w:pStyle w:val="TableParagraph"/>
              <w:ind w:left="170"/>
            </w:pPr>
          </w:p>
        </w:tc>
        <w:tc>
          <w:tcPr>
            <w:tcW w:w="1062" w:type="dxa"/>
          </w:tcPr>
          <w:p w14:paraId="222C65CE" w14:textId="77777777" w:rsidR="00B740B7" w:rsidRPr="002F3A26" w:rsidRDefault="00B740B7" w:rsidP="008B59E5">
            <w:pPr>
              <w:pStyle w:val="TableParagraph"/>
              <w:ind w:left="170"/>
            </w:pPr>
          </w:p>
        </w:tc>
        <w:tc>
          <w:tcPr>
            <w:tcW w:w="1063" w:type="dxa"/>
          </w:tcPr>
          <w:p w14:paraId="1C4A57C5" w14:textId="77777777" w:rsidR="00B740B7" w:rsidRPr="002F3A26" w:rsidRDefault="00B740B7" w:rsidP="008B59E5">
            <w:pPr>
              <w:pStyle w:val="TableParagraph"/>
              <w:ind w:left="170"/>
            </w:pPr>
          </w:p>
        </w:tc>
      </w:tr>
      <w:tr w:rsidR="00B740B7" w:rsidRPr="002F3A26" w14:paraId="37AE740A" w14:textId="77777777" w:rsidTr="00954558">
        <w:trPr>
          <w:trHeight w:val="218"/>
        </w:trPr>
        <w:tc>
          <w:tcPr>
            <w:tcW w:w="2263" w:type="dxa"/>
          </w:tcPr>
          <w:p w14:paraId="0B19F101" w14:textId="59E0C754" w:rsidR="00B740B7" w:rsidRPr="002F3A26" w:rsidRDefault="00B740B7" w:rsidP="00634F39">
            <w:pPr>
              <w:pStyle w:val="TableParagraph"/>
              <w:rPr>
                <w:rFonts w:cs="Arial"/>
              </w:rPr>
            </w:pPr>
            <w:r w:rsidRPr="002F3A26">
              <w:t>$1,249 or less</w:t>
            </w:r>
          </w:p>
        </w:tc>
        <w:tc>
          <w:tcPr>
            <w:tcW w:w="1062" w:type="dxa"/>
          </w:tcPr>
          <w:p w14:paraId="7D3F5A06" w14:textId="4AD652DD" w:rsidR="00B740B7" w:rsidRPr="002F3A26" w:rsidRDefault="00B740B7" w:rsidP="008B59E5">
            <w:pPr>
              <w:pStyle w:val="TableParagraph"/>
              <w:ind w:left="170"/>
              <w:rPr>
                <w:rFonts w:cs="Arial"/>
              </w:rPr>
            </w:pPr>
            <w:r w:rsidRPr="002F3A26">
              <w:t>1.34</w:t>
            </w:r>
            <w:r w:rsidRPr="002F3A26">
              <w:rPr>
                <w:vertAlign w:val="superscript"/>
              </w:rPr>
              <w:t>***</w:t>
            </w:r>
          </w:p>
        </w:tc>
        <w:tc>
          <w:tcPr>
            <w:tcW w:w="1062" w:type="dxa"/>
          </w:tcPr>
          <w:p w14:paraId="026D8DE5" w14:textId="7A33E279" w:rsidR="00B740B7" w:rsidRPr="002F3A26" w:rsidRDefault="00B740B7" w:rsidP="008B59E5">
            <w:pPr>
              <w:pStyle w:val="TableParagraph"/>
              <w:ind w:left="170"/>
              <w:rPr>
                <w:rFonts w:cs="Arial"/>
              </w:rPr>
            </w:pPr>
            <w:r w:rsidRPr="002F3A26">
              <w:t>1.48</w:t>
            </w:r>
            <w:r w:rsidRPr="002F3A26">
              <w:rPr>
                <w:vertAlign w:val="superscript"/>
              </w:rPr>
              <w:t>***</w:t>
            </w:r>
          </w:p>
        </w:tc>
        <w:tc>
          <w:tcPr>
            <w:tcW w:w="1062" w:type="dxa"/>
          </w:tcPr>
          <w:p w14:paraId="3FE94B74" w14:textId="714176DE" w:rsidR="00B740B7" w:rsidRPr="002F3A26" w:rsidRDefault="00B740B7" w:rsidP="008B59E5">
            <w:pPr>
              <w:pStyle w:val="TableParagraph"/>
              <w:ind w:left="170"/>
              <w:rPr>
                <w:rFonts w:cs="Arial"/>
              </w:rPr>
            </w:pPr>
            <w:r w:rsidRPr="002F3A26">
              <w:t>1.23</w:t>
            </w:r>
            <w:r w:rsidRPr="002F3A26">
              <w:rPr>
                <w:vertAlign w:val="superscript"/>
              </w:rPr>
              <w:t>***</w:t>
            </w:r>
          </w:p>
        </w:tc>
        <w:tc>
          <w:tcPr>
            <w:tcW w:w="1063" w:type="dxa"/>
          </w:tcPr>
          <w:p w14:paraId="740082FF" w14:textId="22C04092" w:rsidR="00B740B7" w:rsidRPr="002F3A26" w:rsidRDefault="00B740B7" w:rsidP="008B59E5">
            <w:pPr>
              <w:pStyle w:val="TableParagraph"/>
              <w:ind w:left="170"/>
            </w:pPr>
            <w:r w:rsidRPr="002F3A26">
              <w:t>1.26</w:t>
            </w:r>
            <w:r w:rsidRPr="002F3A26">
              <w:rPr>
                <w:vertAlign w:val="superscript"/>
              </w:rPr>
              <w:t>**</w:t>
            </w:r>
          </w:p>
        </w:tc>
        <w:tc>
          <w:tcPr>
            <w:tcW w:w="1062" w:type="dxa"/>
          </w:tcPr>
          <w:p w14:paraId="52AE6A05" w14:textId="111F9A86" w:rsidR="00B740B7" w:rsidRPr="002F3A26" w:rsidRDefault="00B740B7" w:rsidP="008B59E5">
            <w:pPr>
              <w:pStyle w:val="TableParagraph"/>
              <w:ind w:left="170"/>
            </w:pPr>
            <w:r w:rsidRPr="002F3A26">
              <w:t>0.90</w:t>
            </w:r>
          </w:p>
        </w:tc>
        <w:tc>
          <w:tcPr>
            <w:tcW w:w="1062" w:type="dxa"/>
          </w:tcPr>
          <w:p w14:paraId="0826258D" w14:textId="0289070C" w:rsidR="00B740B7" w:rsidRPr="002F3A26" w:rsidRDefault="00B740B7" w:rsidP="008B59E5">
            <w:pPr>
              <w:pStyle w:val="TableParagraph"/>
              <w:ind w:left="170"/>
            </w:pPr>
            <w:r w:rsidRPr="002F3A26">
              <w:t>1.25</w:t>
            </w:r>
            <w:r w:rsidRPr="002F3A26">
              <w:rPr>
                <w:vertAlign w:val="superscript"/>
              </w:rPr>
              <w:t>***</w:t>
            </w:r>
          </w:p>
        </w:tc>
        <w:tc>
          <w:tcPr>
            <w:tcW w:w="1062" w:type="dxa"/>
          </w:tcPr>
          <w:p w14:paraId="3A7B3CA2" w14:textId="7984E8F6" w:rsidR="00B740B7" w:rsidRPr="002F3A26" w:rsidRDefault="00B740B7" w:rsidP="008B59E5">
            <w:pPr>
              <w:pStyle w:val="TableParagraph"/>
              <w:ind w:left="170"/>
            </w:pPr>
            <w:r w:rsidRPr="002F3A26">
              <w:t>1.14</w:t>
            </w:r>
          </w:p>
        </w:tc>
        <w:tc>
          <w:tcPr>
            <w:tcW w:w="1063" w:type="dxa"/>
          </w:tcPr>
          <w:p w14:paraId="24D1E559" w14:textId="036E06B0" w:rsidR="00B740B7" w:rsidRPr="002F3A26" w:rsidRDefault="00B740B7" w:rsidP="008B59E5">
            <w:pPr>
              <w:pStyle w:val="TableParagraph"/>
              <w:ind w:left="170"/>
            </w:pPr>
            <w:r w:rsidRPr="002F3A26">
              <w:t>1.04</w:t>
            </w:r>
          </w:p>
        </w:tc>
        <w:tc>
          <w:tcPr>
            <w:tcW w:w="1062" w:type="dxa"/>
          </w:tcPr>
          <w:p w14:paraId="10808791" w14:textId="39104286" w:rsidR="00B740B7" w:rsidRPr="002F3A26" w:rsidRDefault="00B740B7" w:rsidP="008B59E5">
            <w:pPr>
              <w:pStyle w:val="TableParagraph"/>
              <w:ind w:left="170"/>
            </w:pPr>
            <w:r w:rsidRPr="002F3A26">
              <w:t>1.01</w:t>
            </w:r>
          </w:p>
        </w:tc>
        <w:tc>
          <w:tcPr>
            <w:tcW w:w="1062" w:type="dxa"/>
          </w:tcPr>
          <w:p w14:paraId="2DDD6F30" w14:textId="65BB0A0E" w:rsidR="00B740B7" w:rsidRPr="002F3A26" w:rsidRDefault="00B740B7" w:rsidP="008B59E5">
            <w:pPr>
              <w:pStyle w:val="TableParagraph"/>
              <w:ind w:left="170"/>
            </w:pPr>
            <w:r w:rsidRPr="002F3A26">
              <w:t>1.99</w:t>
            </w:r>
            <w:r w:rsidRPr="002F3A26">
              <w:rPr>
                <w:vertAlign w:val="superscript"/>
              </w:rPr>
              <w:t>***</w:t>
            </w:r>
          </w:p>
        </w:tc>
        <w:tc>
          <w:tcPr>
            <w:tcW w:w="1063" w:type="dxa"/>
          </w:tcPr>
          <w:p w14:paraId="22FF500B" w14:textId="17D7AAF5" w:rsidR="00B740B7" w:rsidRPr="002F3A26" w:rsidRDefault="00B740B7" w:rsidP="008B59E5">
            <w:pPr>
              <w:pStyle w:val="TableParagraph"/>
              <w:ind w:left="170"/>
            </w:pPr>
            <w:r w:rsidRPr="002F3A26">
              <w:t>1.16</w:t>
            </w:r>
          </w:p>
        </w:tc>
      </w:tr>
      <w:tr w:rsidR="00B740B7" w:rsidRPr="002F3A26" w14:paraId="250F7476" w14:textId="77777777" w:rsidTr="00954558">
        <w:trPr>
          <w:trHeight w:val="218"/>
        </w:trPr>
        <w:tc>
          <w:tcPr>
            <w:tcW w:w="2263" w:type="dxa"/>
          </w:tcPr>
          <w:p w14:paraId="3AA66665" w14:textId="592150F1" w:rsidR="00B740B7" w:rsidRPr="002F3A26" w:rsidRDefault="00B740B7" w:rsidP="00634F39">
            <w:pPr>
              <w:pStyle w:val="TableParagraph"/>
              <w:rPr>
                <w:rFonts w:cs="Arial"/>
              </w:rPr>
            </w:pPr>
            <w:r w:rsidRPr="002F3A26">
              <w:lastRenderedPageBreak/>
              <w:t>$1,250-$1,999</w:t>
            </w:r>
          </w:p>
        </w:tc>
        <w:tc>
          <w:tcPr>
            <w:tcW w:w="1062" w:type="dxa"/>
          </w:tcPr>
          <w:p w14:paraId="1CB30477" w14:textId="193AB5A2" w:rsidR="00B740B7" w:rsidRPr="002F3A26" w:rsidRDefault="00B740B7" w:rsidP="008B59E5">
            <w:pPr>
              <w:pStyle w:val="TableParagraph"/>
              <w:ind w:left="170"/>
              <w:rPr>
                <w:rFonts w:cs="Arial"/>
              </w:rPr>
            </w:pPr>
            <w:r w:rsidRPr="002F3A26">
              <w:t>1.21</w:t>
            </w:r>
            <w:r w:rsidRPr="002F3A26">
              <w:rPr>
                <w:vertAlign w:val="superscript"/>
              </w:rPr>
              <w:t>***</w:t>
            </w:r>
          </w:p>
        </w:tc>
        <w:tc>
          <w:tcPr>
            <w:tcW w:w="1062" w:type="dxa"/>
          </w:tcPr>
          <w:p w14:paraId="1ABEFF8E" w14:textId="28AD7C8C" w:rsidR="00B740B7" w:rsidRPr="002F3A26" w:rsidRDefault="00B740B7" w:rsidP="008B59E5">
            <w:pPr>
              <w:pStyle w:val="TableParagraph"/>
              <w:ind w:left="170"/>
              <w:rPr>
                <w:rFonts w:cs="Arial"/>
              </w:rPr>
            </w:pPr>
            <w:r w:rsidRPr="002F3A26">
              <w:t>1.43</w:t>
            </w:r>
            <w:r w:rsidRPr="002F3A26">
              <w:rPr>
                <w:vertAlign w:val="superscript"/>
              </w:rPr>
              <w:t>***</w:t>
            </w:r>
          </w:p>
        </w:tc>
        <w:tc>
          <w:tcPr>
            <w:tcW w:w="1062" w:type="dxa"/>
          </w:tcPr>
          <w:p w14:paraId="2C5EB883" w14:textId="03DD0E04" w:rsidR="00B740B7" w:rsidRPr="002F3A26" w:rsidRDefault="00B740B7" w:rsidP="008B59E5">
            <w:pPr>
              <w:pStyle w:val="TableParagraph"/>
              <w:ind w:left="170"/>
              <w:rPr>
                <w:rFonts w:cs="Arial"/>
              </w:rPr>
            </w:pPr>
            <w:r w:rsidRPr="002F3A26">
              <w:t>1.20</w:t>
            </w:r>
            <w:r w:rsidRPr="002F3A26">
              <w:rPr>
                <w:vertAlign w:val="superscript"/>
              </w:rPr>
              <w:t>***</w:t>
            </w:r>
          </w:p>
        </w:tc>
        <w:tc>
          <w:tcPr>
            <w:tcW w:w="1063" w:type="dxa"/>
          </w:tcPr>
          <w:p w14:paraId="48D94FD5" w14:textId="149AE880" w:rsidR="00B740B7" w:rsidRPr="002F3A26" w:rsidRDefault="00B740B7" w:rsidP="008B59E5">
            <w:pPr>
              <w:pStyle w:val="TableParagraph"/>
              <w:ind w:left="170"/>
            </w:pPr>
            <w:r w:rsidRPr="002F3A26">
              <w:t>1.18</w:t>
            </w:r>
            <w:r w:rsidRPr="002F3A26">
              <w:rPr>
                <w:vertAlign w:val="superscript"/>
              </w:rPr>
              <w:t>*</w:t>
            </w:r>
          </w:p>
        </w:tc>
        <w:tc>
          <w:tcPr>
            <w:tcW w:w="1062" w:type="dxa"/>
          </w:tcPr>
          <w:p w14:paraId="53D87AD7" w14:textId="55799D74" w:rsidR="00B740B7" w:rsidRPr="002F3A26" w:rsidRDefault="00B740B7" w:rsidP="008B59E5">
            <w:pPr>
              <w:pStyle w:val="TableParagraph"/>
              <w:ind w:left="170"/>
            </w:pPr>
            <w:r w:rsidRPr="002F3A26">
              <w:t>1.19</w:t>
            </w:r>
          </w:p>
        </w:tc>
        <w:tc>
          <w:tcPr>
            <w:tcW w:w="1062" w:type="dxa"/>
          </w:tcPr>
          <w:p w14:paraId="32ED697E" w14:textId="7E2C369F" w:rsidR="00B740B7" w:rsidRPr="002F3A26" w:rsidRDefault="00B740B7" w:rsidP="008B59E5">
            <w:pPr>
              <w:pStyle w:val="TableParagraph"/>
              <w:ind w:left="170"/>
            </w:pPr>
            <w:r w:rsidRPr="002F3A26">
              <w:t>1.25</w:t>
            </w:r>
            <w:r w:rsidRPr="002F3A26">
              <w:rPr>
                <w:vertAlign w:val="superscript"/>
              </w:rPr>
              <w:t>***</w:t>
            </w:r>
          </w:p>
        </w:tc>
        <w:tc>
          <w:tcPr>
            <w:tcW w:w="1062" w:type="dxa"/>
          </w:tcPr>
          <w:p w14:paraId="58F4C304" w14:textId="6EE8D1EC" w:rsidR="00B740B7" w:rsidRPr="002F3A26" w:rsidRDefault="00B740B7" w:rsidP="008B59E5">
            <w:pPr>
              <w:pStyle w:val="TableParagraph"/>
              <w:ind w:left="170"/>
            </w:pPr>
            <w:r w:rsidRPr="002F3A26">
              <w:t>1.32</w:t>
            </w:r>
            <w:r w:rsidRPr="002F3A26">
              <w:rPr>
                <w:vertAlign w:val="superscript"/>
              </w:rPr>
              <w:t>***</w:t>
            </w:r>
          </w:p>
        </w:tc>
        <w:tc>
          <w:tcPr>
            <w:tcW w:w="1063" w:type="dxa"/>
          </w:tcPr>
          <w:p w14:paraId="40EA4BCA" w14:textId="0C53FCD0" w:rsidR="00B740B7" w:rsidRPr="002F3A26" w:rsidRDefault="00B740B7" w:rsidP="008B59E5">
            <w:pPr>
              <w:pStyle w:val="TableParagraph"/>
              <w:ind w:left="170"/>
            </w:pPr>
            <w:r w:rsidRPr="002F3A26">
              <w:t>0.98</w:t>
            </w:r>
          </w:p>
        </w:tc>
        <w:tc>
          <w:tcPr>
            <w:tcW w:w="1062" w:type="dxa"/>
          </w:tcPr>
          <w:p w14:paraId="49178693" w14:textId="6C35D501" w:rsidR="00B740B7" w:rsidRPr="002F3A26" w:rsidRDefault="00B740B7" w:rsidP="008B59E5">
            <w:pPr>
              <w:pStyle w:val="TableParagraph"/>
              <w:ind w:left="170"/>
            </w:pPr>
            <w:r w:rsidRPr="002F3A26">
              <w:t>1.09</w:t>
            </w:r>
          </w:p>
        </w:tc>
        <w:tc>
          <w:tcPr>
            <w:tcW w:w="1062" w:type="dxa"/>
          </w:tcPr>
          <w:p w14:paraId="26928B32" w14:textId="015A9FB4" w:rsidR="00B740B7" w:rsidRPr="002F3A26" w:rsidRDefault="00B740B7" w:rsidP="008B59E5">
            <w:pPr>
              <w:pStyle w:val="TableParagraph"/>
              <w:ind w:left="170"/>
            </w:pPr>
            <w:r w:rsidRPr="002F3A26">
              <w:t>1.18</w:t>
            </w:r>
          </w:p>
        </w:tc>
        <w:tc>
          <w:tcPr>
            <w:tcW w:w="1063" w:type="dxa"/>
          </w:tcPr>
          <w:p w14:paraId="5EF2D62D" w14:textId="74EB8658" w:rsidR="00B740B7" w:rsidRPr="002F3A26" w:rsidRDefault="00B740B7" w:rsidP="008B59E5">
            <w:pPr>
              <w:pStyle w:val="TableParagraph"/>
              <w:ind w:left="170"/>
            </w:pPr>
            <w:r w:rsidRPr="002F3A26">
              <w:t>1.17</w:t>
            </w:r>
          </w:p>
        </w:tc>
      </w:tr>
      <w:tr w:rsidR="00B740B7" w:rsidRPr="002F3A26" w14:paraId="3A3A0252" w14:textId="77777777" w:rsidTr="00954558">
        <w:trPr>
          <w:trHeight w:val="218"/>
        </w:trPr>
        <w:tc>
          <w:tcPr>
            <w:tcW w:w="2263" w:type="dxa"/>
          </w:tcPr>
          <w:p w14:paraId="5CF38CDC" w14:textId="07706ED8" w:rsidR="00B740B7" w:rsidRPr="002F3A26" w:rsidRDefault="00B740B7" w:rsidP="00634F39">
            <w:pPr>
              <w:pStyle w:val="TableParagraph"/>
              <w:rPr>
                <w:rFonts w:cs="Arial"/>
              </w:rPr>
            </w:pPr>
            <w:r w:rsidRPr="002F3A26">
              <w:t>$2,000-$2,999</w:t>
            </w:r>
          </w:p>
        </w:tc>
        <w:tc>
          <w:tcPr>
            <w:tcW w:w="1062" w:type="dxa"/>
          </w:tcPr>
          <w:p w14:paraId="066FC465" w14:textId="7E844BC8" w:rsidR="00B740B7" w:rsidRPr="002F3A26" w:rsidRDefault="00B740B7" w:rsidP="008B59E5">
            <w:pPr>
              <w:pStyle w:val="TableParagraph"/>
              <w:ind w:left="170"/>
              <w:rPr>
                <w:rFonts w:cs="Arial"/>
              </w:rPr>
            </w:pPr>
            <w:r w:rsidRPr="002F3A26">
              <w:t>1.08</w:t>
            </w:r>
            <w:r w:rsidRPr="002F3A26">
              <w:rPr>
                <w:vertAlign w:val="superscript"/>
              </w:rPr>
              <w:t>*</w:t>
            </w:r>
          </w:p>
        </w:tc>
        <w:tc>
          <w:tcPr>
            <w:tcW w:w="1062" w:type="dxa"/>
          </w:tcPr>
          <w:p w14:paraId="08CDFC75" w14:textId="518CDC72" w:rsidR="00B740B7" w:rsidRPr="002F3A26" w:rsidRDefault="00B740B7" w:rsidP="008B59E5">
            <w:pPr>
              <w:pStyle w:val="TableParagraph"/>
              <w:ind w:left="170"/>
              <w:rPr>
                <w:rFonts w:cs="Arial"/>
              </w:rPr>
            </w:pPr>
            <w:r w:rsidRPr="002F3A26">
              <w:t>1.29</w:t>
            </w:r>
            <w:r w:rsidRPr="002F3A26">
              <w:rPr>
                <w:vertAlign w:val="superscript"/>
              </w:rPr>
              <w:t>***</w:t>
            </w:r>
          </w:p>
        </w:tc>
        <w:tc>
          <w:tcPr>
            <w:tcW w:w="1062" w:type="dxa"/>
          </w:tcPr>
          <w:p w14:paraId="615ADCF5" w14:textId="11B9EFAD" w:rsidR="00B740B7" w:rsidRPr="002F3A26" w:rsidRDefault="00B740B7" w:rsidP="008B59E5">
            <w:pPr>
              <w:pStyle w:val="TableParagraph"/>
              <w:ind w:left="170"/>
              <w:rPr>
                <w:rFonts w:cs="Arial"/>
              </w:rPr>
            </w:pPr>
            <w:r w:rsidRPr="002F3A26">
              <w:t>1.08</w:t>
            </w:r>
            <w:r w:rsidRPr="002F3A26">
              <w:rPr>
                <w:vertAlign w:val="superscript"/>
              </w:rPr>
              <w:t>*</w:t>
            </w:r>
          </w:p>
        </w:tc>
        <w:tc>
          <w:tcPr>
            <w:tcW w:w="1063" w:type="dxa"/>
          </w:tcPr>
          <w:p w14:paraId="75DB95A4" w14:textId="3473B2C9" w:rsidR="00B740B7" w:rsidRPr="002F3A26" w:rsidRDefault="00B740B7" w:rsidP="008B59E5">
            <w:pPr>
              <w:pStyle w:val="TableParagraph"/>
              <w:ind w:left="170"/>
            </w:pPr>
            <w:r w:rsidRPr="002F3A26">
              <w:t>1.06</w:t>
            </w:r>
          </w:p>
        </w:tc>
        <w:tc>
          <w:tcPr>
            <w:tcW w:w="1062" w:type="dxa"/>
          </w:tcPr>
          <w:p w14:paraId="0408B156" w14:textId="3D99349C" w:rsidR="00B740B7" w:rsidRPr="002F3A26" w:rsidRDefault="00B740B7" w:rsidP="008B59E5">
            <w:pPr>
              <w:pStyle w:val="TableParagraph"/>
              <w:ind w:left="170"/>
            </w:pPr>
            <w:r w:rsidRPr="002F3A26">
              <w:t>1.31</w:t>
            </w:r>
            <w:r w:rsidRPr="002F3A26">
              <w:rPr>
                <w:vertAlign w:val="superscript"/>
              </w:rPr>
              <w:t>*</w:t>
            </w:r>
          </w:p>
        </w:tc>
        <w:tc>
          <w:tcPr>
            <w:tcW w:w="1062" w:type="dxa"/>
          </w:tcPr>
          <w:p w14:paraId="5C87F45A" w14:textId="1ADB8D0D" w:rsidR="00B740B7" w:rsidRPr="002F3A26" w:rsidRDefault="00B740B7" w:rsidP="008B59E5">
            <w:pPr>
              <w:pStyle w:val="TableParagraph"/>
              <w:ind w:left="170"/>
            </w:pPr>
            <w:r w:rsidRPr="002F3A26">
              <w:t>1.20</w:t>
            </w:r>
            <w:r w:rsidRPr="002F3A26">
              <w:rPr>
                <w:vertAlign w:val="superscript"/>
              </w:rPr>
              <w:t>***</w:t>
            </w:r>
          </w:p>
        </w:tc>
        <w:tc>
          <w:tcPr>
            <w:tcW w:w="1062" w:type="dxa"/>
          </w:tcPr>
          <w:p w14:paraId="66B5FECE" w14:textId="7EF53D22" w:rsidR="00B740B7" w:rsidRPr="002F3A26" w:rsidRDefault="00B740B7" w:rsidP="008B59E5">
            <w:pPr>
              <w:pStyle w:val="TableParagraph"/>
              <w:ind w:left="170"/>
            </w:pPr>
            <w:r w:rsidRPr="002F3A26">
              <w:t>1.30</w:t>
            </w:r>
            <w:r w:rsidRPr="002F3A26">
              <w:rPr>
                <w:vertAlign w:val="superscript"/>
              </w:rPr>
              <w:t>***</w:t>
            </w:r>
          </w:p>
        </w:tc>
        <w:tc>
          <w:tcPr>
            <w:tcW w:w="1063" w:type="dxa"/>
          </w:tcPr>
          <w:p w14:paraId="6EFD0411" w14:textId="5E034B8A" w:rsidR="00B740B7" w:rsidRPr="002F3A26" w:rsidRDefault="00B740B7" w:rsidP="008B59E5">
            <w:pPr>
              <w:pStyle w:val="TableParagraph"/>
              <w:ind w:left="170"/>
            </w:pPr>
            <w:r w:rsidRPr="002F3A26">
              <w:t>0.87</w:t>
            </w:r>
            <w:r w:rsidRPr="002F3A26">
              <w:rPr>
                <w:vertAlign w:val="superscript"/>
              </w:rPr>
              <w:t>***</w:t>
            </w:r>
          </w:p>
        </w:tc>
        <w:tc>
          <w:tcPr>
            <w:tcW w:w="1062" w:type="dxa"/>
          </w:tcPr>
          <w:p w14:paraId="2A5F03D6" w14:textId="7349E82D" w:rsidR="00B740B7" w:rsidRPr="002F3A26" w:rsidRDefault="00B740B7" w:rsidP="008B59E5">
            <w:pPr>
              <w:pStyle w:val="TableParagraph"/>
              <w:ind w:left="170"/>
            </w:pPr>
            <w:r w:rsidRPr="002F3A26">
              <w:t>1.11</w:t>
            </w:r>
            <w:r w:rsidRPr="002F3A26">
              <w:rPr>
                <w:vertAlign w:val="superscript"/>
              </w:rPr>
              <w:t>*</w:t>
            </w:r>
          </w:p>
        </w:tc>
        <w:tc>
          <w:tcPr>
            <w:tcW w:w="1062" w:type="dxa"/>
          </w:tcPr>
          <w:p w14:paraId="1A22EBA8" w14:textId="0ABD58D3" w:rsidR="00B740B7" w:rsidRPr="002F3A26" w:rsidRDefault="00B740B7" w:rsidP="008B59E5">
            <w:pPr>
              <w:pStyle w:val="TableParagraph"/>
              <w:ind w:left="170"/>
            </w:pPr>
            <w:r w:rsidRPr="002F3A26">
              <w:t>1.11</w:t>
            </w:r>
          </w:p>
        </w:tc>
        <w:tc>
          <w:tcPr>
            <w:tcW w:w="1063" w:type="dxa"/>
          </w:tcPr>
          <w:p w14:paraId="48B74760" w14:textId="6E306EB6" w:rsidR="00B740B7" w:rsidRPr="002F3A26" w:rsidRDefault="00B740B7" w:rsidP="008B59E5">
            <w:pPr>
              <w:pStyle w:val="TableParagraph"/>
              <w:ind w:left="170"/>
            </w:pPr>
            <w:r w:rsidRPr="002F3A26">
              <w:t>1.03</w:t>
            </w:r>
          </w:p>
        </w:tc>
      </w:tr>
      <w:tr w:rsidR="00B740B7" w:rsidRPr="002F3A26" w14:paraId="318CEA0D" w14:textId="77777777" w:rsidTr="00954558">
        <w:trPr>
          <w:trHeight w:val="218"/>
        </w:trPr>
        <w:tc>
          <w:tcPr>
            <w:tcW w:w="2263" w:type="dxa"/>
          </w:tcPr>
          <w:p w14:paraId="5E77D276" w14:textId="7606EEB7" w:rsidR="00B740B7" w:rsidRPr="002F3A26" w:rsidRDefault="00B740B7" w:rsidP="00634F39">
            <w:pPr>
              <w:pStyle w:val="TableParagraph"/>
              <w:rPr>
                <w:rFonts w:cs="Arial"/>
              </w:rPr>
            </w:pPr>
            <w:r w:rsidRPr="002F3A26">
              <w:t>Partial/no information</w:t>
            </w:r>
          </w:p>
        </w:tc>
        <w:tc>
          <w:tcPr>
            <w:tcW w:w="1062" w:type="dxa"/>
          </w:tcPr>
          <w:p w14:paraId="35D1EE6E" w14:textId="47868820" w:rsidR="00B740B7" w:rsidRPr="002F3A26" w:rsidRDefault="00B740B7" w:rsidP="008B59E5">
            <w:pPr>
              <w:pStyle w:val="TableParagraph"/>
              <w:ind w:left="170"/>
              <w:rPr>
                <w:rFonts w:cs="Arial"/>
              </w:rPr>
            </w:pPr>
            <w:r w:rsidRPr="002F3A26">
              <w:t>1.05</w:t>
            </w:r>
          </w:p>
        </w:tc>
        <w:tc>
          <w:tcPr>
            <w:tcW w:w="1062" w:type="dxa"/>
          </w:tcPr>
          <w:p w14:paraId="51B4CB93" w14:textId="036FF000" w:rsidR="00B740B7" w:rsidRPr="002F3A26" w:rsidRDefault="00B740B7" w:rsidP="008B59E5">
            <w:pPr>
              <w:pStyle w:val="TableParagraph"/>
              <w:ind w:left="170"/>
              <w:rPr>
                <w:rFonts w:cs="Arial"/>
              </w:rPr>
            </w:pPr>
            <w:r w:rsidRPr="002F3A26">
              <w:t>0.95</w:t>
            </w:r>
          </w:p>
        </w:tc>
        <w:tc>
          <w:tcPr>
            <w:tcW w:w="1062" w:type="dxa"/>
          </w:tcPr>
          <w:p w14:paraId="1FF2A989" w14:textId="3716FFDE" w:rsidR="00B740B7" w:rsidRPr="002F3A26" w:rsidRDefault="00B740B7" w:rsidP="008B59E5">
            <w:pPr>
              <w:pStyle w:val="TableParagraph"/>
              <w:ind w:left="170"/>
              <w:rPr>
                <w:rFonts w:cs="Arial"/>
              </w:rPr>
            </w:pPr>
            <w:r w:rsidRPr="002F3A26">
              <w:t>0.98</w:t>
            </w:r>
          </w:p>
        </w:tc>
        <w:tc>
          <w:tcPr>
            <w:tcW w:w="1063" w:type="dxa"/>
          </w:tcPr>
          <w:p w14:paraId="3B5EAC29" w14:textId="4BDFD589" w:rsidR="00B740B7" w:rsidRPr="002F3A26" w:rsidRDefault="00B740B7" w:rsidP="008B59E5">
            <w:pPr>
              <w:pStyle w:val="TableParagraph"/>
              <w:ind w:left="170"/>
            </w:pPr>
            <w:r w:rsidRPr="002F3A26">
              <w:t>1.15</w:t>
            </w:r>
            <w:r w:rsidRPr="002F3A26">
              <w:rPr>
                <w:vertAlign w:val="superscript"/>
              </w:rPr>
              <w:t>*</w:t>
            </w:r>
          </w:p>
        </w:tc>
        <w:tc>
          <w:tcPr>
            <w:tcW w:w="1062" w:type="dxa"/>
          </w:tcPr>
          <w:p w14:paraId="39FF6DFF" w14:textId="292266EA" w:rsidR="00B740B7" w:rsidRPr="002F3A26" w:rsidRDefault="00B740B7" w:rsidP="008B59E5">
            <w:pPr>
              <w:pStyle w:val="TableParagraph"/>
              <w:ind w:left="170"/>
            </w:pPr>
            <w:r w:rsidRPr="002F3A26">
              <w:t>1.14</w:t>
            </w:r>
          </w:p>
        </w:tc>
        <w:tc>
          <w:tcPr>
            <w:tcW w:w="1062" w:type="dxa"/>
          </w:tcPr>
          <w:p w14:paraId="172BA5F5" w14:textId="609F1129" w:rsidR="00B740B7" w:rsidRPr="002F3A26" w:rsidRDefault="00B740B7" w:rsidP="008B59E5">
            <w:pPr>
              <w:pStyle w:val="TableParagraph"/>
              <w:ind w:left="170"/>
            </w:pPr>
            <w:r w:rsidRPr="002F3A26">
              <w:t>0.97</w:t>
            </w:r>
          </w:p>
        </w:tc>
        <w:tc>
          <w:tcPr>
            <w:tcW w:w="1062" w:type="dxa"/>
          </w:tcPr>
          <w:p w14:paraId="008A6513" w14:textId="42ACA97F" w:rsidR="00B740B7" w:rsidRPr="002F3A26" w:rsidRDefault="00B740B7" w:rsidP="008B59E5">
            <w:pPr>
              <w:pStyle w:val="TableParagraph"/>
              <w:ind w:left="170"/>
            </w:pPr>
            <w:r w:rsidRPr="002F3A26">
              <w:t>0.90</w:t>
            </w:r>
          </w:p>
        </w:tc>
        <w:tc>
          <w:tcPr>
            <w:tcW w:w="1063" w:type="dxa"/>
          </w:tcPr>
          <w:p w14:paraId="58543ECD" w14:textId="1BDBA6FA" w:rsidR="00B740B7" w:rsidRPr="002F3A26" w:rsidRDefault="00B740B7" w:rsidP="008B59E5">
            <w:pPr>
              <w:pStyle w:val="TableParagraph"/>
              <w:ind w:left="170"/>
            </w:pPr>
            <w:r w:rsidRPr="002F3A26">
              <w:t>0.90</w:t>
            </w:r>
            <w:r w:rsidRPr="002F3A26">
              <w:rPr>
                <w:vertAlign w:val="superscript"/>
              </w:rPr>
              <w:t>**</w:t>
            </w:r>
          </w:p>
        </w:tc>
        <w:tc>
          <w:tcPr>
            <w:tcW w:w="1062" w:type="dxa"/>
          </w:tcPr>
          <w:p w14:paraId="40E2426C" w14:textId="7EDB9F38" w:rsidR="00B740B7" w:rsidRPr="002F3A26" w:rsidRDefault="00B740B7" w:rsidP="008B59E5">
            <w:pPr>
              <w:pStyle w:val="TableParagraph"/>
              <w:ind w:left="170"/>
            </w:pPr>
            <w:r w:rsidRPr="002F3A26">
              <w:t>0.99</w:t>
            </w:r>
          </w:p>
        </w:tc>
        <w:tc>
          <w:tcPr>
            <w:tcW w:w="1062" w:type="dxa"/>
          </w:tcPr>
          <w:p w14:paraId="431AF68F" w14:textId="7ED134C2" w:rsidR="00B740B7" w:rsidRPr="002F3A26" w:rsidRDefault="00B740B7" w:rsidP="008B59E5">
            <w:pPr>
              <w:pStyle w:val="TableParagraph"/>
              <w:ind w:left="170"/>
            </w:pPr>
            <w:r w:rsidRPr="002F3A26">
              <w:t>1.15</w:t>
            </w:r>
          </w:p>
        </w:tc>
        <w:tc>
          <w:tcPr>
            <w:tcW w:w="1063" w:type="dxa"/>
          </w:tcPr>
          <w:p w14:paraId="7C71B72B" w14:textId="08A4AFB1" w:rsidR="00B740B7" w:rsidRPr="002F3A26" w:rsidRDefault="00B740B7" w:rsidP="008B59E5">
            <w:pPr>
              <w:pStyle w:val="TableParagraph"/>
              <w:ind w:left="170"/>
            </w:pPr>
            <w:r w:rsidRPr="002F3A26">
              <w:t>1.17</w:t>
            </w:r>
          </w:p>
        </w:tc>
      </w:tr>
      <w:tr w:rsidR="00B740B7" w:rsidRPr="002F3A26" w14:paraId="07B12004" w14:textId="77777777" w:rsidTr="00954558">
        <w:trPr>
          <w:trHeight w:val="218"/>
        </w:trPr>
        <w:tc>
          <w:tcPr>
            <w:tcW w:w="2263" w:type="dxa"/>
          </w:tcPr>
          <w:p w14:paraId="05FBD11D" w14:textId="0BAE7713" w:rsidR="00B740B7" w:rsidRPr="002F3A26" w:rsidRDefault="00B740B7" w:rsidP="00634F39">
            <w:pPr>
              <w:pStyle w:val="TableParagraph"/>
              <w:rPr>
                <w:rFonts w:cs="Arial"/>
              </w:rPr>
            </w:pPr>
            <w:r w:rsidRPr="002F3A26">
              <w:t>Observations</w:t>
            </w:r>
          </w:p>
        </w:tc>
        <w:tc>
          <w:tcPr>
            <w:tcW w:w="1062" w:type="dxa"/>
          </w:tcPr>
          <w:p w14:paraId="2891F797" w14:textId="3835F8ED" w:rsidR="00B740B7" w:rsidRPr="002F3A26" w:rsidRDefault="00B740B7" w:rsidP="008B59E5">
            <w:pPr>
              <w:pStyle w:val="TableParagraph"/>
              <w:ind w:left="170"/>
              <w:rPr>
                <w:rFonts w:cs="Arial"/>
              </w:rPr>
            </w:pPr>
            <w:r w:rsidRPr="002F3A26">
              <w:t>89522</w:t>
            </w:r>
          </w:p>
        </w:tc>
        <w:tc>
          <w:tcPr>
            <w:tcW w:w="1062" w:type="dxa"/>
          </w:tcPr>
          <w:p w14:paraId="02D41C39" w14:textId="77777777" w:rsidR="00B740B7" w:rsidRPr="002F3A26" w:rsidRDefault="00B740B7" w:rsidP="008B59E5">
            <w:pPr>
              <w:pStyle w:val="TableParagraph"/>
              <w:ind w:left="170"/>
              <w:rPr>
                <w:rFonts w:cs="Arial"/>
              </w:rPr>
            </w:pPr>
          </w:p>
        </w:tc>
        <w:tc>
          <w:tcPr>
            <w:tcW w:w="1062" w:type="dxa"/>
          </w:tcPr>
          <w:p w14:paraId="1E4B6B4F" w14:textId="77777777" w:rsidR="00B740B7" w:rsidRPr="002F3A26" w:rsidRDefault="00B740B7" w:rsidP="008B59E5">
            <w:pPr>
              <w:pStyle w:val="TableParagraph"/>
              <w:ind w:left="170"/>
              <w:rPr>
                <w:rFonts w:cs="Arial"/>
              </w:rPr>
            </w:pPr>
          </w:p>
        </w:tc>
        <w:tc>
          <w:tcPr>
            <w:tcW w:w="1063" w:type="dxa"/>
          </w:tcPr>
          <w:p w14:paraId="4E607CCF" w14:textId="77777777" w:rsidR="00B740B7" w:rsidRPr="002F3A26" w:rsidRDefault="00B740B7" w:rsidP="008B59E5">
            <w:pPr>
              <w:pStyle w:val="TableParagraph"/>
              <w:ind w:left="170"/>
            </w:pPr>
          </w:p>
        </w:tc>
        <w:tc>
          <w:tcPr>
            <w:tcW w:w="1062" w:type="dxa"/>
          </w:tcPr>
          <w:p w14:paraId="66A0EA23" w14:textId="77777777" w:rsidR="00B740B7" w:rsidRPr="002F3A26" w:rsidRDefault="00B740B7" w:rsidP="008B59E5">
            <w:pPr>
              <w:pStyle w:val="TableParagraph"/>
              <w:ind w:left="170"/>
            </w:pPr>
          </w:p>
        </w:tc>
        <w:tc>
          <w:tcPr>
            <w:tcW w:w="1062" w:type="dxa"/>
          </w:tcPr>
          <w:p w14:paraId="464331DB" w14:textId="77777777" w:rsidR="00B740B7" w:rsidRPr="002F3A26" w:rsidRDefault="00B740B7" w:rsidP="008B59E5">
            <w:pPr>
              <w:pStyle w:val="TableParagraph"/>
              <w:ind w:left="170"/>
            </w:pPr>
          </w:p>
        </w:tc>
        <w:tc>
          <w:tcPr>
            <w:tcW w:w="1062" w:type="dxa"/>
          </w:tcPr>
          <w:p w14:paraId="1ADC830A" w14:textId="77777777" w:rsidR="00B740B7" w:rsidRPr="002F3A26" w:rsidRDefault="00B740B7" w:rsidP="008B59E5">
            <w:pPr>
              <w:pStyle w:val="TableParagraph"/>
              <w:ind w:left="170"/>
            </w:pPr>
          </w:p>
        </w:tc>
        <w:tc>
          <w:tcPr>
            <w:tcW w:w="1063" w:type="dxa"/>
          </w:tcPr>
          <w:p w14:paraId="189BE05D" w14:textId="77777777" w:rsidR="00B740B7" w:rsidRPr="002F3A26" w:rsidRDefault="00B740B7" w:rsidP="008B59E5">
            <w:pPr>
              <w:pStyle w:val="TableParagraph"/>
              <w:ind w:left="170"/>
            </w:pPr>
          </w:p>
        </w:tc>
        <w:tc>
          <w:tcPr>
            <w:tcW w:w="1062" w:type="dxa"/>
          </w:tcPr>
          <w:p w14:paraId="72F1C262" w14:textId="77777777" w:rsidR="00B740B7" w:rsidRPr="002F3A26" w:rsidRDefault="00B740B7" w:rsidP="008B59E5">
            <w:pPr>
              <w:pStyle w:val="TableParagraph"/>
              <w:ind w:left="170"/>
            </w:pPr>
          </w:p>
        </w:tc>
        <w:tc>
          <w:tcPr>
            <w:tcW w:w="1062" w:type="dxa"/>
          </w:tcPr>
          <w:p w14:paraId="3FBB1A5E" w14:textId="77777777" w:rsidR="00B740B7" w:rsidRPr="002F3A26" w:rsidRDefault="00B740B7" w:rsidP="008B59E5">
            <w:pPr>
              <w:pStyle w:val="TableParagraph"/>
              <w:ind w:left="170"/>
            </w:pPr>
          </w:p>
        </w:tc>
        <w:tc>
          <w:tcPr>
            <w:tcW w:w="1063" w:type="dxa"/>
          </w:tcPr>
          <w:p w14:paraId="07EF703A" w14:textId="77777777" w:rsidR="00B740B7" w:rsidRPr="002F3A26" w:rsidRDefault="00B740B7" w:rsidP="008B59E5">
            <w:pPr>
              <w:pStyle w:val="TableParagraph"/>
              <w:ind w:left="170"/>
            </w:pPr>
          </w:p>
        </w:tc>
      </w:tr>
      <w:tr w:rsidR="00B740B7" w:rsidRPr="002F3A26" w14:paraId="003F5306" w14:textId="77777777" w:rsidTr="00954558">
        <w:trPr>
          <w:trHeight w:val="218"/>
        </w:trPr>
        <w:tc>
          <w:tcPr>
            <w:tcW w:w="2263" w:type="dxa"/>
          </w:tcPr>
          <w:p w14:paraId="3125DCBF" w14:textId="0157064D" w:rsidR="00B740B7" w:rsidRPr="002F3A26" w:rsidRDefault="00B740B7" w:rsidP="00634F39">
            <w:pPr>
              <w:pStyle w:val="TableParagraph"/>
              <w:rPr>
                <w:rFonts w:cs="Arial"/>
              </w:rPr>
            </w:pPr>
            <w:r w:rsidRPr="002F3A26">
              <w:t xml:space="preserve">Pseudo </w:t>
            </w:r>
            <w:r w:rsidRPr="002F3A26">
              <w:rPr>
                <w:i/>
                <w:iCs/>
              </w:rPr>
              <w:t>R</w:t>
            </w:r>
            <w:r w:rsidRPr="002F3A26">
              <w:rPr>
                <w:vertAlign w:val="superscript"/>
              </w:rPr>
              <w:t>2</w:t>
            </w:r>
          </w:p>
        </w:tc>
        <w:tc>
          <w:tcPr>
            <w:tcW w:w="1062" w:type="dxa"/>
          </w:tcPr>
          <w:p w14:paraId="14925412" w14:textId="2A6D3C5B" w:rsidR="00B740B7" w:rsidRPr="002F3A26" w:rsidRDefault="00B740B7" w:rsidP="008B59E5">
            <w:pPr>
              <w:pStyle w:val="TableParagraph"/>
              <w:ind w:left="170"/>
              <w:rPr>
                <w:rFonts w:cs="Arial"/>
              </w:rPr>
            </w:pPr>
            <w:r w:rsidRPr="002F3A26">
              <w:t>0.035</w:t>
            </w:r>
          </w:p>
        </w:tc>
        <w:tc>
          <w:tcPr>
            <w:tcW w:w="1062" w:type="dxa"/>
          </w:tcPr>
          <w:p w14:paraId="4CAFF15B" w14:textId="77777777" w:rsidR="00B740B7" w:rsidRPr="002F3A26" w:rsidRDefault="00B740B7" w:rsidP="008B59E5">
            <w:pPr>
              <w:pStyle w:val="TableParagraph"/>
              <w:ind w:left="170"/>
              <w:rPr>
                <w:rFonts w:cs="Arial"/>
              </w:rPr>
            </w:pPr>
          </w:p>
        </w:tc>
        <w:tc>
          <w:tcPr>
            <w:tcW w:w="1062" w:type="dxa"/>
          </w:tcPr>
          <w:p w14:paraId="14CB2074" w14:textId="77777777" w:rsidR="00B740B7" w:rsidRPr="002F3A26" w:rsidRDefault="00B740B7" w:rsidP="008B59E5">
            <w:pPr>
              <w:pStyle w:val="TableParagraph"/>
              <w:ind w:left="170"/>
              <w:rPr>
                <w:rFonts w:cs="Arial"/>
              </w:rPr>
            </w:pPr>
          </w:p>
        </w:tc>
        <w:tc>
          <w:tcPr>
            <w:tcW w:w="1063" w:type="dxa"/>
          </w:tcPr>
          <w:p w14:paraId="4FA8C74C" w14:textId="77777777" w:rsidR="00B740B7" w:rsidRPr="002F3A26" w:rsidRDefault="00B740B7" w:rsidP="008B59E5">
            <w:pPr>
              <w:pStyle w:val="TableParagraph"/>
              <w:ind w:left="170"/>
            </w:pPr>
          </w:p>
        </w:tc>
        <w:tc>
          <w:tcPr>
            <w:tcW w:w="1062" w:type="dxa"/>
          </w:tcPr>
          <w:p w14:paraId="18F2A18D" w14:textId="77777777" w:rsidR="00B740B7" w:rsidRPr="002F3A26" w:rsidRDefault="00B740B7" w:rsidP="008B59E5">
            <w:pPr>
              <w:pStyle w:val="TableParagraph"/>
              <w:ind w:left="170"/>
            </w:pPr>
          </w:p>
        </w:tc>
        <w:tc>
          <w:tcPr>
            <w:tcW w:w="1062" w:type="dxa"/>
          </w:tcPr>
          <w:p w14:paraId="2F2C6A20" w14:textId="77777777" w:rsidR="00B740B7" w:rsidRPr="002F3A26" w:rsidRDefault="00B740B7" w:rsidP="008B59E5">
            <w:pPr>
              <w:pStyle w:val="TableParagraph"/>
              <w:ind w:left="170"/>
            </w:pPr>
          </w:p>
        </w:tc>
        <w:tc>
          <w:tcPr>
            <w:tcW w:w="1062" w:type="dxa"/>
          </w:tcPr>
          <w:p w14:paraId="55F0278A" w14:textId="77777777" w:rsidR="00B740B7" w:rsidRPr="002F3A26" w:rsidRDefault="00B740B7" w:rsidP="008B59E5">
            <w:pPr>
              <w:pStyle w:val="TableParagraph"/>
              <w:ind w:left="170"/>
            </w:pPr>
          </w:p>
        </w:tc>
        <w:tc>
          <w:tcPr>
            <w:tcW w:w="1063" w:type="dxa"/>
          </w:tcPr>
          <w:p w14:paraId="7929B1C5" w14:textId="77777777" w:rsidR="00B740B7" w:rsidRPr="002F3A26" w:rsidRDefault="00B740B7" w:rsidP="008B59E5">
            <w:pPr>
              <w:pStyle w:val="TableParagraph"/>
              <w:ind w:left="170"/>
            </w:pPr>
          </w:p>
        </w:tc>
        <w:tc>
          <w:tcPr>
            <w:tcW w:w="1062" w:type="dxa"/>
          </w:tcPr>
          <w:p w14:paraId="41144921" w14:textId="77777777" w:rsidR="00B740B7" w:rsidRPr="002F3A26" w:rsidRDefault="00B740B7" w:rsidP="008B59E5">
            <w:pPr>
              <w:pStyle w:val="TableParagraph"/>
              <w:ind w:left="170"/>
            </w:pPr>
          </w:p>
        </w:tc>
        <w:tc>
          <w:tcPr>
            <w:tcW w:w="1062" w:type="dxa"/>
          </w:tcPr>
          <w:p w14:paraId="42463F38" w14:textId="77777777" w:rsidR="00B740B7" w:rsidRPr="002F3A26" w:rsidRDefault="00B740B7" w:rsidP="008B59E5">
            <w:pPr>
              <w:pStyle w:val="TableParagraph"/>
              <w:ind w:left="170"/>
            </w:pPr>
          </w:p>
        </w:tc>
        <w:tc>
          <w:tcPr>
            <w:tcW w:w="1063" w:type="dxa"/>
          </w:tcPr>
          <w:p w14:paraId="1BF42515" w14:textId="77777777" w:rsidR="00B740B7" w:rsidRPr="002F3A26" w:rsidRDefault="00B740B7" w:rsidP="008B59E5">
            <w:pPr>
              <w:pStyle w:val="TableParagraph"/>
              <w:ind w:left="170"/>
            </w:pPr>
          </w:p>
        </w:tc>
      </w:tr>
    </w:tbl>
    <w:p w14:paraId="4861D43D" w14:textId="0D91A613" w:rsidR="007F7595" w:rsidRPr="002F3A26" w:rsidRDefault="00500DF0" w:rsidP="00954558">
      <w:pPr>
        <w:pStyle w:val="Notes"/>
      </w:pPr>
      <w:r w:rsidRPr="002F3A26">
        <w:t xml:space="preserve">Notes: Data from PLIDA. </w:t>
      </w:r>
      <w:r w:rsidR="00E61E05">
        <w:t>FiF: First-in-Family status</w:t>
      </w:r>
      <w:r w:rsidRPr="002F3A26">
        <w:t>. SES: socio</w:t>
      </w:r>
      <w:r w:rsidR="00BB7379">
        <w:t>-</w:t>
      </w:r>
      <w:r w:rsidRPr="002F3A26">
        <w:t xml:space="preserve">economic status. NESB: Non-English Speaking Background. </w:t>
      </w:r>
      <w:r w:rsidR="002045AE">
        <w:t xml:space="preserve">RR: regional or remote. </w:t>
      </w:r>
      <w:r w:rsidRPr="002F3A26">
        <w:t>Statistical significance: * p &lt; 0.05, ** p &lt; 0.01, *** p &lt; 0.001.</w:t>
      </w:r>
    </w:p>
    <w:sectPr w:rsidR="007F7595" w:rsidRPr="002F3A26" w:rsidSect="00925C36">
      <w:pgSz w:w="16838" w:h="11906" w:orient="landscape"/>
      <w:pgMar w:top="1440" w:right="1440" w:bottom="1440" w:left="144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7D37B" w14:textId="77777777" w:rsidR="00ED317A" w:rsidRDefault="00ED317A" w:rsidP="008C7722">
      <w:pPr>
        <w:spacing w:after="0"/>
      </w:pPr>
      <w:r>
        <w:separator/>
      </w:r>
    </w:p>
  </w:endnote>
  <w:endnote w:type="continuationSeparator" w:id="0">
    <w:p w14:paraId="03EF02DE" w14:textId="77777777" w:rsidR="00ED317A" w:rsidRDefault="00ED317A" w:rsidP="008C7722">
      <w:pPr>
        <w:spacing w:after="0"/>
      </w:pPr>
      <w:r>
        <w:continuationSeparator/>
      </w:r>
    </w:p>
  </w:endnote>
  <w:endnote w:type="continuationNotice" w:id="1">
    <w:p w14:paraId="596C0821" w14:textId="77777777" w:rsidR="00ED317A" w:rsidRDefault="00ED31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Light">
    <w:panose1 w:val="02000503000000020004"/>
    <w:charset w:val="00"/>
    <w:family w:val="auto"/>
    <w:pitch w:val="variable"/>
    <w:sig w:usb0="E00002FF" w:usb1="1200A1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Inter">
    <w:altName w:val="Calibri"/>
    <w:panose1 w:val="02000503000000020004"/>
    <w:charset w:val="00"/>
    <w:family w:val="auto"/>
    <w:pitch w:val="variable"/>
    <w:sig w:usb0="E00002FF" w:usb1="1200A1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ter Medium">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264410"/>
      <w:docPartObj>
        <w:docPartGallery w:val="Page Numbers (Bottom of Page)"/>
        <w:docPartUnique/>
      </w:docPartObj>
    </w:sdtPr>
    <w:sdtEndPr>
      <w:rPr>
        <w:noProof/>
        <w:sz w:val="18"/>
        <w:szCs w:val="18"/>
      </w:rPr>
    </w:sdtEndPr>
    <w:sdtContent>
      <w:p w14:paraId="2C30BE8C" w14:textId="77777777" w:rsidR="008C7722" w:rsidRPr="00610452" w:rsidRDefault="008C7722">
        <w:pPr>
          <w:pStyle w:val="Footer"/>
          <w:jc w:val="center"/>
          <w:rPr>
            <w:sz w:val="18"/>
            <w:szCs w:val="18"/>
          </w:rPr>
        </w:pPr>
        <w:r w:rsidRPr="00610452">
          <w:rPr>
            <w:sz w:val="18"/>
            <w:szCs w:val="18"/>
          </w:rPr>
          <w:fldChar w:fldCharType="begin"/>
        </w:r>
        <w:r w:rsidRPr="00610452">
          <w:rPr>
            <w:sz w:val="18"/>
            <w:szCs w:val="18"/>
          </w:rPr>
          <w:instrText xml:space="preserve"> PAGE   \* MERGEFORMAT </w:instrText>
        </w:r>
        <w:r w:rsidRPr="00610452">
          <w:rPr>
            <w:sz w:val="18"/>
            <w:szCs w:val="18"/>
          </w:rPr>
          <w:fldChar w:fldCharType="separate"/>
        </w:r>
        <w:r w:rsidRPr="00610452">
          <w:rPr>
            <w:noProof/>
            <w:sz w:val="18"/>
            <w:szCs w:val="18"/>
          </w:rPr>
          <w:t>2</w:t>
        </w:r>
        <w:r w:rsidRPr="00610452">
          <w:rPr>
            <w:noProof/>
            <w:sz w:val="18"/>
            <w:szCs w:val="18"/>
          </w:rPr>
          <w:fldChar w:fldCharType="end"/>
        </w:r>
      </w:p>
    </w:sdtContent>
  </w:sdt>
  <w:p w14:paraId="650ACA10" w14:textId="77777777" w:rsidR="008C7722" w:rsidRDefault="008C7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5442C" w14:textId="77777777" w:rsidR="00ED317A" w:rsidRDefault="00ED317A" w:rsidP="008C7722">
      <w:pPr>
        <w:spacing w:after="0"/>
      </w:pPr>
      <w:r>
        <w:separator/>
      </w:r>
    </w:p>
  </w:footnote>
  <w:footnote w:type="continuationSeparator" w:id="0">
    <w:p w14:paraId="4D62D0B7" w14:textId="77777777" w:rsidR="00ED317A" w:rsidRDefault="00ED317A" w:rsidP="008C7722">
      <w:pPr>
        <w:spacing w:after="0"/>
      </w:pPr>
      <w:r>
        <w:continuationSeparator/>
      </w:r>
    </w:p>
  </w:footnote>
  <w:footnote w:type="continuationNotice" w:id="1">
    <w:p w14:paraId="57F38897" w14:textId="77777777" w:rsidR="00ED317A" w:rsidRDefault="00ED317A">
      <w:pPr>
        <w:spacing w:after="0" w:line="240" w:lineRule="auto"/>
      </w:pPr>
    </w:p>
  </w:footnote>
  <w:footnote w:id="2">
    <w:p w14:paraId="4524669C" w14:textId="2439E3F6" w:rsidR="00B9221F" w:rsidRDefault="00B9221F">
      <w:pPr>
        <w:pStyle w:val="FootnoteText"/>
      </w:pPr>
      <w:r>
        <w:rPr>
          <w:rStyle w:val="FootnoteReference"/>
        </w:rPr>
        <w:footnoteRef/>
      </w:r>
      <w:r>
        <w:t xml:space="preserve"> The definition of </w:t>
      </w:r>
      <w:r w:rsidR="002F1E87">
        <w:t>“</w:t>
      </w:r>
      <w:r>
        <w:t>selective institutions</w:t>
      </w:r>
      <w:r w:rsidR="002F1E87">
        <w:t>”</w:t>
      </w:r>
      <w:r>
        <w:t xml:space="preserve"> in this study can be found in </w:t>
      </w:r>
      <w:hyperlink w:anchor="_Outcome_variables" w:history="1">
        <w:r w:rsidR="002F1E87" w:rsidRPr="002F1E87">
          <w:rPr>
            <w:rStyle w:val="Hyperlink"/>
          </w:rPr>
          <w:t>S</w:t>
        </w:r>
        <w:r w:rsidRPr="002F1E87">
          <w:rPr>
            <w:rStyle w:val="Hyperlink"/>
          </w:rPr>
          <w:t>ection 5.2.1</w:t>
        </w:r>
      </w:hyperlink>
      <w:r>
        <w:t xml:space="preserve"> of the section</w:t>
      </w:r>
      <w:r w:rsidR="002F1E87">
        <w:t xml:space="preserve"> on methods</w:t>
      </w:r>
      <w:r>
        <w:t xml:space="preserve">. </w:t>
      </w:r>
    </w:p>
  </w:footnote>
  <w:footnote w:id="3">
    <w:p w14:paraId="25479D32" w14:textId="5B039B0B" w:rsidR="0073052C" w:rsidRPr="00D8393F" w:rsidRDefault="0073052C" w:rsidP="008E418F">
      <w:pPr>
        <w:pStyle w:val="FootnoteText"/>
      </w:pPr>
      <w:r>
        <w:rPr>
          <w:rStyle w:val="FootnoteReference"/>
        </w:rPr>
        <w:footnoteRef/>
      </w:r>
      <w:r>
        <w:t xml:space="preserve"> </w:t>
      </w:r>
      <w:r w:rsidRPr="008E418F">
        <w:t>While these efforts are to be applauded, it is also important to recogni</w:t>
      </w:r>
      <w:r w:rsidR="004F64B4" w:rsidRPr="008E418F">
        <w:t>s</w:t>
      </w:r>
      <w:r w:rsidRPr="008E418F">
        <w:t>e that Australia’s investment in widening participation is influenced by global human capital theory where increasing the participation “is an essential component of the strategy to increase the nation’s competitiveness, growth and productivity in the global knowledge economy” (Luzeckyj et al., 2011, p. 95).</w:t>
      </w:r>
    </w:p>
  </w:footnote>
  <w:footnote w:id="4">
    <w:p w14:paraId="47664EF2" w14:textId="4CB27730" w:rsidR="0073052C" w:rsidRPr="003220F3" w:rsidRDefault="0073052C" w:rsidP="008E418F">
      <w:pPr>
        <w:pStyle w:val="FootnoteText"/>
      </w:pPr>
      <w:r>
        <w:rPr>
          <w:rStyle w:val="FootnoteReference"/>
        </w:rPr>
        <w:footnoteRef/>
      </w:r>
      <w:r>
        <w:t xml:space="preserve"> </w:t>
      </w:r>
      <w:r w:rsidRPr="00A17044">
        <w:t>The equity framework has undergone scrutiny in various significant reviews in recent years (</w:t>
      </w:r>
      <w:r w:rsidR="004F64B4">
        <w:t>for example</w:t>
      </w:r>
      <w:r w:rsidRPr="00A17044">
        <w:t>, James et al., 2004; AIHW, 2014; Pitman &amp; Koshy, 2014; Tomaszewski et al., 2018), reflecting ongoing efforts to assess and improve equity in higher education.</w:t>
      </w:r>
    </w:p>
  </w:footnote>
  <w:footnote w:id="5">
    <w:p w14:paraId="1E894BDB" w14:textId="05CB7227" w:rsidR="00DD015F" w:rsidRPr="00AC60F6" w:rsidRDefault="0073052C" w:rsidP="008E418F">
      <w:pPr>
        <w:pStyle w:val="FootnoteText"/>
      </w:pPr>
      <w:r>
        <w:rPr>
          <w:rStyle w:val="FootnoteReference"/>
        </w:rPr>
        <w:footnoteRef/>
      </w:r>
      <w:r>
        <w:t xml:space="preserve"> A cautionary note on terminology is due here. In the international literature, the terms </w:t>
      </w:r>
      <w:r w:rsidR="00854F5A">
        <w:t xml:space="preserve">FiF </w:t>
      </w:r>
      <w:r>
        <w:t>and First-Generation Students (FGS) are often used interchangeably, though there are subtle differences between the two groups. F</w:t>
      </w:r>
      <w:r w:rsidR="000F7028">
        <w:t>i</w:t>
      </w:r>
      <w:r>
        <w:t>F typically refers to individuals who are the first in their immediate family to pursue or complete higher education, emphasi</w:t>
      </w:r>
      <w:r w:rsidR="004F64B4">
        <w:t>s</w:t>
      </w:r>
      <w:r>
        <w:t>ing the family context, including the role of siblings. FGS, on the other hand, generally highlights the lack of parental experience in higher education and is commonly used in studies and policies, particularly in the United States</w:t>
      </w:r>
      <w:r w:rsidR="004F64B4">
        <w:t xml:space="preserve"> of America</w:t>
      </w:r>
      <w:r>
        <w:t xml:space="preserve">. Despite these nuances, both terms share a focus on students who may face unique challenges, such as limited access to guidance about navigating university systems or feelings of isolation. </w:t>
      </w:r>
      <w:r w:rsidRPr="00AC60F6">
        <w:t xml:space="preserve">The Census data used in this study allows the identification of FGS only, as data on siblings cannot be reliably linked. However, we decided to use the term </w:t>
      </w:r>
      <w:r w:rsidR="00D578CB">
        <w:t>FiF</w:t>
      </w:r>
      <w:r w:rsidRPr="00AC60F6">
        <w:t xml:space="preserve"> as it is more commonly used in the Australian context (King et al., 2015).</w:t>
      </w:r>
      <w:r w:rsidR="00DD015F">
        <w:t xml:space="preserve"> </w:t>
      </w:r>
    </w:p>
  </w:footnote>
  <w:footnote w:id="6">
    <w:p w14:paraId="7091D56E" w14:textId="68E6F74A" w:rsidR="00DD015F" w:rsidRPr="00DD015F" w:rsidRDefault="00DD015F" w:rsidP="008E418F">
      <w:pPr>
        <w:pStyle w:val="FootnoteText"/>
      </w:pPr>
      <w:r>
        <w:rPr>
          <w:rStyle w:val="FootnoteReference"/>
        </w:rPr>
        <w:footnoteRef/>
      </w:r>
      <w:r>
        <w:t xml:space="preserve"> </w:t>
      </w:r>
      <w:r w:rsidRPr="00DD015F">
        <w:t xml:space="preserve">Who </w:t>
      </w:r>
      <w:r>
        <w:t>are also</w:t>
      </w:r>
      <w:r w:rsidRPr="00DD015F">
        <w:t xml:space="preserve"> called prospective FiF</w:t>
      </w:r>
      <w:r>
        <w:t>/FGS</w:t>
      </w:r>
      <w:r w:rsidRPr="00DD015F">
        <w:t xml:space="preserve"> students</w:t>
      </w:r>
      <w:r>
        <w:t xml:space="preserve"> in the literature</w:t>
      </w:r>
      <w:r w:rsidRPr="00DD015F">
        <w:t xml:space="preserve">, </w:t>
      </w:r>
      <w:r w:rsidR="004F64B4">
        <w:t>that is,</w:t>
      </w:r>
      <w:r w:rsidRPr="00DD015F">
        <w:t xml:space="preserve"> those who would be first in their families to enrol in higher education</w:t>
      </w:r>
      <w:r>
        <w:t xml:space="preserve"> (</w:t>
      </w:r>
      <w:r w:rsidRPr="00A94465">
        <w:t>Patfield et al., 2021; Patfield, Gore, &amp; Weaver, 2022</w:t>
      </w:r>
      <w:r>
        <w:t>)</w:t>
      </w:r>
      <w:r w:rsidRPr="00DD015F">
        <w:t>.</w:t>
      </w:r>
    </w:p>
  </w:footnote>
  <w:footnote w:id="7">
    <w:p w14:paraId="5DDA4EEA" w14:textId="52F2F8E1" w:rsidR="001C380E" w:rsidRPr="007C300C" w:rsidRDefault="001C380E" w:rsidP="008E418F">
      <w:pPr>
        <w:pStyle w:val="FootnoteText"/>
      </w:pPr>
      <w:r w:rsidRPr="007C300C">
        <w:rPr>
          <w:rStyle w:val="FootnoteReference"/>
          <w:rFonts w:asciiTheme="minorHAnsi" w:hAnsiTheme="minorHAnsi" w:cstheme="minorHAnsi"/>
        </w:rPr>
        <w:footnoteRef/>
      </w:r>
      <w:r w:rsidRPr="007C300C">
        <w:t xml:space="preserve"> These data come from </w:t>
      </w:r>
      <w:r w:rsidR="002546E0">
        <w:t>PLIDA</w:t>
      </w:r>
      <w:r w:rsidRPr="007C300C">
        <w:t xml:space="preserve"> address histories </w:t>
      </w:r>
      <w:r w:rsidRPr="002546E0">
        <w:t>compiled</w:t>
      </w:r>
      <w:r w:rsidRPr="007C300C">
        <w:t xml:space="preserve"> from multiple sources, including individuals’ interactions with the Australian public service, Medicare and</w:t>
      </w:r>
      <w:r>
        <w:t xml:space="preserve"> the</w:t>
      </w:r>
      <w:r w:rsidRPr="007C300C">
        <w:t xml:space="preserve"> </w:t>
      </w:r>
      <w:r>
        <w:t>income-support</w:t>
      </w:r>
      <w:r w:rsidRPr="007C300C">
        <w:t xml:space="preserve"> system, as well as from Census records. </w:t>
      </w:r>
    </w:p>
  </w:footnote>
  <w:footnote w:id="8">
    <w:p w14:paraId="61E8DE19" w14:textId="1AC67695" w:rsidR="00ED23F1" w:rsidRPr="00ED23F1" w:rsidRDefault="00ED23F1" w:rsidP="008E418F">
      <w:pPr>
        <w:pStyle w:val="FootnoteText"/>
      </w:pPr>
      <w:r>
        <w:rPr>
          <w:rStyle w:val="FootnoteReference"/>
        </w:rPr>
        <w:footnoteRef/>
      </w:r>
      <w:r>
        <w:t xml:space="preserve"> </w:t>
      </w:r>
      <w:r w:rsidRPr="00BC6F7A">
        <w:t xml:space="preserve">For more information about </w:t>
      </w:r>
      <w:r>
        <w:t xml:space="preserve">the Census </w:t>
      </w:r>
      <w:r w:rsidR="00937FDA">
        <w:t>“</w:t>
      </w:r>
      <w:r w:rsidRPr="00ED23F1">
        <w:t>Core activity need for assistance</w:t>
      </w:r>
      <w:r w:rsidR="00937FDA">
        <w:t>”</w:t>
      </w:r>
      <w:r>
        <w:t xml:space="preserve"> variable see: </w:t>
      </w:r>
      <w:hyperlink r:id="rId1" w:history="1">
        <w:r w:rsidR="00472B47" w:rsidRPr="006D03DE">
          <w:rPr>
            <w:rStyle w:val="Hyperlink"/>
          </w:rPr>
          <w:t>https://www.abs.gov.au/census/guide-census-data/census-dictionary/2021/variables-topic/disability-and-carers/core-activity-need-assistance-assnp</w:t>
        </w:r>
      </w:hyperlink>
      <w:r w:rsidR="00472B47">
        <w:t xml:space="preserve">. </w:t>
      </w:r>
    </w:p>
  </w:footnote>
  <w:footnote w:id="9">
    <w:p w14:paraId="227C586F" w14:textId="787D0E5D" w:rsidR="00ED23F1" w:rsidRPr="00191194" w:rsidRDefault="00ED23F1" w:rsidP="008E418F">
      <w:pPr>
        <w:pStyle w:val="FootnoteText"/>
      </w:pPr>
      <w:r>
        <w:rPr>
          <w:rStyle w:val="FootnoteReference"/>
        </w:rPr>
        <w:footnoteRef/>
      </w:r>
      <w:r>
        <w:t xml:space="preserve"> </w:t>
      </w:r>
      <w:r w:rsidRPr="00BC6F7A">
        <w:t xml:space="preserve">For more information about </w:t>
      </w:r>
      <w:r>
        <w:t xml:space="preserve">the Census sex variable see: </w:t>
      </w:r>
      <w:hyperlink r:id="rId2" w:history="1">
        <w:r w:rsidR="00610452" w:rsidRPr="00C6385F">
          <w:rPr>
            <w:rStyle w:val="Hyperlink"/>
          </w:rPr>
          <w:t>https://www.abs.gov.au/census/guide-census-data/census-dictionary/2021/variables-topic/population/sex-sexp</w:t>
        </w:r>
      </w:hyperlink>
      <w:r w:rsidR="00610452">
        <w:t xml:space="preserve"> </w:t>
      </w:r>
    </w:p>
  </w:footnote>
  <w:footnote w:id="10">
    <w:p w14:paraId="0B558108" w14:textId="5FD115FE" w:rsidR="00500DF0" w:rsidRPr="00500DF0" w:rsidRDefault="00500DF0" w:rsidP="008E418F">
      <w:pPr>
        <w:pStyle w:val="FootnoteText"/>
      </w:pPr>
      <w:r>
        <w:rPr>
          <w:rStyle w:val="FootnoteReference"/>
        </w:rPr>
        <w:footnoteRef/>
      </w:r>
      <w:r>
        <w:t xml:space="preserve"> </w:t>
      </w:r>
      <w:r w:rsidRPr="00500DF0">
        <w:t xml:space="preserve">See </w:t>
      </w:r>
      <w:r w:rsidR="001A1977">
        <w:fldChar w:fldCharType="begin"/>
      </w:r>
      <w:r w:rsidR="001A1977">
        <w:instrText xml:space="preserve"> REF _Ref191461770 \n \h </w:instrText>
      </w:r>
      <w:r w:rsidR="001A1977">
        <w:fldChar w:fldCharType="separate"/>
      </w:r>
      <w:r w:rsidR="00627572">
        <w:t>Appendix A</w:t>
      </w:r>
      <w:r w:rsidR="001A1977">
        <w:fldChar w:fldCharType="end"/>
      </w:r>
      <w:r w:rsidR="001A1977">
        <w:t xml:space="preserve"> </w:t>
      </w:r>
      <w:r w:rsidRPr="00500DF0">
        <w:t>for information about the interpretation of odds ratios.</w:t>
      </w:r>
    </w:p>
  </w:footnote>
  <w:footnote w:id="11">
    <w:p w14:paraId="5267481C" w14:textId="5229B8D7" w:rsidR="001A1977" w:rsidRPr="001A1977" w:rsidRDefault="001A1977" w:rsidP="008E418F">
      <w:pPr>
        <w:pStyle w:val="FootnoteText"/>
      </w:pPr>
      <w:r>
        <w:rPr>
          <w:rStyle w:val="FootnoteReference"/>
        </w:rPr>
        <w:footnoteRef/>
      </w:r>
      <w:r>
        <w:t xml:space="preserve"> </w:t>
      </w:r>
      <w:r w:rsidRPr="00500DF0">
        <w:t xml:space="preserve">See </w:t>
      </w:r>
      <w:r>
        <w:fldChar w:fldCharType="begin"/>
      </w:r>
      <w:r>
        <w:instrText xml:space="preserve"> REF _Ref191461770 \n \h </w:instrText>
      </w:r>
      <w:r>
        <w:fldChar w:fldCharType="separate"/>
      </w:r>
      <w:r w:rsidR="00627572">
        <w:t>Appendix A</w:t>
      </w:r>
      <w:r>
        <w:fldChar w:fldCharType="end"/>
      </w:r>
      <w:r>
        <w:t xml:space="preserve"> </w:t>
      </w:r>
      <w:r w:rsidRPr="00500DF0">
        <w:t xml:space="preserve">for information about the interpretation of </w:t>
      </w:r>
      <w:r>
        <w:t>relative risk ratios</w:t>
      </w:r>
      <w:r w:rsidRPr="00500DF0">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60D"/>
    <w:multiLevelType w:val="hybridMultilevel"/>
    <w:tmpl w:val="0D385820"/>
    <w:lvl w:ilvl="0" w:tplc="1F9CF7A4">
      <w:start w:val="1"/>
      <w:numFmt w:val="decimal"/>
      <w:lvlText w:val="%1)"/>
      <w:lvlJc w:val="left"/>
      <w:pPr>
        <w:ind w:left="720" w:hanging="360"/>
      </w:pPr>
      <w:rPr>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727E0F"/>
    <w:multiLevelType w:val="multilevel"/>
    <w:tmpl w:val="28BE8FA8"/>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Restart w:val="0"/>
      <w:lvlText w:val="Appendix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65C188C"/>
    <w:multiLevelType w:val="multilevel"/>
    <w:tmpl w:val="DC4A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26944"/>
    <w:multiLevelType w:val="multilevel"/>
    <w:tmpl w:val="F7A66308"/>
    <w:styleLink w:val="CurrentLi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Letter"/>
      <w:lvlRestart w:val="0"/>
      <w:lvlText w:val="Appendix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8C90233"/>
    <w:multiLevelType w:val="multilevel"/>
    <w:tmpl w:val="24DEDB4C"/>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upperRoman"/>
      <w:lvlText w:val="Appendix %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B080797"/>
    <w:multiLevelType w:val="multilevel"/>
    <w:tmpl w:val="A678F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23BDA"/>
    <w:multiLevelType w:val="multilevel"/>
    <w:tmpl w:val="A808C8C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9094AED"/>
    <w:multiLevelType w:val="hybridMultilevel"/>
    <w:tmpl w:val="3424CC30"/>
    <w:lvl w:ilvl="0" w:tplc="C8FE348A">
      <w:start w:val="1"/>
      <w:numFmt w:val="decimal"/>
      <w:lvlText w:val="%1)"/>
      <w:lvlJc w:val="left"/>
      <w:pPr>
        <w:ind w:left="1020" w:hanging="360"/>
      </w:pPr>
    </w:lvl>
    <w:lvl w:ilvl="1" w:tplc="F34658F2">
      <w:start w:val="1"/>
      <w:numFmt w:val="decimal"/>
      <w:lvlText w:val="%2)"/>
      <w:lvlJc w:val="left"/>
      <w:pPr>
        <w:ind w:left="1020" w:hanging="360"/>
      </w:pPr>
    </w:lvl>
    <w:lvl w:ilvl="2" w:tplc="8D4E6052">
      <w:start w:val="1"/>
      <w:numFmt w:val="decimal"/>
      <w:lvlText w:val="%3)"/>
      <w:lvlJc w:val="left"/>
      <w:pPr>
        <w:ind w:left="1020" w:hanging="360"/>
      </w:pPr>
    </w:lvl>
    <w:lvl w:ilvl="3" w:tplc="BFE69212">
      <w:start w:val="1"/>
      <w:numFmt w:val="decimal"/>
      <w:lvlText w:val="%4)"/>
      <w:lvlJc w:val="left"/>
      <w:pPr>
        <w:ind w:left="1020" w:hanging="360"/>
      </w:pPr>
    </w:lvl>
    <w:lvl w:ilvl="4" w:tplc="27F8BF08">
      <w:start w:val="1"/>
      <w:numFmt w:val="decimal"/>
      <w:lvlText w:val="%5)"/>
      <w:lvlJc w:val="left"/>
      <w:pPr>
        <w:ind w:left="1020" w:hanging="360"/>
      </w:pPr>
    </w:lvl>
    <w:lvl w:ilvl="5" w:tplc="2FF2B432">
      <w:start w:val="1"/>
      <w:numFmt w:val="decimal"/>
      <w:lvlText w:val="%6)"/>
      <w:lvlJc w:val="left"/>
      <w:pPr>
        <w:ind w:left="1020" w:hanging="360"/>
      </w:pPr>
    </w:lvl>
    <w:lvl w:ilvl="6" w:tplc="68C49B78">
      <w:start w:val="1"/>
      <w:numFmt w:val="decimal"/>
      <w:lvlText w:val="%7)"/>
      <w:lvlJc w:val="left"/>
      <w:pPr>
        <w:ind w:left="1020" w:hanging="360"/>
      </w:pPr>
    </w:lvl>
    <w:lvl w:ilvl="7" w:tplc="F842BC6C">
      <w:start w:val="1"/>
      <w:numFmt w:val="decimal"/>
      <w:lvlText w:val="%8)"/>
      <w:lvlJc w:val="left"/>
      <w:pPr>
        <w:ind w:left="1020" w:hanging="360"/>
      </w:pPr>
    </w:lvl>
    <w:lvl w:ilvl="8" w:tplc="2D7E8592">
      <w:start w:val="1"/>
      <w:numFmt w:val="decimal"/>
      <w:lvlText w:val="%9)"/>
      <w:lvlJc w:val="left"/>
      <w:pPr>
        <w:ind w:left="1020" w:hanging="360"/>
      </w:pPr>
    </w:lvl>
  </w:abstractNum>
  <w:abstractNum w:abstractNumId="8" w15:restartNumberingAfterBreak="0">
    <w:nsid w:val="391D443A"/>
    <w:multiLevelType w:val="multilevel"/>
    <w:tmpl w:val="DC1A542A"/>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15E6FCE"/>
    <w:multiLevelType w:val="hybridMultilevel"/>
    <w:tmpl w:val="C524A684"/>
    <w:lvl w:ilvl="0" w:tplc="749E55B0">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98379EE"/>
    <w:multiLevelType w:val="hybridMultilevel"/>
    <w:tmpl w:val="7FE4ACE8"/>
    <w:lvl w:ilvl="0" w:tplc="EE24629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E916B7"/>
    <w:multiLevelType w:val="multilevel"/>
    <w:tmpl w:val="4442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A64ABA"/>
    <w:multiLevelType w:val="hybridMultilevel"/>
    <w:tmpl w:val="40A8B978"/>
    <w:lvl w:ilvl="0" w:tplc="1120370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D6D6130"/>
    <w:multiLevelType w:val="hybridMultilevel"/>
    <w:tmpl w:val="768A29B0"/>
    <w:lvl w:ilvl="0" w:tplc="9412E004">
      <w:start w:val="1"/>
      <w:numFmt w:val="decimal"/>
      <w:lvlText w:val="%1."/>
      <w:lvlJc w:val="left"/>
      <w:pPr>
        <w:tabs>
          <w:tab w:val="num" w:pos="720"/>
        </w:tabs>
        <w:ind w:left="720" w:hanging="360"/>
      </w:pPr>
    </w:lvl>
    <w:lvl w:ilvl="1" w:tplc="8EEA4290" w:tentative="1">
      <w:start w:val="1"/>
      <w:numFmt w:val="decimal"/>
      <w:lvlText w:val="%2."/>
      <w:lvlJc w:val="left"/>
      <w:pPr>
        <w:tabs>
          <w:tab w:val="num" w:pos="1440"/>
        </w:tabs>
        <w:ind w:left="1440" w:hanging="360"/>
      </w:pPr>
    </w:lvl>
    <w:lvl w:ilvl="2" w:tplc="E772C090" w:tentative="1">
      <w:start w:val="1"/>
      <w:numFmt w:val="decimal"/>
      <w:lvlText w:val="%3."/>
      <w:lvlJc w:val="left"/>
      <w:pPr>
        <w:tabs>
          <w:tab w:val="num" w:pos="2160"/>
        </w:tabs>
        <w:ind w:left="2160" w:hanging="360"/>
      </w:pPr>
    </w:lvl>
    <w:lvl w:ilvl="3" w:tplc="FEF8FEB6" w:tentative="1">
      <w:start w:val="1"/>
      <w:numFmt w:val="decimal"/>
      <w:lvlText w:val="%4."/>
      <w:lvlJc w:val="left"/>
      <w:pPr>
        <w:tabs>
          <w:tab w:val="num" w:pos="2880"/>
        </w:tabs>
        <w:ind w:left="2880" w:hanging="360"/>
      </w:pPr>
    </w:lvl>
    <w:lvl w:ilvl="4" w:tplc="35186640" w:tentative="1">
      <w:start w:val="1"/>
      <w:numFmt w:val="decimal"/>
      <w:lvlText w:val="%5."/>
      <w:lvlJc w:val="left"/>
      <w:pPr>
        <w:tabs>
          <w:tab w:val="num" w:pos="3600"/>
        </w:tabs>
        <w:ind w:left="3600" w:hanging="360"/>
      </w:pPr>
    </w:lvl>
    <w:lvl w:ilvl="5" w:tplc="4580B21C" w:tentative="1">
      <w:start w:val="1"/>
      <w:numFmt w:val="decimal"/>
      <w:lvlText w:val="%6."/>
      <w:lvlJc w:val="left"/>
      <w:pPr>
        <w:tabs>
          <w:tab w:val="num" w:pos="4320"/>
        </w:tabs>
        <w:ind w:left="4320" w:hanging="360"/>
      </w:pPr>
    </w:lvl>
    <w:lvl w:ilvl="6" w:tplc="6128BEB2" w:tentative="1">
      <w:start w:val="1"/>
      <w:numFmt w:val="decimal"/>
      <w:lvlText w:val="%7."/>
      <w:lvlJc w:val="left"/>
      <w:pPr>
        <w:tabs>
          <w:tab w:val="num" w:pos="5040"/>
        </w:tabs>
        <w:ind w:left="5040" w:hanging="360"/>
      </w:pPr>
    </w:lvl>
    <w:lvl w:ilvl="7" w:tplc="3F6A5758" w:tentative="1">
      <w:start w:val="1"/>
      <w:numFmt w:val="decimal"/>
      <w:lvlText w:val="%8."/>
      <w:lvlJc w:val="left"/>
      <w:pPr>
        <w:tabs>
          <w:tab w:val="num" w:pos="5760"/>
        </w:tabs>
        <w:ind w:left="5760" w:hanging="360"/>
      </w:pPr>
    </w:lvl>
    <w:lvl w:ilvl="8" w:tplc="46E4145E" w:tentative="1">
      <w:start w:val="1"/>
      <w:numFmt w:val="decimal"/>
      <w:lvlText w:val="%9."/>
      <w:lvlJc w:val="left"/>
      <w:pPr>
        <w:tabs>
          <w:tab w:val="num" w:pos="6480"/>
        </w:tabs>
        <w:ind w:left="6480" w:hanging="360"/>
      </w:pPr>
    </w:lvl>
  </w:abstractNum>
  <w:abstractNum w:abstractNumId="14" w15:restartNumberingAfterBreak="0">
    <w:nsid w:val="5FDC4A3A"/>
    <w:multiLevelType w:val="multilevel"/>
    <w:tmpl w:val="1E3C2522"/>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sz w:val="40"/>
      </w:rPr>
    </w:lvl>
    <w:lvl w:ilvl="2">
      <w:start w:val="1"/>
      <w:numFmt w:val="decimal"/>
      <w:pStyle w:val="Heading3"/>
      <w:lvlText w:val="%1.%2.%3"/>
      <w:lvlJc w:val="left"/>
      <w:pPr>
        <w:ind w:left="720" w:hanging="720"/>
      </w:pPr>
      <w:rPr>
        <w:rFonts w:hint="default"/>
        <w:sz w:val="28"/>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upperLetter"/>
      <w:lvlRestart w:val="0"/>
      <w:pStyle w:val="Heading7"/>
      <w:lvlText w:val="Appendix %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673A71D5"/>
    <w:multiLevelType w:val="hybridMultilevel"/>
    <w:tmpl w:val="7F7AF0C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9BC0FBA"/>
    <w:multiLevelType w:val="hybridMultilevel"/>
    <w:tmpl w:val="241EF9A0"/>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7" w15:restartNumberingAfterBreak="0">
    <w:nsid w:val="6C321780"/>
    <w:multiLevelType w:val="multilevel"/>
    <w:tmpl w:val="7848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D22DFF"/>
    <w:multiLevelType w:val="hybridMultilevel"/>
    <w:tmpl w:val="ABD48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D9045F9"/>
    <w:multiLevelType w:val="hybridMultilevel"/>
    <w:tmpl w:val="C930DF28"/>
    <w:lvl w:ilvl="0" w:tplc="804678AE">
      <w:start w:val="1"/>
      <w:numFmt w:val="bullet"/>
      <w:pStyle w:val="ListParagraph"/>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158837203">
    <w:abstractNumId w:val="19"/>
  </w:num>
  <w:num w:numId="2" w16cid:durableId="244849461">
    <w:abstractNumId w:val="10"/>
  </w:num>
  <w:num w:numId="3" w16cid:durableId="1953124125">
    <w:abstractNumId w:val="18"/>
  </w:num>
  <w:num w:numId="4" w16cid:durableId="1188249575">
    <w:abstractNumId w:val="6"/>
  </w:num>
  <w:num w:numId="5" w16cid:durableId="681591910">
    <w:abstractNumId w:val="8"/>
  </w:num>
  <w:num w:numId="6" w16cid:durableId="301279427">
    <w:abstractNumId w:val="6"/>
  </w:num>
  <w:num w:numId="7" w16cid:durableId="24989460">
    <w:abstractNumId w:val="16"/>
  </w:num>
  <w:num w:numId="8" w16cid:durableId="1825006966">
    <w:abstractNumId w:val="13"/>
  </w:num>
  <w:num w:numId="9" w16cid:durableId="1365787097">
    <w:abstractNumId w:val="14"/>
  </w:num>
  <w:num w:numId="10" w16cid:durableId="406847807">
    <w:abstractNumId w:val="4"/>
  </w:num>
  <w:num w:numId="11" w16cid:durableId="428278075">
    <w:abstractNumId w:val="14"/>
  </w:num>
  <w:num w:numId="12" w16cid:durableId="1375152825">
    <w:abstractNumId w:val="2"/>
  </w:num>
  <w:num w:numId="13" w16cid:durableId="983968328">
    <w:abstractNumId w:val="5"/>
  </w:num>
  <w:num w:numId="14" w16cid:durableId="840125253">
    <w:abstractNumId w:val="11"/>
  </w:num>
  <w:num w:numId="15" w16cid:durableId="467430785">
    <w:abstractNumId w:val="17"/>
  </w:num>
  <w:num w:numId="16" w16cid:durableId="1329867645">
    <w:abstractNumId w:val="1"/>
  </w:num>
  <w:num w:numId="17" w16cid:durableId="848176881">
    <w:abstractNumId w:val="3"/>
  </w:num>
  <w:num w:numId="18" w16cid:durableId="1600529794">
    <w:abstractNumId w:val="7"/>
  </w:num>
  <w:num w:numId="19" w16cid:durableId="446236804">
    <w:abstractNumId w:val="15"/>
  </w:num>
  <w:num w:numId="20" w16cid:durableId="1069033304">
    <w:abstractNumId w:val="12"/>
  </w:num>
  <w:num w:numId="21" w16cid:durableId="1636256365">
    <w:abstractNumId w:val="0"/>
  </w:num>
  <w:num w:numId="22" w16cid:durableId="1478034373">
    <w:abstractNumId w:val="9"/>
  </w:num>
  <w:num w:numId="23" w16cid:durableId="42391441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1D"/>
    <w:rsid w:val="000002BA"/>
    <w:rsid w:val="00000C48"/>
    <w:rsid w:val="00001AE0"/>
    <w:rsid w:val="00001E10"/>
    <w:rsid w:val="00002777"/>
    <w:rsid w:val="00003BB3"/>
    <w:rsid w:val="000049B7"/>
    <w:rsid w:val="00005220"/>
    <w:rsid w:val="0000658A"/>
    <w:rsid w:val="0000670C"/>
    <w:rsid w:val="000072FD"/>
    <w:rsid w:val="00015E8C"/>
    <w:rsid w:val="000161DB"/>
    <w:rsid w:val="00016EA8"/>
    <w:rsid w:val="00017630"/>
    <w:rsid w:val="00020A2C"/>
    <w:rsid w:val="00021572"/>
    <w:rsid w:val="00021632"/>
    <w:rsid w:val="00023522"/>
    <w:rsid w:val="00023B08"/>
    <w:rsid w:val="00023C0B"/>
    <w:rsid w:val="000247E3"/>
    <w:rsid w:val="00024EF8"/>
    <w:rsid w:val="00025B1B"/>
    <w:rsid w:val="00026E49"/>
    <w:rsid w:val="00032C06"/>
    <w:rsid w:val="000330F1"/>
    <w:rsid w:val="0003578C"/>
    <w:rsid w:val="00035E13"/>
    <w:rsid w:val="00036C4B"/>
    <w:rsid w:val="00037321"/>
    <w:rsid w:val="000379EF"/>
    <w:rsid w:val="000422E5"/>
    <w:rsid w:val="000426FB"/>
    <w:rsid w:val="000444BB"/>
    <w:rsid w:val="00044DB2"/>
    <w:rsid w:val="00044F83"/>
    <w:rsid w:val="00045CE3"/>
    <w:rsid w:val="00050173"/>
    <w:rsid w:val="00050E93"/>
    <w:rsid w:val="000521A7"/>
    <w:rsid w:val="00053091"/>
    <w:rsid w:val="00053686"/>
    <w:rsid w:val="00054807"/>
    <w:rsid w:val="000560EA"/>
    <w:rsid w:val="000560ED"/>
    <w:rsid w:val="00056BE8"/>
    <w:rsid w:val="00056ECD"/>
    <w:rsid w:val="0006482D"/>
    <w:rsid w:val="0006484E"/>
    <w:rsid w:val="00064AC6"/>
    <w:rsid w:val="00065312"/>
    <w:rsid w:val="00066074"/>
    <w:rsid w:val="000679AB"/>
    <w:rsid w:val="00070B65"/>
    <w:rsid w:val="000710D1"/>
    <w:rsid w:val="00071487"/>
    <w:rsid w:val="00072016"/>
    <w:rsid w:val="000721C0"/>
    <w:rsid w:val="00073484"/>
    <w:rsid w:val="00073521"/>
    <w:rsid w:val="000737F6"/>
    <w:rsid w:val="00076975"/>
    <w:rsid w:val="00077B45"/>
    <w:rsid w:val="000836BA"/>
    <w:rsid w:val="00084F87"/>
    <w:rsid w:val="000850D8"/>
    <w:rsid w:val="000854F5"/>
    <w:rsid w:val="000871DF"/>
    <w:rsid w:val="00090F4E"/>
    <w:rsid w:val="0009126A"/>
    <w:rsid w:val="0009328B"/>
    <w:rsid w:val="0009357E"/>
    <w:rsid w:val="000A0997"/>
    <w:rsid w:val="000A0D9F"/>
    <w:rsid w:val="000A4F02"/>
    <w:rsid w:val="000A655A"/>
    <w:rsid w:val="000A6CC0"/>
    <w:rsid w:val="000A752B"/>
    <w:rsid w:val="000B0149"/>
    <w:rsid w:val="000B11F7"/>
    <w:rsid w:val="000B35BF"/>
    <w:rsid w:val="000B5382"/>
    <w:rsid w:val="000B53A1"/>
    <w:rsid w:val="000B58A9"/>
    <w:rsid w:val="000B6FF7"/>
    <w:rsid w:val="000B76B9"/>
    <w:rsid w:val="000B7D01"/>
    <w:rsid w:val="000C08EA"/>
    <w:rsid w:val="000C0C9D"/>
    <w:rsid w:val="000C0F66"/>
    <w:rsid w:val="000C384D"/>
    <w:rsid w:val="000C3E53"/>
    <w:rsid w:val="000C3E8A"/>
    <w:rsid w:val="000C4DC5"/>
    <w:rsid w:val="000C5835"/>
    <w:rsid w:val="000C600B"/>
    <w:rsid w:val="000C6B58"/>
    <w:rsid w:val="000C6C9E"/>
    <w:rsid w:val="000C6F20"/>
    <w:rsid w:val="000D0337"/>
    <w:rsid w:val="000D0511"/>
    <w:rsid w:val="000D0880"/>
    <w:rsid w:val="000D099E"/>
    <w:rsid w:val="000D2967"/>
    <w:rsid w:val="000D301C"/>
    <w:rsid w:val="000D407A"/>
    <w:rsid w:val="000E1E4D"/>
    <w:rsid w:val="000E33A5"/>
    <w:rsid w:val="000E7944"/>
    <w:rsid w:val="000E7F34"/>
    <w:rsid w:val="000F023F"/>
    <w:rsid w:val="000F2504"/>
    <w:rsid w:val="000F2851"/>
    <w:rsid w:val="000F364C"/>
    <w:rsid w:val="000F3D4D"/>
    <w:rsid w:val="000F41E3"/>
    <w:rsid w:val="000F4588"/>
    <w:rsid w:val="000F48A4"/>
    <w:rsid w:val="000F4CEF"/>
    <w:rsid w:val="000F61E3"/>
    <w:rsid w:val="000F643B"/>
    <w:rsid w:val="000F7028"/>
    <w:rsid w:val="000F7B06"/>
    <w:rsid w:val="00100AB6"/>
    <w:rsid w:val="001013C3"/>
    <w:rsid w:val="00101A39"/>
    <w:rsid w:val="0010322D"/>
    <w:rsid w:val="00103307"/>
    <w:rsid w:val="0010395F"/>
    <w:rsid w:val="001048B9"/>
    <w:rsid w:val="001064E3"/>
    <w:rsid w:val="0010692C"/>
    <w:rsid w:val="00111A0A"/>
    <w:rsid w:val="00112C2E"/>
    <w:rsid w:val="00112D34"/>
    <w:rsid w:val="00115C13"/>
    <w:rsid w:val="00116101"/>
    <w:rsid w:val="00117A91"/>
    <w:rsid w:val="00117AFB"/>
    <w:rsid w:val="00117B0C"/>
    <w:rsid w:val="001205A8"/>
    <w:rsid w:val="001209BD"/>
    <w:rsid w:val="00120B09"/>
    <w:rsid w:val="00121239"/>
    <w:rsid w:val="00127238"/>
    <w:rsid w:val="0013034D"/>
    <w:rsid w:val="00130A54"/>
    <w:rsid w:val="00130C56"/>
    <w:rsid w:val="00131A2A"/>
    <w:rsid w:val="001333B4"/>
    <w:rsid w:val="00135270"/>
    <w:rsid w:val="001400AA"/>
    <w:rsid w:val="00141FD8"/>
    <w:rsid w:val="00142717"/>
    <w:rsid w:val="00142DE4"/>
    <w:rsid w:val="00142FDC"/>
    <w:rsid w:val="00144321"/>
    <w:rsid w:val="001444FB"/>
    <w:rsid w:val="00144E51"/>
    <w:rsid w:val="0014582B"/>
    <w:rsid w:val="00146AC0"/>
    <w:rsid w:val="00147316"/>
    <w:rsid w:val="0014781D"/>
    <w:rsid w:val="001528EA"/>
    <w:rsid w:val="00152F2E"/>
    <w:rsid w:val="00154906"/>
    <w:rsid w:val="001551F2"/>
    <w:rsid w:val="00155F09"/>
    <w:rsid w:val="00160A07"/>
    <w:rsid w:val="0016327C"/>
    <w:rsid w:val="00163960"/>
    <w:rsid w:val="001640F1"/>
    <w:rsid w:val="0016477B"/>
    <w:rsid w:val="00167A5B"/>
    <w:rsid w:val="0017002D"/>
    <w:rsid w:val="001719CD"/>
    <w:rsid w:val="00173386"/>
    <w:rsid w:val="00173B2D"/>
    <w:rsid w:val="00174039"/>
    <w:rsid w:val="00174CFA"/>
    <w:rsid w:val="001767FF"/>
    <w:rsid w:val="00177F75"/>
    <w:rsid w:val="00180017"/>
    <w:rsid w:val="00180B70"/>
    <w:rsid w:val="001816C5"/>
    <w:rsid w:val="001834D3"/>
    <w:rsid w:val="00183A8D"/>
    <w:rsid w:val="0018466F"/>
    <w:rsid w:val="00184CDB"/>
    <w:rsid w:val="00185355"/>
    <w:rsid w:val="00185B34"/>
    <w:rsid w:val="00186294"/>
    <w:rsid w:val="001866F3"/>
    <w:rsid w:val="00186B6D"/>
    <w:rsid w:val="00191194"/>
    <w:rsid w:val="00192312"/>
    <w:rsid w:val="00192A86"/>
    <w:rsid w:val="00192D66"/>
    <w:rsid w:val="00193F2A"/>
    <w:rsid w:val="0019443D"/>
    <w:rsid w:val="00194934"/>
    <w:rsid w:val="001A0730"/>
    <w:rsid w:val="001A1977"/>
    <w:rsid w:val="001A6F82"/>
    <w:rsid w:val="001A7F02"/>
    <w:rsid w:val="001B126D"/>
    <w:rsid w:val="001B13FA"/>
    <w:rsid w:val="001B2A2B"/>
    <w:rsid w:val="001B3359"/>
    <w:rsid w:val="001B3C28"/>
    <w:rsid w:val="001B3F10"/>
    <w:rsid w:val="001B40C8"/>
    <w:rsid w:val="001B5665"/>
    <w:rsid w:val="001B680A"/>
    <w:rsid w:val="001B6CA2"/>
    <w:rsid w:val="001B7A1C"/>
    <w:rsid w:val="001C09D3"/>
    <w:rsid w:val="001C26F9"/>
    <w:rsid w:val="001C2C86"/>
    <w:rsid w:val="001C33D7"/>
    <w:rsid w:val="001C380E"/>
    <w:rsid w:val="001C391D"/>
    <w:rsid w:val="001C3E85"/>
    <w:rsid w:val="001C59C1"/>
    <w:rsid w:val="001C6088"/>
    <w:rsid w:val="001D2C12"/>
    <w:rsid w:val="001D551A"/>
    <w:rsid w:val="001D6A4B"/>
    <w:rsid w:val="001D6C96"/>
    <w:rsid w:val="001D72AD"/>
    <w:rsid w:val="001D7A22"/>
    <w:rsid w:val="001E0586"/>
    <w:rsid w:val="001E0A0D"/>
    <w:rsid w:val="001E3495"/>
    <w:rsid w:val="001E5437"/>
    <w:rsid w:val="001E550C"/>
    <w:rsid w:val="001E5B6F"/>
    <w:rsid w:val="001E5F64"/>
    <w:rsid w:val="001E6B32"/>
    <w:rsid w:val="001F20AA"/>
    <w:rsid w:val="001F370D"/>
    <w:rsid w:val="001F45BE"/>
    <w:rsid w:val="001F4C6D"/>
    <w:rsid w:val="001F75A5"/>
    <w:rsid w:val="00200F94"/>
    <w:rsid w:val="002016D3"/>
    <w:rsid w:val="00202560"/>
    <w:rsid w:val="002025F5"/>
    <w:rsid w:val="00202649"/>
    <w:rsid w:val="0020369E"/>
    <w:rsid w:val="00203AAF"/>
    <w:rsid w:val="002040F0"/>
    <w:rsid w:val="002045AE"/>
    <w:rsid w:val="00207BF8"/>
    <w:rsid w:val="00210A5C"/>
    <w:rsid w:val="00210D0F"/>
    <w:rsid w:val="00210FFC"/>
    <w:rsid w:val="0021139B"/>
    <w:rsid w:val="00213C61"/>
    <w:rsid w:val="00213E65"/>
    <w:rsid w:val="00215260"/>
    <w:rsid w:val="0021614D"/>
    <w:rsid w:val="00220383"/>
    <w:rsid w:val="0022046D"/>
    <w:rsid w:val="00222C26"/>
    <w:rsid w:val="002235F0"/>
    <w:rsid w:val="0022386D"/>
    <w:rsid w:val="00223931"/>
    <w:rsid w:val="00224B8A"/>
    <w:rsid w:val="00225D80"/>
    <w:rsid w:val="002315FF"/>
    <w:rsid w:val="00234075"/>
    <w:rsid w:val="00234321"/>
    <w:rsid w:val="00235C5F"/>
    <w:rsid w:val="00236A99"/>
    <w:rsid w:val="00236BB0"/>
    <w:rsid w:val="002418F6"/>
    <w:rsid w:val="00242B24"/>
    <w:rsid w:val="0024343F"/>
    <w:rsid w:val="0024507C"/>
    <w:rsid w:val="00245A98"/>
    <w:rsid w:val="00245BC6"/>
    <w:rsid w:val="00246192"/>
    <w:rsid w:val="00247648"/>
    <w:rsid w:val="002507B1"/>
    <w:rsid w:val="00250ACB"/>
    <w:rsid w:val="002546E0"/>
    <w:rsid w:val="00255A67"/>
    <w:rsid w:val="00255BC3"/>
    <w:rsid w:val="00256488"/>
    <w:rsid w:val="002572BB"/>
    <w:rsid w:val="00260793"/>
    <w:rsid w:val="00260E9C"/>
    <w:rsid w:val="00260F6E"/>
    <w:rsid w:val="00261CF8"/>
    <w:rsid w:val="00262DEB"/>
    <w:rsid w:val="00263601"/>
    <w:rsid w:val="0026580A"/>
    <w:rsid w:val="00267486"/>
    <w:rsid w:val="00267679"/>
    <w:rsid w:val="002710BF"/>
    <w:rsid w:val="00271CA3"/>
    <w:rsid w:val="00271D48"/>
    <w:rsid w:val="00273520"/>
    <w:rsid w:val="00274BF7"/>
    <w:rsid w:val="00274D71"/>
    <w:rsid w:val="00275483"/>
    <w:rsid w:val="00275629"/>
    <w:rsid w:val="002763AA"/>
    <w:rsid w:val="00283172"/>
    <w:rsid w:val="00283AB9"/>
    <w:rsid w:val="002845D7"/>
    <w:rsid w:val="00284A9B"/>
    <w:rsid w:val="00291BDD"/>
    <w:rsid w:val="00292FCB"/>
    <w:rsid w:val="00293258"/>
    <w:rsid w:val="002937E0"/>
    <w:rsid w:val="00296182"/>
    <w:rsid w:val="002A21CA"/>
    <w:rsid w:val="002A5049"/>
    <w:rsid w:val="002A5D2A"/>
    <w:rsid w:val="002A62FE"/>
    <w:rsid w:val="002A6335"/>
    <w:rsid w:val="002A7923"/>
    <w:rsid w:val="002A7D7F"/>
    <w:rsid w:val="002B0C27"/>
    <w:rsid w:val="002B2876"/>
    <w:rsid w:val="002B3BFB"/>
    <w:rsid w:val="002B5958"/>
    <w:rsid w:val="002B5F83"/>
    <w:rsid w:val="002B6686"/>
    <w:rsid w:val="002C0E7B"/>
    <w:rsid w:val="002C1496"/>
    <w:rsid w:val="002C185C"/>
    <w:rsid w:val="002C2C45"/>
    <w:rsid w:val="002C2ED0"/>
    <w:rsid w:val="002C45C3"/>
    <w:rsid w:val="002C48DF"/>
    <w:rsid w:val="002C62C1"/>
    <w:rsid w:val="002D287F"/>
    <w:rsid w:val="002D3B36"/>
    <w:rsid w:val="002D3D4C"/>
    <w:rsid w:val="002D6BAF"/>
    <w:rsid w:val="002D6FDE"/>
    <w:rsid w:val="002D769F"/>
    <w:rsid w:val="002E405A"/>
    <w:rsid w:val="002E706B"/>
    <w:rsid w:val="002E74FC"/>
    <w:rsid w:val="002F0CE6"/>
    <w:rsid w:val="002F1E87"/>
    <w:rsid w:val="002F3323"/>
    <w:rsid w:val="002F33B0"/>
    <w:rsid w:val="002F37B3"/>
    <w:rsid w:val="002F3A26"/>
    <w:rsid w:val="002F3BAC"/>
    <w:rsid w:val="002F50ED"/>
    <w:rsid w:val="002F6299"/>
    <w:rsid w:val="002F639B"/>
    <w:rsid w:val="002F6929"/>
    <w:rsid w:val="002F72DF"/>
    <w:rsid w:val="002F77A2"/>
    <w:rsid w:val="00300384"/>
    <w:rsid w:val="0030163F"/>
    <w:rsid w:val="00301675"/>
    <w:rsid w:val="00302831"/>
    <w:rsid w:val="00304946"/>
    <w:rsid w:val="00305AA3"/>
    <w:rsid w:val="003069F1"/>
    <w:rsid w:val="00306CF5"/>
    <w:rsid w:val="003101F5"/>
    <w:rsid w:val="0031255D"/>
    <w:rsid w:val="00312723"/>
    <w:rsid w:val="00312F5A"/>
    <w:rsid w:val="00315732"/>
    <w:rsid w:val="00316439"/>
    <w:rsid w:val="0031656F"/>
    <w:rsid w:val="0031735E"/>
    <w:rsid w:val="00317EF7"/>
    <w:rsid w:val="003200B8"/>
    <w:rsid w:val="00320652"/>
    <w:rsid w:val="00320AAE"/>
    <w:rsid w:val="00320C92"/>
    <w:rsid w:val="003210AD"/>
    <w:rsid w:val="00321524"/>
    <w:rsid w:val="0032156A"/>
    <w:rsid w:val="003220F3"/>
    <w:rsid w:val="00323303"/>
    <w:rsid w:val="0032358C"/>
    <w:rsid w:val="00323BB6"/>
    <w:rsid w:val="00324B9E"/>
    <w:rsid w:val="00324F3D"/>
    <w:rsid w:val="003253A5"/>
    <w:rsid w:val="0032567A"/>
    <w:rsid w:val="00326F73"/>
    <w:rsid w:val="003304DF"/>
    <w:rsid w:val="00333B53"/>
    <w:rsid w:val="0033426A"/>
    <w:rsid w:val="00334907"/>
    <w:rsid w:val="0033560D"/>
    <w:rsid w:val="0033679F"/>
    <w:rsid w:val="003370B2"/>
    <w:rsid w:val="00340261"/>
    <w:rsid w:val="003414DF"/>
    <w:rsid w:val="00342B5B"/>
    <w:rsid w:val="00342E51"/>
    <w:rsid w:val="00342FEC"/>
    <w:rsid w:val="003445E9"/>
    <w:rsid w:val="0034599E"/>
    <w:rsid w:val="00347BD0"/>
    <w:rsid w:val="00353122"/>
    <w:rsid w:val="00354017"/>
    <w:rsid w:val="00356AE2"/>
    <w:rsid w:val="003606D8"/>
    <w:rsid w:val="003607F3"/>
    <w:rsid w:val="00361C17"/>
    <w:rsid w:val="003631A7"/>
    <w:rsid w:val="00364828"/>
    <w:rsid w:val="003669FC"/>
    <w:rsid w:val="003702B8"/>
    <w:rsid w:val="003703B1"/>
    <w:rsid w:val="00372D8C"/>
    <w:rsid w:val="0037349C"/>
    <w:rsid w:val="0037433F"/>
    <w:rsid w:val="00375452"/>
    <w:rsid w:val="00375E9B"/>
    <w:rsid w:val="003764E8"/>
    <w:rsid w:val="00377953"/>
    <w:rsid w:val="00377DBD"/>
    <w:rsid w:val="00380E42"/>
    <w:rsid w:val="003811D8"/>
    <w:rsid w:val="00382D44"/>
    <w:rsid w:val="00383124"/>
    <w:rsid w:val="00384AA7"/>
    <w:rsid w:val="00384C3B"/>
    <w:rsid w:val="00384C73"/>
    <w:rsid w:val="0038618C"/>
    <w:rsid w:val="0038782F"/>
    <w:rsid w:val="00387C36"/>
    <w:rsid w:val="00390B2D"/>
    <w:rsid w:val="00390D16"/>
    <w:rsid w:val="0039228D"/>
    <w:rsid w:val="0039393D"/>
    <w:rsid w:val="00393FD5"/>
    <w:rsid w:val="00394976"/>
    <w:rsid w:val="0039576C"/>
    <w:rsid w:val="0039644F"/>
    <w:rsid w:val="0039696B"/>
    <w:rsid w:val="003A15F9"/>
    <w:rsid w:val="003A1743"/>
    <w:rsid w:val="003A27C0"/>
    <w:rsid w:val="003A4CD5"/>
    <w:rsid w:val="003A543A"/>
    <w:rsid w:val="003A551F"/>
    <w:rsid w:val="003A5AED"/>
    <w:rsid w:val="003A620C"/>
    <w:rsid w:val="003B1504"/>
    <w:rsid w:val="003B1756"/>
    <w:rsid w:val="003B2D88"/>
    <w:rsid w:val="003B3452"/>
    <w:rsid w:val="003B5BD2"/>
    <w:rsid w:val="003B5F4F"/>
    <w:rsid w:val="003B6883"/>
    <w:rsid w:val="003C14F5"/>
    <w:rsid w:val="003C1E84"/>
    <w:rsid w:val="003C4EFB"/>
    <w:rsid w:val="003C54C3"/>
    <w:rsid w:val="003C5A68"/>
    <w:rsid w:val="003C791E"/>
    <w:rsid w:val="003D17CB"/>
    <w:rsid w:val="003D1CDA"/>
    <w:rsid w:val="003D2760"/>
    <w:rsid w:val="003D2B6A"/>
    <w:rsid w:val="003D34F9"/>
    <w:rsid w:val="003D3D3A"/>
    <w:rsid w:val="003D7A12"/>
    <w:rsid w:val="003E3C41"/>
    <w:rsid w:val="003E6E6B"/>
    <w:rsid w:val="003E723B"/>
    <w:rsid w:val="003E7479"/>
    <w:rsid w:val="003F1CF5"/>
    <w:rsid w:val="003F239F"/>
    <w:rsid w:val="003F4480"/>
    <w:rsid w:val="003F6E05"/>
    <w:rsid w:val="003F70B9"/>
    <w:rsid w:val="003F7C2D"/>
    <w:rsid w:val="00400218"/>
    <w:rsid w:val="00401CEB"/>
    <w:rsid w:val="0040210A"/>
    <w:rsid w:val="004034FA"/>
    <w:rsid w:val="00403B5C"/>
    <w:rsid w:val="00404192"/>
    <w:rsid w:val="00404811"/>
    <w:rsid w:val="00404FCF"/>
    <w:rsid w:val="004102AF"/>
    <w:rsid w:val="0041268A"/>
    <w:rsid w:val="00413972"/>
    <w:rsid w:val="004150BE"/>
    <w:rsid w:val="00415780"/>
    <w:rsid w:val="00416A1B"/>
    <w:rsid w:val="00416A4E"/>
    <w:rsid w:val="00420F04"/>
    <w:rsid w:val="00421545"/>
    <w:rsid w:val="004223FF"/>
    <w:rsid w:val="00422B60"/>
    <w:rsid w:val="00423A2B"/>
    <w:rsid w:val="0042507B"/>
    <w:rsid w:val="004302DC"/>
    <w:rsid w:val="00431994"/>
    <w:rsid w:val="004331F0"/>
    <w:rsid w:val="00433A6D"/>
    <w:rsid w:val="00434585"/>
    <w:rsid w:val="004364D6"/>
    <w:rsid w:val="004402DB"/>
    <w:rsid w:val="00440435"/>
    <w:rsid w:val="004430FF"/>
    <w:rsid w:val="00443918"/>
    <w:rsid w:val="0044441E"/>
    <w:rsid w:val="00445AE3"/>
    <w:rsid w:val="00445DB0"/>
    <w:rsid w:val="00446688"/>
    <w:rsid w:val="004466AE"/>
    <w:rsid w:val="00447C61"/>
    <w:rsid w:val="00450457"/>
    <w:rsid w:val="00450ECD"/>
    <w:rsid w:val="00455608"/>
    <w:rsid w:val="004574E1"/>
    <w:rsid w:val="0045782D"/>
    <w:rsid w:val="00461499"/>
    <w:rsid w:val="0046449C"/>
    <w:rsid w:val="0046512C"/>
    <w:rsid w:val="00470077"/>
    <w:rsid w:val="00472009"/>
    <w:rsid w:val="00472152"/>
    <w:rsid w:val="00472954"/>
    <w:rsid w:val="00472B47"/>
    <w:rsid w:val="00480E3E"/>
    <w:rsid w:val="00481772"/>
    <w:rsid w:val="00481C7E"/>
    <w:rsid w:val="00483939"/>
    <w:rsid w:val="0048508B"/>
    <w:rsid w:val="00487575"/>
    <w:rsid w:val="00487914"/>
    <w:rsid w:val="00490126"/>
    <w:rsid w:val="004907D3"/>
    <w:rsid w:val="00490A80"/>
    <w:rsid w:val="004935F2"/>
    <w:rsid w:val="00493DF6"/>
    <w:rsid w:val="00493EF9"/>
    <w:rsid w:val="00494424"/>
    <w:rsid w:val="00494DC4"/>
    <w:rsid w:val="00496A43"/>
    <w:rsid w:val="0049776E"/>
    <w:rsid w:val="0049783F"/>
    <w:rsid w:val="004A1624"/>
    <w:rsid w:val="004A1D43"/>
    <w:rsid w:val="004A2243"/>
    <w:rsid w:val="004A3F37"/>
    <w:rsid w:val="004A44E2"/>
    <w:rsid w:val="004A5BB2"/>
    <w:rsid w:val="004A5D7F"/>
    <w:rsid w:val="004A718F"/>
    <w:rsid w:val="004A773A"/>
    <w:rsid w:val="004B02FD"/>
    <w:rsid w:val="004B1565"/>
    <w:rsid w:val="004B3B65"/>
    <w:rsid w:val="004B4405"/>
    <w:rsid w:val="004B4941"/>
    <w:rsid w:val="004B5FBE"/>
    <w:rsid w:val="004B6506"/>
    <w:rsid w:val="004B6AFE"/>
    <w:rsid w:val="004B736A"/>
    <w:rsid w:val="004C4294"/>
    <w:rsid w:val="004C45A4"/>
    <w:rsid w:val="004C4ABB"/>
    <w:rsid w:val="004C5845"/>
    <w:rsid w:val="004C5EC1"/>
    <w:rsid w:val="004C62DB"/>
    <w:rsid w:val="004C6E15"/>
    <w:rsid w:val="004C7D70"/>
    <w:rsid w:val="004C7FF2"/>
    <w:rsid w:val="004D0B66"/>
    <w:rsid w:val="004D1D42"/>
    <w:rsid w:val="004D2309"/>
    <w:rsid w:val="004D2797"/>
    <w:rsid w:val="004D2798"/>
    <w:rsid w:val="004D2A5F"/>
    <w:rsid w:val="004D36D4"/>
    <w:rsid w:val="004D4414"/>
    <w:rsid w:val="004D7DDD"/>
    <w:rsid w:val="004E006B"/>
    <w:rsid w:val="004E1AB2"/>
    <w:rsid w:val="004E2F9D"/>
    <w:rsid w:val="004E6176"/>
    <w:rsid w:val="004E6971"/>
    <w:rsid w:val="004E69BB"/>
    <w:rsid w:val="004F1705"/>
    <w:rsid w:val="004F20BF"/>
    <w:rsid w:val="004F28AA"/>
    <w:rsid w:val="004F3214"/>
    <w:rsid w:val="004F341F"/>
    <w:rsid w:val="004F396A"/>
    <w:rsid w:val="004F4748"/>
    <w:rsid w:val="004F4A4A"/>
    <w:rsid w:val="004F4ABA"/>
    <w:rsid w:val="004F523D"/>
    <w:rsid w:val="004F636E"/>
    <w:rsid w:val="004F64B4"/>
    <w:rsid w:val="004F65E9"/>
    <w:rsid w:val="004F69D9"/>
    <w:rsid w:val="00500DF0"/>
    <w:rsid w:val="0050131A"/>
    <w:rsid w:val="00501BF4"/>
    <w:rsid w:val="00503278"/>
    <w:rsid w:val="00503F7B"/>
    <w:rsid w:val="00504302"/>
    <w:rsid w:val="005107FC"/>
    <w:rsid w:val="00514532"/>
    <w:rsid w:val="00514BD5"/>
    <w:rsid w:val="00514D14"/>
    <w:rsid w:val="005150FB"/>
    <w:rsid w:val="005161E6"/>
    <w:rsid w:val="00516A73"/>
    <w:rsid w:val="00516E51"/>
    <w:rsid w:val="00517DD4"/>
    <w:rsid w:val="00520267"/>
    <w:rsid w:val="00520746"/>
    <w:rsid w:val="0052195E"/>
    <w:rsid w:val="00521FC7"/>
    <w:rsid w:val="00523119"/>
    <w:rsid w:val="00523F40"/>
    <w:rsid w:val="00524180"/>
    <w:rsid w:val="00526299"/>
    <w:rsid w:val="00526F05"/>
    <w:rsid w:val="005315AE"/>
    <w:rsid w:val="005340CC"/>
    <w:rsid w:val="005343F5"/>
    <w:rsid w:val="00534ACE"/>
    <w:rsid w:val="0053563E"/>
    <w:rsid w:val="00535AD0"/>
    <w:rsid w:val="00535DE7"/>
    <w:rsid w:val="005364C2"/>
    <w:rsid w:val="00536EFF"/>
    <w:rsid w:val="00537CBF"/>
    <w:rsid w:val="005404CE"/>
    <w:rsid w:val="005419C5"/>
    <w:rsid w:val="005425D1"/>
    <w:rsid w:val="00543103"/>
    <w:rsid w:val="005440F1"/>
    <w:rsid w:val="00545655"/>
    <w:rsid w:val="00545A97"/>
    <w:rsid w:val="00552F3E"/>
    <w:rsid w:val="00554146"/>
    <w:rsid w:val="005545C5"/>
    <w:rsid w:val="00556274"/>
    <w:rsid w:val="005567E5"/>
    <w:rsid w:val="00560F17"/>
    <w:rsid w:val="00561A33"/>
    <w:rsid w:val="00563BBB"/>
    <w:rsid w:val="005642A6"/>
    <w:rsid w:val="0056492A"/>
    <w:rsid w:val="00564CE6"/>
    <w:rsid w:val="00565A2D"/>
    <w:rsid w:val="00567C84"/>
    <w:rsid w:val="00572931"/>
    <w:rsid w:val="0057360D"/>
    <w:rsid w:val="00574DE9"/>
    <w:rsid w:val="0057525F"/>
    <w:rsid w:val="0057597D"/>
    <w:rsid w:val="005764A0"/>
    <w:rsid w:val="0057681A"/>
    <w:rsid w:val="00577ADE"/>
    <w:rsid w:val="00580346"/>
    <w:rsid w:val="00581324"/>
    <w:rsid w:val="00581ABF"/>
    <w:rsid w:val="00587505"/>
    <w:rsid w:val="00592BC2"/>
    <w:rsid w:val="0059374E"/>
    <w:rsid w:val="00593FBE"/>
    <w:rsid w:val="00594057"/>
    <w:rsid w:val="00594697"/>
    <w:rsid w:val="00594813"/>
    <w:rsid w:val="00595C16"/>
    <w:rsid w:val="0059617B"/>
    <w:rsid w:val="00596417"/>
    <w:rsid w:val="0059685A"/>
    <w:rsid w:val="005971D4"/>
    <w:rsid w:val="00597496"/>
    <w:rsid w:val="00597630"/>
    <w:rsid w:val="00597DD5"/>
    <w:rsid w:val="005A08A0"/>
    <w:rsid w:val="005A099B"/>
    <w:rsid w:val="005A1E2D"/>
    <w:rsid w:val="005A331A"/>
    <w:rsid w:val="005A398E"/>
    <w:rsid w:val="005A39A2"/>
    <w:rsid w:val="005A3D7D"/>
    <w:rsid w:val="005A3F55"/>
    <w:rsid w:val="005A43D2"/>
    <w:rsid w:val="005A6444"/>
    <w:rsid w:val="005A6697"/>
    <w:rsid w:val="005B0718"/>
    <w:rsid w:val="005B3359"/>
    <w:rsid w:val="005B3524"/>
    <w:rsid w:val="005B355D"/>
    <w:rsid w:val="005B5B51"/>
    <w:rsid w:val="005B5C5B"/>
    <w:rsid w:val="005B6371"/>
    <w:rsid w:val="005B79BC"/>
    <w:rsid w:val="005B7ABA"/>
    <w:rsid w:val="005C1769"/>
    <w:rsid w:val="005C270A"/>
    <w:rsid w:val="005C2CAF"/>
    <w:rsid w:val="005C353E"/>
    <w:rsid w:val="005C40E5"/>
    <w:rsid w:val="005C4AA6"/>
    <w:rsid w:val="005C5D92"/>
    <w:rsid w:val="005C7434"/>
    <w:rsid w:val="005C7F8D"/>
    <w:rsid w:val="005D0E20"/>
    <w:rsid w:val="005D1ADD"/>
    <w:rsid w:val="005D2E5F"/>
    <w:rsid w:val="005D34C7"/>
    <w:rsid w:val="005D41B1"/>
    <w:rsid w:val="005D6E35"/>
    <w:rsid w:val="005D7279"/>
    <w:rsid w:val="005E0BF9"/>
    <w:rsid w:val="005E1414"/>
    <w:rsid w:val="005E1EF2"/>
    <w:rsid w:val="005E2EDC"/>
    <w:rsid w:val="005E3368"/>
    <w:rsid w:val="005E60F5"/>
    <w:rsid w:val="005E6F72"/>
    <w:rsid w:val="005E75D3"/>
    <w:rsid w:val="005F0AA8"/>
    <w:rsid w:val="005F27BD"/>
    <w:rsid w:val="005F4C11"/>
    <w:rsid w:val="005F54A2"/>
    <w:rsid w:val="005F5A4F"/>
    <w:rsid w:val="005F7C28"/>
    <w:rsid w:val="0060466E"/>
    <w:rsid w:val="0060576B"/>
    <w:rsid w:val="006061FC"/>
    <w:rsid w:val="0061039A"/>
    <w:rsid w:val="00610452"/>
    <w:rsid w:val="006123FA"/>
    <w:rsid w:val="00612515"/>
    <w:rsid w:val="006128B6"/>
    <w:rsid w:val="00617191"/>
    <w:rsid w:val="0061788A"/>
    <w:rsid w:val="00617DE5"/>
    <w:rsid w:val="00620113"/>
    <w:rsid w:val="00621021"/>
    <w:rsid w:val="00621EAB"/>
    <w:rsid w:val="0062505B"/>
    <w:rsid w:val="00625CEF"/>
    <w:rsid w:val="00625DF0"/>
    <w:rsid w:val="00626493"/>
    <w:rsid w:val="00627572"/>
    <w:rsid w:val="00627FD4"/>
    <w:rsid w:val="006318AC"/>
    <w:rsid w:val="00634F39"/>
    <w:rsid w:val="00635A08"/>
    <w:rsid w:val="00635D58"/>
    <w:rsid w:val="006376AA"/>
    <w:rsid w:val="006406AB"/>
    <w:rsid w:val="006412C0"/>
    <w:rsid w:val="0064344E"/>
    <w:rsid w:val="00644781"/>
    <w:rsid w:val="006456D7"/>
    <w:rsid w:val="00647F7A"/>
    <w:rsid w:val="0065114A"/>
    <w:rsid w:val="006518F1"/>
    <w:rsid w:val="0065246F"/>
    <w:rsid w:val="006535C6"/>
    <w:rsid w:val="00653F45"/>
    <w:rsid w:val="0065491E"/>
    <w:rsid w:val="00655A5D"/>
    <w:rsid w:val="00657B6E"/>
    <w:rsid w:val="006610A1"/>
    <w:rsid w:val="00662090"/>
    <w:rsid w:val="00662106"/>
    <w:rsid w:val="00662E79"/>
    <w:rsid w:val="00665AFF"/>
    <w:rsid w:val="00665E05"/>
    <w:rsid w:val="00666AC4"/>
    <w:rsid w:val="006670A5"/>
    <w:rsid w:val="0066769D"/>
    <w:rsid w:val="00667B5A"/>
    <w:rsid w:val="006703DF"/>
    <w:rsid w:val="006709DE"/>
    <w:rsid w:val="00674B96"/>
    <w:rsid w:val="00675147"/>
    <w:rsid w:val="00676E6D"/>
    <w:rsid w:val="006772F6"/>
    <w:rsid w:val="006827AF"/>
    <w:rsid w:val="006835A5"/>
    <w:rsid w:val="006847E6"/>
    <w:rsid w:val="006851C8"/>
    <w:rsid w:val="006858F1"/>
    <w:rsid w:val="00685A2E"/>
    <w:rsid w:val="0068693B"/>
    <w:rsid w:val="00686CEC"/>
    <w:rsid w:val="006876FE"/>
    <w:rsid w:val="00690BD8"/>
    <w:rsid w:val="00693742"/>
    <w:rsid w:val="00693AD1"/>
    <w:rsid w:val="00694225"/>
    <w:rsid w:val="00694737"/>
    <w:rsid w:val="006948D4"/>
    <w:rsid w:val="00694C37"/>
    <w:rsid w:val="0069719F"/>
    <w:rsid w:val="006A20BA"/>
    <w:rsid w:val="006A3315"/>
    <w:rsid w:val="006B03E7"/>
    <w:rsid w:val="006B0D26"/>
    <w:rsid w:val="006B0E7F"/>
    <w:rsid w:val="006B1639"/>
    <w:rsid w:val="006B1879"/>
    <w:rsid w:val="006B1BCC"/>
    <w:rsid w:val="006B3281"/>
    <w:rsid w:val="006B47C6"/>
    <w:rsid w:val="006B5981"/>
    <w:rsid w:val="006B6D8C"/>
    <w:rsid w:val="006C0F9B"/>
    <w:rsid w:val="006C3704"/>
    <w:rsid w:val="006C372C"/>
    <w:rsid w:val="006C3EC8"/>
    <w:rsid w:val="006C4AF5"/>
    <w:rsid w:val="006C4CE3"/>
    <w:rsid w:val="006C56DF"/>
    <w:rsid w:val="006C577C"/>
    <w:rsid w:val="006D1325"/>
    <w:rsid w:val="006D3BF4"/>
    <w:rsid w:val="006D479E"/>
    <w:rsid w:val="006D4C9B"/>
    <w:rsid w:val="006D4CAA"/>
    <w:rsid w:val="006D4F66"/>
    <w:rsid w:val="006D4F8C"/>
    <w:rsid w:val="006D53CA"/>
    <w:rsid w:val="006D54D5"/>
    <w:rsid w:val="006D7007"/>
    <w:rsid w:val="006E069C"/>
    <w:rsid w:val="006E3181"/>
    <w:rsid w:val="006E4E58"/>
    <w:rsid w:val="006E7CDA"/>
    <w:rsid w:val="006F03F4"/>
    <w:rsid w:val="006F0BC5"/>
    <w:rsid w:val="006F1DA0"/>
    <w:rsid w:val="006F2C74"/>
    <w:rsid w:val="006F49FF"/>
    <w:rsid w:val="006F4A44"/>
    <w:rsid w:val="006F65E8"/>
    <w:rsid w:val="006F703F"/>
    <w:rsid w:val="006F707D"/>
    <w:rsid w:val="007003BD"/>
    <w:rsid w:val="00700B42"/>
    <w:rsid w:val="00701F5F"/>
    <w:rsid w:val="00704B5D"/>
    <w:rsid w:val="007054F5"/>
    <w:rsid w:val="00706387"/>
    <w:rsid w:val="0070644F"/>
    <w:rsid w:val="007076A1"/>
    <w:rsid w:val="00711632"/>
    <w:rsid w:val="0071320F"/>
    <w:rsid w:val="00713EAA"/>
    <w:rsid w:val="007141AF"/>
    <w:rsid w:val="00714465"/>
    <w:rsid w:val="00714EFE"/>
    <w:rsid w:val="00715051"/>
    <w:rsid w:val="007153B4"/>
    <w:rsid w:val="00715D6B"/>
    <w:rsid w:val="00715D6F"/>
    <w:rsid w:val="00716AE0"/>
    <w:rsid w:val="00716BBB"/>
    <w:rsid w:val="00716D78"/>
    <w:rsid w:val="007171FB"/>
    <w:rsid w:val="00720C9B"/>
    <w:rsid w:val="00722091"/>
    <w:rsid w:val="007246DF"/>
    <w:rsid w:val="00725D7C"/>
    <w:rsid w:val="00727FED"/>
    <w:rsid w:val="0073052C"/>
    <w:rsid w:val="007305A6"/>
    <w:rsid w:val="0073063D"/>
    <w:rsid w:val="00730FC9"/>
    <w:rsid w:val="00733241"/>
    <w:rsid w:val="0073342F"/>
    <w:rsid w:val="0073655A"/>
    <w:rsid w:val="00736D9D"/>
    <w:rsid w:val="00736DBF"/>
    <w:rsid w:val="007402AB"/>
    <w:rsid w:val="0074063A"/>
    <w:rsid w:val="00742462"/>
    <w:rsid w:val="00744CB1"/>
    <w:rsid w:val="00745C32"/>
    <w:rsid w:val="0074780D"/>
    <w:rsid w:val="00747CF0"/>
    <w:rsid w:val="00750C00"/>
    <w:rsid w:val="0075154C"/>
    <w:rsid w:val="00752055"/>
    <w:rsid w:val="007525F8"/>
    <w:rsid w:val="0075295F"/>
    <w:rsid w:val="00754023"/>
    <w:rsid w:val="00754A23"/>
    <w:rsid w:val="00754C7C"/>
    <w:rsid w:val="007558C3"/>
    <w:rsid w:val="0075644E"/>
    <w:rsid w:val="007600D1"/>
    <w:rsid w:val="00761559"/>
    <w:rsid w:val="00763791"/>
    <w:rsid w:val="00763ADB"/>
    <w:rsid w:val="00764A3D"/>
    <w:rsid w:val="00764C7F"/>
    <w:rsid w:val="00764F55"/>
    <w:rsid w:val="0076533B"/>
    <w:rsid w:val="00766303"/>
    <w:rsid w:val="00766B4B"/>
    <w:rsid w:val="007670CF"/>
    <w:rsid w:val="00770020"/>
    <w:rsid w:val="00770452"/>
    <w:rsid w:val="00770F9B"/>
    <w:rsid w:val="007713D1"/>
    <w:rsid w:val="007737AB"/>
    <w:rsid w:val="0077504D"/>
    <w:rsid w:val="00775583"/>
    <w:rsid w:val="0077B487"/>
    <w:rsid w:val="007811A9"/>
    <w:rsid w:val="00781485"/>
    <w:rsid w:val="00781DB4"/>
    <w:rsid w:val="00782F4D"/>
    <w:rsid w:val="007847D3"/>
    <w:rsid w:val="007873F7"/>
    <w:rsid w:val="00787BC9"/>
    <w:rsid w:val="0079031D"/>
    <w:rsid w:val="00790A85"/>
    <w:rsid w:val="00790AF1"/>
    <w:rsid w:val="00791A5F"/>
    <w:rsid w:val="00794AC0"/>
    <w:rsid w:val="007A01B8"/>
    <w:rsid w:val="007A0D73"/>
    <w:rsid w:val="007A19D9"/>
    <w:rsid w:val="007A2052"/>
    <w:rsid w:val="007A3428"/>
    <w:rsid w:val="007A3C65"/>
    <w:rsid w:val="007A52CB"/>
    <w:rsid w:val="007A70AC"/>
    <w:rsid w:val="007A7FDB"/>
    <w:rsid w:val="007B2672"/>
    <w:rsid w:val="007B30FF"/>
    <w:rsid w:val="007B3740"/>
    <w:rsid w:val="007B5CC0"/>
    <w:rsid w:val="007C20E9"/>
    <w:rsid w:val="007C210F"/>
    <w:rsid w:val="007C337B"/>
    <w:rsid w:val="007C439A"/>
    <w:rsid w:val="007C6A8F"/>
    <w:rsid w:val="007D2BC2"/>
    <w:rsid w:val="007D2C47"/>
    <w:rsid w:val="007D2E7A"/>
    <w:rsid w:val="007D4DB2"/>
    <w:rsid w:val="007D503A"/>
    <w:rsid w:val="007D5450"/>
    <w:rsid w:val="007D6D6B"/>
    <w:rsid w:val="007D7970"/>
    <w:rsid w:val="007E02B1"/>
    <w:rsid w:val="007E054F"/>
    <w:rsid w:val="007E28AF"/>
    <w:rsid w:val="007E2CFA"/>
    <w:rsid w:val="007E48BA"/>
    <w:rsid w:val="007E4A48"/>
    <w:rsid w:val="007E524B"/>
    <w:rsid w:val="007E52D7"/>
    <w:rsid w:val="007E59E3"/>
    <w:rsid w:val="007E79B4"/>
    <w:rsid w:val="007E7B1C"/>
    <w:rsid w:val="007F4F5D"/>
    <w:rsid w:val="007F5CA7"/>
    <w:rsid w:val="007F6DC1"/>
    <w:rsid w:val="007F71FA"/>
    <w:rsid w:val="007F7595"/>
    <w:rsid w:val="008032BC"/>
    <w:rsid w:val="00803E76"/>
    <w:rsid w:val="008047EE"/>
    <w:rsid w:val="00805C78"/>
    <w:rsid w:val="00807B56"/>
    <w:rsid w:val="00810E1F"/>
    <w:rsid w:val="008141ED"/>
    <w:rsid w:val="0081438F"/>
    <w:rsid w:val="00815456"/>
    <w:rsid w:val="008159C2"/>
    <w:rsid w:val="0081639B"/>
    <w:rsid w:val="00816AE6"/>
    <w:rsid w:val="0082003C"/>
    <w:rsid w:val="008226A3"/>
    <w:rsid w:val="00822971"/>
    <w:rsid w:val="00822D28"/>
    <w:rsid w:val="008250C1"/>
    <w:rsid w:val="008253BF"/>
    <w:rsid w:val="008272DD"/>
    <w:rsid w:val="00827B0A"/>
    <w:rsid w:val="00827C28"/>
    <w:rsid w:val="008309A8"/>
    <w:rsid w:val="0083162C"/>
    <w:rsid w:val="00831D18"/>
    <w:rsid w:val="008351F4"/>
    <w:rsid w:val="0083655C"/>
    <w:rsid w:val="00836A8A"/>
    <w:rsid w:val="00837DFC"/>
    <w:rsid w:val="00841A07"/>
    <w:rsid w:val="00841F0B"/>
    <w:rsid w:val="0084593B"/>
    <w:rsid w:val="00847545"/>
    <w:rsid w:val="00851248"/>
    <w:rsid w:val="00852651"/>
    <w:rsid w:val="00854D7F"/>
    <w:rsid w:val="00854F5A"/>
    <w:rsid w:val="0085550F"/>
    <w:rsid w:val="00855528"/>
    <w:rsid w:val="008572E2"/>
    <w:rsid w:val="00857B9F"/>
    <w:rsid w:val="0086160C"/>
    <w:rsid w:val="00863063"/>
    <w:rsid w:val="00863416"/>
    <w:rsid w:val="00863626"/>
    <w:rsid w:val="0086466B"/>
    <w:rsid w:val="00864AC3"/>
    <w:rsid w:val="00866D5E"/>
    <w:rsid w:val="00867F02"/>
    <w:rsid w:val="00870D6A"/>
    <w:rsid w:val="008716B4"/>
    <w:rsid w:val="00871A12"/>
    <w:rsid w:val="00871A8E"/>
    <w:rsid w:val="00872316"/>
    <w:rsid w:val="00872FEC"/>
    <w:rsid w:val="00873301"/>
    <w:rsid w:val="00874BF9"/>
    <w:rsid w:val="008757F6"/>
    <w:rsid w:val="00880C0E"/>
    <w:rsid w:val="0088156E"/>
    <w:rsid w:val="008817C5"/>
    <w:rsid w:val="00882121"/>
    <w:rsid w:val="008822CB"/>
    <w:rsid w:val="0088372B"/>
    <w:rsid w:val="00883844"/>
    <w:rsid w:val="008874F9"/>
    <w:rsid w:val="008901D4"/>
    <w:rsid w:val="008909F8"/>
    <w:rsid w:val="00891244"/>
    <w:rsid w:val="00892262"/>
    <w:rsid w:val="008927C9"/>
    <w:rsid w:val="00895540"/>
    <w:rsid w:val="0089697E"/>
    <w:rsid w:val="00897368"/>
    <w:rsid w:val="008A1089"/>
    <w:rsid w:val="008A32D9"/>
    <w:rsid w:val="008A431F"/>
    <w:rsid w:val="008A5740"/>
    <w:rsid w:val="008A5F5E"/>
    <w:rsid w:val="008B06BC"/>
    <w:rsid w:val="008B3308"/>
    <w:rsid w:val="008B34E2"/>
    <w:rsid w:val="008B3DE4"/>
    <w:rsid w:val="008B5458"/>
    <w:rsid w:val="008B59E5"/>
    <w:rsid w:val="008B61A2"/>
    <w:rsid w:val="008B79EC"/>
    <w:rsid w:val="008C0103"/>
    <w:rsid w:val="008C114E"/>
    <w:rsid w:val="008C1647"/>
    <w:rsid w:val="008C1D73"/>
    <w:rsid w:val="008C37DC"/>
    <w:rsid w:val="008C5E1F"/>
    <w:rsid w:val="008C7722"/>
    <w:rsid w:val="008D1BE1"/>
    <w:rsid w:val="008D407A"/>
    <w:rsid w:val="008D4570"/>
    <w:rsid w:val="008D5EFC"/>
    <w:rsid w:val="008D6647"/>
    <w:rsid w:val="008D69D8"/>
    <w:rsid w:val="008E1AF1"/>
    <w:rsid w:val="008E27BC"/>
    <w:rsid w:val="008E2992"/>
    <w:rsid w:val="008E2C42"/>
    <w:rsid w:val="008E3652"/>
    <w:rsid w:val="008E418F"/>
    <w:rsid w:val="008E7F12"/>
    <w:rsid w:val="008E7FB2"/>
    <w:rsid w:val="008F26F6"/>
    <w:rsid w:val="008F2D28"/>
    <w:rsid w:val="008F44D5"/>
    <w:rsid w:val="008F45AE"/>
    <w:rsid w:val="008F5D6C"/>
    <w:rsid w:val="008F7AB6"/>
    <w:rsid w:val="009008D1"/>
    <w:rsid w:val="00901B93"/>
    <w:rsid w:val="00902B73"/>
    <w:rsid w:val="009031BE"/>
    <w:rsid w:val="00904C2D"/>
    <w:rsid w:val="00907934"/>
    <w:rsid w:val="00907B35"/>
    <w:rsid w:val="0091082B"/>
    <w:rsid w:val="009121D9"/>
    <w:rsid w:val="0091300C"/>
    <w:rsid w:val="00915E9C"/>
    <w:rsid w:val="00917357"/>
    <w:rsid w:val="00920798"/>
    <w:rsid w:val="00920900"/>
    <w:rsid w:val="00920B5A"/>
    <w:rsid w:val="009218A9"/>
    <w:rsid w:val="00922FC1"/>
    <w:rsid w:val="009241CD"/>
    <w:rsid w:val="00925A9C"/>
    <w:rsid w:val="00925C36"/>
    <w:rsid w:val="00926015"/>
    <w:rsid w:val="00927AC1"/>
    <w:rsid w:val="009308AE"/>
    <w:rsid w:val="00930C2D"/>
    <w:rsid w:val="00931734"/>
    <w:rsid w:val="00931A3B"/>
    <w:rsid w:val="00931F5C"/>
    <w:rsid w:val="009351CA"/>
    <w:rsid w:val="009352D8"/>
    <w:rsid w:val="00935564"/>
    <w:rsid w:val="0093576D"/>
    <w:rsid w:val="00936584"/>
    <w:rsid w:val="00937FDA"/>
    <w:rsid w:val="00940DC8"/>
    <w:rsid w:val="00941477"/>
    <w:rsid w:val="00941775"/>
    <w:rsid w:val="00942E20"/>
    <w:rsid w:val="00942F29"/>
    <w:rsid w:val="00942FA0"/>
    <w:rsid w:val="00944B99"/>
    <w:rsid w:val="009454A0"/>
    <w:rsid w:val="009510B8"/>
    <w:rsid w:val="00952B91"/>
    <w:rsid w:val="00954558"/>
    <w:rsid w:val="00954D36"/>
    <w:rsid w:val="009550FF"/>
    <w:rsid w:val="00955E1F"/>
    <w:rsid w:val="009562F8"/>
    <w:rsid w:val="0095769F"/>
    <w:rsid w:val="00957AB0"/>
    <w:rsid w:val="00957BA7"/>
    <w:rsid w:val="009623E4"/>
    <w:rsid w:val="00963DCC"/>
    <w:rsid w:val="009659BE"/>
    <w:rsid w:val="00967022"/>
    <w:rsid w:val="00971179"/>
    <w:rsid w:val="00971AA4"/>
    <w:rsid w:val="009730C6"/>
    <w:rsid w:val="0097462F"/>
    <w:rsid w:val="00975F95"/>
    <w:rsid w:val="00976D5F"/>
    <w:rsid w:val="00980C8B"/>
    <w:rsid w:val="00981F2C"/>
    <w:rsid w:val="00982F39"/>
    <w:rsid w:val="009834DB"/>
    <w:rsid w:val="00985F7E"/>
    <w:rsid w:val="00986407"/>
    <w:rsid w:val="00986D4C"/>
    <w:rsid w:val="00986D68"/>
    <w:rsid w:val="0098703E"/>
    <w:rsid w:val="0099076D"/>
    <w:rsid w:val="00991659"/>
    <w:rsid w:val="009934E5"/>
    <w:rsid w:val="00993A53"/>
    <w:rsid w:val="00994DD6"/>
    <w:rsid w:val="00995676"/>
    <w:rsid w:val="009966E1"/>
    <w:rsid w:val="009969E9"/>
    <w:rsid w:val="00996F13"/>
    <w:rsid w:val="009A00D2"/>
    <w:rsid w:val="009A113C"/>
    <w:rsid w:val="009A1C40"/>
    <w:rsid w:val="009A3021"/>
    <w:rsid w:val="009A443D"/>
    <w:rsid w:val="009A5A85"/>
    <w:rsid w:val="009A641A"/>
    <w:rsid w:val="009B07C7"/>
    <w:rsid w:val="009B2E08"/>
    <w:rsid w:val="009B48A1"/>
    <w:rsid w:val="009B518E"/>
    <w:rsid w:val="009B5394"/>
    <w:rsid w:val="009B5743"/>
    <w:rsid w:val="009B62E5"/>
    <w:rsid w:val="009B667A"/>
    <w:rsid w:val="009C0362"/>
    <w:rsid w:val="009C120E"/>
    <w:rsid w:val="009C16CA"/>
    <w:rsid w:val="009C18BD"/>
    <w:rsid w:val="009C205D"/>
    <w:rsid w:val="009C36A0"/>
    <w:rsid w:val="009C4023"/>
    <w:rsid w:val="009C5126"/>
    <w:rsid w:val="009C6811"/>
    <w:rsid w:val="009C6F4F"/>
    <w:rsid w:val="009C7D4F"/>
    <w:rsid w:val="009D3EA7"/>
    <w:rsid w:val="009D608D"/>
    <w:rsid w:val="009D6D47"/>
    <w:rsid w:val="009D73BF"/>
    <w:rsid w:val="009E12D9"/>
    <w:rsid w:val="009E1B26"/>
    <w:rsid w:val="009E375D"/>
    <w:rsid w:val="009E515C"/>
    <w:rsid w:val="009E5BCA"/>
    <w:rsid w:val="009F2FF6"/>
    <w:rsid w:val="009F353A"/>
    <w:rsid w:val="009F3895"/>
    <w:rsid w:val="009F4075"/>
    <w:rsid w:val="009F4A5D"/>
    <w:rsid w:val="009F55F6"/>
    <w:rsid w:val="009F5FEC"/>
    <w:rsid w:val="009F661F"/>
    <w:rsid w:val="009F7CAC"/>
    <w:rsid w:val="00A00AEB"/>
    <w:rsid w:val="00A01F98"/>
    <w:rsid w:val="00A02893"/>
    <w:rsid w:val="00A02E80"/>
    <w:rsid w:val="00A0328A"/>
    <w:rsid w:val="00A050E1"/>
    <w:rsid w:val="00A05681"/>
    <w:rsid w:val="00A05BAA"/>
    <w:rsid w:val="00A05BDA"/>
    <w:rsid w:val="00A0601D"/>
    <w:rsid w:val="00A0708F"/>
    <w:rsid w:val="00A07387"/>
    <w:rsid w:val="00A11D9C"/>
    <w:rsid w:val="00A11ED2"/>
    <w:rsid w:val="00A13436"/>
    <w:rsid w:val="00A14FAE"/>
    <w:rsid w:val="00A15FE4"/>
    <w:rsid w:val="00A17044"/>
    <w:rsid w:val="00A17961"/>
    <w:rsid w:val="00A2066E"/>
    <w:rsid w:val="00A218C2"/>
    <w:rsid w:val="00A24613"/>
    <w:rsid w:val="00A252F6"/>
    <w:rsid w:val="00A25F0F"/>
    <w:rsid w:val="00A32B60"/>
    <w:rsid w:val="00A33D27"/>
    <w:rsid w:val="00A3427F"/>
    <w:rsid w:val="00A35504"/>
    <w:rsid w:val="00A35868"/>
    <w:rsid w:val="00A36500"/>
    <w:rsid w:val="00A408CA"/>
    <w:rsid w:val="00A41392"/>
    <w:rsid w:val="00A4343D"/>
    <w:rsid w:val="00A43D5B"/>
    <w:rsid w:val="00A43DA9"/>
    <w:rsid w:val="00A43DCC"/>
    <w:rsid w:val="00A43F74"/>
    <w:rsid w:val="00A454C8"/>
    <w:rsid w:val="00A51DB3"/>
    <w:rsid w:val="00A52C1E"/>
    <w:rsid w:val="00A53364"/>
    <w:rsid w:val="00A538A4"/>
    <w:rsid w:val="00A53BF1"/>
    <w:rsid w:val="00A53C01"/>
    <w:rsid w:val="00A54C74"/>
    <w:rsid w:val="00A55B71"/>
    <w:rsid w:val="00A56952"/>
    <w:rsid w:val="00A6000B"/>
    <w:rsid w:val="00A60101"/>
    <w:rsid w:val="00A605F3"/>
    <w:rsid w:val="00A61189"/>
    <w:rsid w:val="00A61A52"/>
    <w:rsid w:val="00A629D9"/>
    <w:rsid w:val="00A62ECE"/>
    <w:rsid w:val="00A667D4"/>
    <w:rsid w:val="00A70BD6"/>
    <w:rsid w:val="00A71636"/>
    <w:rsid w:val="00A7194B"/>
    <w:rsid w:val="00A73088"/>
    <w:rsid w:val="00A73BB2"/>
    <w:rsid w:val="00A75FFE"/>
    <w:rsid w:val="00A76253"/>
    <w:rsid w:val="00A80E99"/>
    <w:rsid w:val="00A82475"/>
    <w:rsid w:val="00A828A1"/>
    <w:rsid w:val="00A82D68"/>
    <w:rsid w:val="00A84760"/>
    <w:rsid w:val="00A86D05"/>
    <w:rsid w:val="00A873E2"/>
    <w:rsid w:val="00A91942"/>
    <w:rsid w:val="00A919ED"/>
    <w:rsid w:val="00A925F0"/>
    <w:rsid w:val="00A94465"/>
    <w:rsid w:val="00A947C8"/>
    <w:rsid w:val="00A94F59"/>
    <w:rsid w:val="00AA167A"/>
    <w:rsid w:val="00AA1F75"/>
    <w:rsid w:val="00AA3A2C"/>
    <w:rsid w:val="00AA485C"/>
    <w:rsid w:val="00AA5B21"/>
    <w:rsid w:val="00AA6541"/>
    <w:rsid w:val="00AA6E68"/>
    <w:rsid w:val="00AB023E"/>
    <w:rsid w:val="00AB0620"/>
    <w:rsid w:val="00AB3C38"/>
    <w:rsid w:val="00AB543D"/>
    <w:rsid w:val="00AB57B1"/>
    <w:rsid w:val="00AB6047"/>
    <w:rsid w:val="00AB6DC8"/>
    <w:rsid w:val="00AC00AC"/>
    <w:rsid w:val="00AC2104"/>
    <w:rsid w:val="00AC3BF3"/>
    <w:rsid w:val="00AC60F6"/>
    <w:rsid w:val="00AC6194"/>
    <w:rsid w:val="00AC61B0"/>
    <w:rsid w:val="00AC69C8"/>
    <w:rsid w:val="00AC7D95"/>
    <w:rsid w:val="00AD1EBF"/>
    <w:rsid w:val="00AD2612"/>
    <w:rsid w:val="00AD350E"/>
    <w:rsid w:val="00AD4442"/>
    <w:rsid w:val="00AD45BB"/>
    <w:rsid w:val="00AD67A2"/>
    <w:rsid w:val="00AD72FF"/>
    <w:rsid w:val="00AD7A30"/>
    <w:rsid w:val="00AE010F"/>
    <w:rsid w:val="00AE14AB"/>
    <w:rsid w:val="00AE1884"/>
    <w:rsid w:val="00AE1967"/>
    <w:rsid w:val="00AE250F"/>
    <w:rsid w:val="00AE536D"/>
    <w:rsid w:val="00AE638A"/>
    <w:rsid w:val="00AE63DE"/>
    <w:rsid w:val="00AF1133"/>
    <w:rsid w:val="00AF1928"/>
    <w:rsid w:val="00AF25BD"/>
    <w:rsid w:val="00AF305F"/>
    <w:rsid w:val="00AF3729"/>
    <w:rsid w:val="00AF3734"/>
    <w:rsid w:val="00AF3E82"/>
    <w:rsid w:val="00AF41C0"/>
    <w:rsid w:val="00AF4CFF"/>
    <w:rsid w:val="00AF64DB"/>
    <w:rsid w:val="00B007BC"/>
    <w:rsid w:val="00B00D81"/>
    <w:rsid w:val="00B01868"/>
    <w:rsid w:val="00B01E45"/>
    <w:rsid w:val="00B020A8"/>
    <w:rsid w:val="00B02B02"/>
    <w:rsid w:val="00B037EB"/>
    <w:rsid w:val="00B03E06"/>
    <w:rsid w:val="00B0404B"/>
    <w:rsid w:val="00B05225"/>
    <w:rsid w:val="00B05BD5"/>
    <w:rsid w:val="00B05FF2"/>
    <w:rsid w:val="00B06591"/>
    <w:rsid w:val="00B06BFD"/>
    <w:rsid w:val="00B06F5B"/>
    <w:rsid w:val="00B07862"/>
    <w:rsid w:val="00B07A34"/>
    <w:rsid w:val="00B07E32"/>
    <w:rsid w:val="00B1098B"/>
    <w:rsid w:val="00B1489E"/>
    <w:rsid w:val="00B20D47"/>
    <w:rsid w:val="00B20DED"/>
    <w:rsid w:val="00B22A11"/>
    <w:rsid w:val="00B236CD"/>
    <w:rsid w:val="00B24BBD"/>
    <w:rsid w:val="00B24DFD"/>
    <w:rsid w:val="00B253F9"/>
    <w:rsid w:val="00B25994"/>
    <w:rsid w:val="00B25AB0"/>
    <w:rsid w:val="00B25D67"/>
    <w:rsid w:val="00B307AA"/>
    <w:rsid w:val="00B3144F"/>
    <w:rsid w:val="00B32CDE"/>
    <w:rsid w:val="00B342B2"/>
    <w:rsid w:val="00B34B36"/>
    <w:rsid w:val="00B351C0"/>
    <w:rsid w:val="00B35A55"/>
    <w:rsid w:val="00B36B29"/>
    <w:rsid w:val="00B40BCF"/>
    <w:rsid w:val="00B40CE7"/>
    <w:rsid w:val="00B4234B"/>
    <w:rsid w:val="00B43E1D"/>
    <w:rsid w:val="00B4432A"/>
    <w:rsid w:val="00B44DE1"/>
    <w:rsid w:val="00B4579E"/>
    <w:rsid w:val="00B4625E"/>
    <w:rsid w:val="00B51063"/>
    <w:rsid w:val="00B53937"/>
    <w:rsid w:val="00B544CE"/>
    <w:rsid w:val="00B54895"/>
    <w:rsid w:val="00B54A15"/>
    <w:rsid w:val="00B55F33"/>
    <w:rsid w:val="00B566E9"/>
    <w:rsid w:val="00B56733"/>
    <w:rsid w:val="00B568C4"/>
    <w:rsid w:val="00B576BE"/>
    <w:rsid w:val="00B60EE1"/>
    <w:rsid w:val="00B62950"/>
    <w:rsid w:val="00B62D7C"/>
    <w:rsid w:val="00B62E64"/>
    <w:rsid w:val="00B631F1"/>
    <w:rsid w:val="00B63E06"/>
    <w:rsid w:val="00B6548F"/>
    <w:rsid w:val="00B66525"/>
    <w:rsid w:val="00B66B11"/>
    <w:rsid w:val="00B67CE5"/>
    <w:rsid w:val="00B72874"/>
    <w:rsid w:val="00B740B7"/>
    <w:rsid w:val="00B75051"/>
    <w:rsid w:val="00B7724E"/>
    <w:rsid w:val="00B77FAA"/>
    <w:rsid w:val="00B807A5"/>
    <w:rsid w:val="00B86B41"/>
    <w:rsid w:val="00B87090"/>
    <w:rsid w:val="00B877AD"/>
    <w:rsid w:val="00B87E97"/>
    <w:rsid w:val="00B915DF"/>
    <w:rsid w:val="00B9221F"/>
    <w:rsid w:val="00B96D09"/>
    <w:rsid w:val="00B96EED"/>
    <w:rsid w:val="00BA4773"/>
    <w:rsid w:val="00BA4FF1"/>
    <w:rsid w:val="00BA62B1"/>
    <w:rsid w:val="00BA6CBD"/>
    <w:rsid w:val="00BB0B3A"/>
    <w:rsid w:val="00BB1177"/>
    <w:rsid w:val="00BB2B5C"/>
    <w:rsid w:val="00BB3883"/>
    <w:rsid w:val="00BB4D4A"/>
    <w:rsid w:val="00BB5088"/>
    <w:rsid w:val="00BB5114"/>
    <w:rsid w:val="00BB7379"/>
    <w:rsid w:val="00BC01BE"/>
    <w:rsid w:val="00BC0A79"/>
    <w:rsid w:val="00BC3A02"/>
    <w:rsid w:val="00BC6298"/>
    <w:rsid w:val="00BC6C1C"/>
    <w:rsid w:val="00BC7A1E"/>
    <w:rsid w:val="00BC7C84"/>
    <w:rsid w:val="00BD068B"/>
    <w:rsid w:val="00BD1A82"/>
    <w:rsid w:val="00BD1ACF"/>
    <w:rsid w:val="00BD4FE0"/>
    <w:rsid w:val="00BD5716"/>
    <w:rsid w:val="00BD5948"/>
    <w:rsid w:val="00BD5E0D"/>
    <w:rsid w:val="00BD7E5F"/>
    <w:rsid w:val="00BD7FA2"/>
    <w:rsid w:val="00BE0145"/>
    <w:rsid w:val="00BE32BA"/>
    <w:rsid w:val="00BE3786"/>
    <w:rsid w:val="00BE3DD2"/>
    <w:rsid w:val="00BE4EB1"/>
    <w:rsid w:val="00BE693D"/>
    <w:rsid w:val="00BE7040"/>
    <w:rsid w:val="00BE7560"/>
    <w:rsid w:val="00BE7BDA"/>
    <w:rsid w:val="00BF1137"/>
    <w:rsid w:val="00BF18BC"/>
    <w:rsid w:val="00BF302F"/>
    <w:rsid w:val="00BF3961"/>
    <w:rsid w:val="00BF426C"/>
    <w:rsid w:val="00BF43D9"/>
    <w:rsid w:val="00BF5860"/>
    <w:rsid w:val="00BF74CD"/>
    <w:rsid w:val="00BF78BF"/>
    <w:rsid w:val="00BF7E83"/>
    <w:rsid w:val="00C000AA"/>
    <w:rsid w:val="00C0033B"/>
    <w:rsid w:val="00C016E3"/>
    <w:rsid w:val="00C0415E"/>
    <w:rsid w:val="00C041A3"/>
    <w:rsid w:val="00C053AE"/>
    <w:rsid w:val="00C07BB8"/>
    <w:rsid w:val="00C113D8"/>
    <w:rsid w:val="00C11E84"/>
    <w:rsid w:val="00C14FB5"/>
    <w:rsid w:val="00C159EF"/>
    <w:rsid w:val="00C20944"/>
    <w:rsid w:val="00C22F00"/>
    <w:rsid w:val="00C2325E"/>
    <w:rsid w:val="00C24919"/>
    <w:rsid w:val="00C25AA8"/>
    <w:rsid w:val="00C2749A"/>
    <w:rsid w:val="00C31AAB"/>
    <w:rsid w:val="00C33D93"/>
    <w:rsid w:val="00C35792"/>
    <w:rsid w:val="00C35E04"/>
    <w:rsid w:val="00C36841"/>
    <w:rsid w:val="00C368B1"/>
    <w:rsid w:val="00C42098"/>
    <w:rsid w:val="00C428A2"/>
    <w:rsid w:val="00C44312"/>
    <w:rsid w:val="00C44454"/>
    <w:rsid w:val="00C45EA2"/>
    <w:rsid w:val="00C46E23"/>
    <w:rsid w:val="00C47E71"/>
    <w:rsid w:val="00C501A2"/>
    <w:rsid w:val="00C501E4"/>
    <w:rsid w:val="00C50459"/>
    <w:rsid w:val="00C51275"/>
    <w:rsid w:val="00C5156A"/>
    <w:rsid w:val="00C5266D"/>
    <w:rsid w:val="00C54827"/>
    <w:rsid w:val="00C553A8"/>
    <w:rsid w:val="00C56393"/>
    <w:rsid w:val="00C57708"/>
    <w:rsid w:val="00C57E03"/>
    <w:rsid w:val="00C602E7"/>
    <w:rsid w:val="00C60841"/>
    <w:rsid w:val="00C62C26"/>
    <w:rsid w:val="00C63176"/>
    <w:rsid w:val="00C6317B"/>
    <w:rsid w:val="00C63674"/>
    <w:rsid w:val="00C63716"/>
    <w:rsid w:val="00C645E7"/>
    <w:rsid w:val="00C6465C"/>
    <w:rsid w:val="00C64DB9"/>
    <w:rsid w:val="00C655DB"/>
    <w:rsid w:val="00C67F3E"/>
    <w:rsid w:val="00C701D9"/>
    <w:rsid w:val="00C708C2"/>
    <w:rsid w:val="00C72209"/>
    <w:rsid w:val="00C74517"/>
    <w:rsid w:val="00C75ECC"/>
    <w:rsid w:val="00C76542"/>
    <w:rsid w:val="00C76840"/>
    <w:rsid w:val="00C8071D"/>
    <w:rsid w:val="00C81662"/>
    <w:rsid w:val="00C83B33"/>
    <w:rsid w:val="00C84073"/>
    <w:rsid w:val="00C844F1"/>
    <w:rsid w:val="00C862AD"/>
    <w:rsid w:val="00C86A7E"/>
    <w:rsid w:val="00C86BAC"/>
    <w:rsid w:val="00C86D40"/>
    <w:rsid w:val="00C91073"/>
    <w:rsid w:val="00C910F7"/>
    <w:rsid w:val="00C911C2"/>
    <w:rsid w:val="00C91E2A"/>
    <w:rsid w:val="00C924ED"/>
    <w:rsid w:val="00C9257D"/>
    <w:rsid w:val="00C94C62"/>
    <w:rsid w:val="00CA02B8"/>
    <w:rsid w:val="00CA0620"/>
    <w:rsid w:val="00CA0755"/>
    <w:rsid w:val="00CA0D03"/>
    <w:rsid w:val="00CA2655"/>
    <w:rsid w:val="00CA3D5C"/>
    <w:rsid w:val="00CA4157"/>
    <w:rsid w:val="00CA6B25"/>
    <w:rsid w:val="00CA70AD"/>
    <w:rsid w:val="00CA7702"/>
    <w:rsid w:val="00CA7D2E"/>
    <w:rsid w:val="00CB139B"/>
    <w:rsid w:val="00CB2300"/>
    <w:rsid w:val="00CB2DCC"/>
    <w:rsid w:val="00CB39A0"/>
    <w:rsid w:val="00CB39F5"/>
    <w:rsid w:val="00CB6087"/>
    <w:rsid w:val="00CB6DC3"/>
    <w:rsid w:val="00CB790D"/>
    <w:rsid w:val="00CC170E"/>
    <w:rsid w:val="00CC1E2A"/>
    <w:rsid w:val="00CC1F5B"/>
    <w:rsid w:val="00CC2E42"/>
    <w:rsid w:val="00CC3D97"/>
    <w:rsid w:val="00CC3E5F"/>
    <w:rsid w:val="00CC41D1"/>
    <w:rsid w:val="00CC41E7"/>
    <w:rsid w:val="00CC54E3"/>
    <w:rsid w:val="00CC5D29"/>
    <w:rsid w:val="00CC6BD2"/>
    <w:rsid w:val="00CC6F8F"/>
    <w:rsid w:val="00CC70AA"/>
    <w:rsid w:val="00CC7FCA"/>
    <w:rsid w:val="00CD0C06"/>
    <w:rsid w:val="00CD1D92"/>
    <w:rsid w:val="00CD2B62"/>
    <w:rsid w:val="00CD2CDB"/>
    <w:rsid w:val="00CD3F1B"/>
    <w:rsid w:val="00CD7B6F"/>
    <w:rsid w:val="00CE063B"/>
    <w:rsid w:val="00CE0A16"/>
    <w:rsid w:val="00CE0ACE"/>
    <w:rsid w:val="00CE198A"/>
    <w:rsid w:val="00CE321B"/>
    <w:rsid w:val="00CE3674"/>
    <w:rsid w:val="00CE6F65"/>
    <w:rsid w:val="00CF0D3B"/>
    <w:rsid w:val="00CF6F82"/>
    <w:rsid w:val="00CF7397"/>
    <w:rsid w:val="00CF742A"/>
    <w:rsid w:val="00D02334"/>
    <w:rsid w:val="00D03803"/>
    <w:rsid w:val="00D04075"/>
    <w:rsid w:val="00D07526"/>
    <w:rsid w:val="00D10AF2"/>
    <w:rsid w:val="00D1148F"/>
    <w:rsid w:val="00D12882"/>
    <w:rsid w:val="00D16D45"/>
    <w:rsid w:val="00D17999"/>
    <w:rsid w:val="00D17B28"/>
    <w:rsid w:val="00D17B2F"/>
    <w:rsid w:val="00D17BFD"/>
    <w:rsid w:val="00D20BAA"/>
    <w:rsid w:val="00D2123A"/>
    <w:rsid w:val="00D21F6D"/>
    <w:rsid w:val="00D231D9"/>
    <w:rsid w:val="00D23883"/>
    <w:rsid w:val="00D23949"/>
    <w:rsid w:val="00D26568"/>
    <w:rsid w:val="00D26E74"/>
    <w:rsid w:val="00D274B1"/>
    <w:rsid w:val="00D31389"/>
    <w:rsid w:val="00D37254"/>
    <w:rsid w:val="00D4054D"/>
    <w:rsid w:val="00D4207C"/>
    <w:rsid w:val="00D44A6E"/>
    <w:rsid w:val="00D4503F"/>
    <w:rsid w:val="00D454EA"/>
    <w:rsid w:val="00D47214"/>
    <w:rsid w:val="00D47B36"/>
    <w:rsid w:val="00D47D0F"/>
    <w:rsid w:val="00D47E99"/>
    <w:rsid w:val="00D505E2"/>
    <w:rsid w:val="00D51B2A"/>
    <w:rsid w:val="00D5308B"/>
    <w:rsid w:val="00D535FE"/>
    <w:rsid w:val="00D539E2"/>
    <w:rsid w:val="00D53B33"/>
    <w:rsid w:val="00D546D2"/>
    <w:rsid w:val="00D55047"/>
    <w:rsid w:val="00D55221"/>
    <w:rsid w:val="00D578CB"/>
    <w:rsid w:val="00D5799D"/>
    <w:rsid w:val="00D6027C"/>
    <w:rsid w:val="00D61628"/>
    <w:rsid w:val="00D63607"/>
    <w:rsid w:val="00D6470A"/>
    <w:rsid w:val="00D66783"/>
    <w:rsid w:val="00D72A16"/>
    <w:rsid w:val="00D72E73"/>
    <w:rsid w:val="00D72F84"/>
    <w:rsid w:val="00D74DD7"/>
    <w:rsid w:val="00D75A11"/>
    <w:rsid w:val="00D76877"/>
    <w:rsid w:val="00D80FDF"/>
    <w:rsid w:val="00D8144A"/>
    <w:rsid w:val="00D8393F"/>
    <w:rsid w:val="00D83A51"/>
    <w:rsid w:val="00D84A37"/>
    <w:rsid w:val="00D85AE7"/>
    <w:rsid w:val="00D90A60"/>
    <w:rsid w:val="00D90B76"/>
    <w:rsid w:val="00D92D94"/>
    <w:rsid w:val="00D94561"/>
    <w:rsid w:val="00D95194"/>
    <w:rsid w:val="00D95254"/>
    <w:rsid w:val="00D972E6"/>
    <w:rsid w:val="00DA0BC2"/>
    <w:rsid w:val="00DA1431"/>
    <w:rsid w:val="00DA4288"/>
    <w:rsid w:val="00DA5998"/>
    <w:rsid w:val="00DA5E9D"/>
    <w:rsid w:val="00DA648D"/>
    <w:rsid w:val="00DA7186"/>
    <w:rsid w:val="00DB020E"/>
    <w:rsid w:val="00DB06A3"/>
    <w:rsid w:val="00DB09E6"/>
    <w:rsid w:val="00DB0B7F"/>
    <w:rsid w:val="00DB358B"/>
    <w:rsid w:val="00DB4C8D"/>
    <w:rsid w:val="00DB721E"/>
    <w:rsid w:val="00DC183F"/>
    <w:rsid w:val="00DC206B"/>
    <w:rsid w:val="00DC3CCF"/>
    <w:rsid w:val="00DC5117"/>
    <w:rsid w:val="00DC5320"/>
    <w:rsid w:val="00DC60D9"/>
    <w:rsid w:val="00DC6125"/>
    <w:rsid w:val="00DD015F"/>
    <w:rsid w:val="00DD0697"/>
    <w:rsid w:val="00DD0D1A"/>
    <w:rsid w:val="00DD2566"/>
    <w:rsid w:val="00DD34CB"/>
    <w:rsid w:val="00DD3C30"/>
    <w:rsid w:val="00DD4C91"/>
    <w:rsid w:val="00DD4D07"/>
    <w:rsid w:val="00DD5B67"/>
    <w:rsid w:val="00DD6535"/>
    <w:rsid w:val="00DD6DD5"/>
    <w:rsid w:val="00DE1B05"/>
    <w:rsid w:val="00DE1F4F"/>
    <w:rsid w:val="00DE29DB"/>
    <w:rsid w:val="00DE2BF5"/>
    <w:rsid w:val="00DE30C8"/>
    <w:rsid w:val="00DE3705"/>
    <w:rsid w:val="00DE42AF"/>
    <w:rsid w:val="00DE6B84"/>
    <w:rsid w:val="00DF0DF3"/>
    <w:rsid w:val="00DF2E7F"/>
    <w:rsid w:val="00DF49A0"/>
    <w:rsid w:val="00DF56CF"/>
    <w:rsid w:val="00DF596A"/>
    <w:rsid w:val="00DF5C7E"/>
    <w:rsid w:val="00E000B0"/>
    <w:rsid w:val="00E014AD"/>
    <w:rsid w:val="00E020F2"/>
    <w:rsid w:val="00E021EB"/>
    <w:rsid w:val="00E02C38"/>
    <w:rsid w:val="00E02C8E"/>
    <w:rsid w:val="00E05A18"/>
    <w:rsid w:val="00E0634A"/>
    <w:rsid w:val="00E07E7A"/>
    <w:rsid w:val="00E11BE0"/>
    <w:rsid w:val="00E13767"/>
    <w:rsid w:val="00E137A2"/>
    <w:rsid w:val="00E14FF3"/>
    <w:rsid w:val="00E178AE"/>
    <w:rsid w:val="00E20246"/>
    <w:rsid w:val="00E209E8"/>
    <w:rsid w:val="00E214E6"/>
    <w:rsid w:val="00E2185E"/>
    <w:rsid w:val="00E23638"/>
    <w:rsid w:val="00E23E71"/>
    <w:rsid w:val="00E24931"/>
    <w:rsid w:val="00E24B1B"/>
    <w:rsid w:val="00E252BE"/>
    <w:rsid w:val="00E265AF"/>
    <w:rsid w:val="00E2745F"/>
    <w:rsid w:val="00E27850"/>
    <w:rsid w:val="00E31ACA"/>
    <w:rsid w:val="00E327F1"/>
    <w:rsid w:val="00E32CCC"/>
    <w:rsid w:val="00E3390C"/>
    <w:rsid w:val="00E33DEA"/>
    <w:rsid w:val="00E34596"/>
    <w:rsid w:val="00E40B1C"/>
    <w:rsid w:val="00E4166B"/>
    <w:rsid w:val="00E423B6"/>
    <w:rsid w:val="00E42A2B"/>
    <w:rsid w:val="00E54670"/>
    <w:rsid w:val="00E54D87"/>
    <w:rsid w:val="00E5577B"/>
    <w:rsid w:val="00E56029"/>
    <w:rsid w:val="00E5645D"/>
    <w:rsid w:val="00E565DA"/>
    <w:rsid w:val="00E5769D"/>
    <w:rsid w:val="00E576D9"/>
    <w:rsid w:val="00E57B5A"/>
    <w:rsid w:val="00E618CC"/>
    <w:rsid w:val="00E618DF"/>
    <w:rsid w:val="00E61E05"/>
    <w:rsid w:val="00E624AA"/>
    <w:rsid w:val="00E62BFE"/>
    <w:rsid w:val="00E64B97"/>
    <w:rsid w:val="00E657E2"/>
    <w:rsid w:val="00E65D13"/>
    <w:rsid w:val="00E664C4"/>
    <w:rsid w:val="00E667C7"/>
    <w:rsid w:val="00E67C27"/>
    <w:rsid w:val="00E729D4"/>
    <w:rsid w:val="00E72DD7"/>
    <w:rsid w:val="00E735D5"/>
    <w:rsid w:val="00E73681"/>
    <w:rsid w:val="00E73860"/>
    <w:rsid w:val="00E74207"/>
    <w:rsid w:val="00E76F53"/>
    <w:rsid w:val="00E7740A"/>
    <w:rsid w:val="00E8193A"/>
    <w:rsid w:val="00E819F6"/>
    <w:rsid w:val="00E83366"/>
    <w:rsid w:val="00E83ACF"/>
    <w:rsid w:val="00E8507E"/>
    <w:rsid w:val="00E86598"/>
    <w:rsid w:val="00E8781A"/>
    <w:rsid w:val="00E87D96"/>
    <w:rsid w:val="00E916CF"/>
    <w:rsid w:val="00E91A10"/>
    <w:rsid w:val="00E91C1B"/>
    <w:rsid w:val="00E92C48"/>
    <w:rsid w:val="00E92DFE"/>
    <w:rsid w:val="00E94218"/>
    <w:rsid w:val="00E94B7E"/>
    <w:rsid w:val="00E94DE8"/>
    <w:rsid w:val="00E954A2"/>
    <w:rsid w:val="00E95682"/>
    <w:rsid w:val="00E96AD1"/>
    <w:rsid w:val="00E9745F"/>
    <w:rsid w:val="00EA0759"/>
    <w:rsid w:val="00EA1CA6"/>
    <w:rsid w:val="00EA2E26"/>
    <w:rsid w:val="00EA2F92"/>
    <w:rsid w:val="00EA4C13"/>
    <w:rsid w:val="00EA5073"/>
    <w:rsid w:val="00EA637C"/>
    <w:rsid w:val="00EA7038"/>
    <w:rsid w:val="00EB0264"/>
    <w:rsid w:val="00EB2AE0"/>
    <w:rsid w:val="00EB4C65"/>
    <w:rsid w:val="00EB4D95"/>
    <w:rsid w:val="00EB5812"/>
    <w:rsid w:val="00EB6E72"/>
    <w:rsid w:val="00EB7BEC"/>
    <w:rsid w:val="00EB7F1F"/>
    <w:rsid w:val="00EC07B8"/>
    <w:rsid w:val="00EC0BAC"/>
    <w:rsid w:val="00EC16A0"/>
    <w:rsid w:val="00EC17AF"/>
    <w:rsid w:val="00EC2869"/>
    <w:rsid w:val="00EC4024"/>
    <w:rsid w:val="00EC405E"/>
    <w:rsid w:val="00EC67B5"/>
    <w:rsid w:val="00EC7141"/>
    <w:rsid w:val="00ED05A3"/>
    <w:rsid w:val="00ED0E61"/>
    <w:rsid w:val="00ED23F1"/>
    <w:rsid w:val="00ED317A"/>
    <w:rsid w:val="00ED37AB"/>
    <w:rsid w:val="00ED392C"/>
    <w:rsid w:val="00ED4D21"/>
    <w:rsid w:val="00ED4EAB"/>
    <w:rsid w:val="00ED55EC"/>
    <w:rsid w:val="00ED6E29"/>
    <w:rsid w:val="00ED72A9"/>
    <w:rsid w:val="00ED74C7"/>
    <w:rsid w:val="00EE06B3"/>
    <w:rsid w:val="00EE2BEB"/>
    <w:rsid w:val="00EE3000"/>
    <w:rsid w:val="00EE3331"/>
    <w:rsid w:val="00EE38DD"/>
    <w:rsid w:val="00EE3FA7"/>
    <w:rsid w:val="00EE4C90"/>
    <w:rsid w:val="00EE4F4A"/>
    <w:rsid w:val="00EE59FA"/>
    <w:rsid w:val="00EF0371"/>
    <w:rsid w:val="00EF1274"/>
    <w:rsid w:val="00EF56BB"/>
    <w:rsid w:val="00EF5932"/>
    <w:rsid w:val="00EF6D7D"/>
    <w:rsid w:val="00F018EA"/>
    <w:rsid w:val="00F01F59"/>
    <w:rsid w:val="00F02512"/>
    <w:rsid w:val="00F0540D"/>
    <w:rsid w:val="00F056E3"/>
    <w:rsid w:val="00F06C1A"/>
    <w:rsid w:val="00F06EE3"/>
    <w:rsid w:val="00F07656"/>
    <w:rsid w:val="00F07AF4"/>
    <w:rsid w:val="00F1219C"/>
    <w:rsid w:val="00F124A6"/>
    <w:rsid w:val="00F12E4A"/>
    <w:rsid w:val="00F12ED5"/>
    <w:rsid w:val="00F14378"/>
    <w:rsid w:val="00F15564"/>
    <w:rsid w:val="00F17533"/>
    <w:rsid w:val="00F20506"/>
    <w:rsid w:val="00F22A6B"/>
    <w:rsid w:val="00F22C31"/>
    <w:rsid w:val="00F23C21"/>
    <w:rsid w:val="00F24C77"/>
    <w:rsid w:val="00F24D30"/>
    <w:rsid w:val="00F25017"/>
    <w:rsid w:val="00F2627A"/>
    <w:rsid w:val="00F27862"/>
    <w:rsid w:val="00F30D18"/>
    <w:rsid w:val="00F315BF"/>
    <w:rsid w:val="00F33CE9"/>
    <w:rsid w:val="00F3469A"/>
    <w:rsid w:val="00F35E46"/>
    <w:rsid w:val="00F37171"/>
    <w:rsid w:val="00F37566"/>
    <w:rsid w:val="00F377A9"/>
    <w:rsid w:val="00F37DC8"/>
    <w:rsid w:val="00F443CC"/>
    <w:rsid w:val="00F447BA"/>
    <w:rsid w:val="00F457AB"/>
    <w:rsid w:val="00F4608D"/>
    <w:rsid w:val="00F463EB"/>
    <w:rsid w:val="00F501F4"/>
    <w:rsid w:val="00F50B6B"/>
    <w:rsid w:val="00F5153A"/>
    <w:rsid w:val="00F515DF"/>
    <w:rsid w:val="00F51C13"/>
    <w:rsid w:val="00F529CD"/>
    <w:rsid w:val="00F5356E"/>
    <w:rsid w:val="00F53705"/>
    <w:rsid w:val="00F540A4"/>
    <w:rsid w:val="00F616DE"/>
    <w:rsid w:val="00F620A1"/>
    <w:rsid w:val="00F6243D"/>
    <w:rsid w:val="00F6387D"/>
    <w:rsid w:val="00F64E45"/>
    <w:rsid w:val="00F6539A"/>
    <w:rsid w:val="00F65C7B"/>
    <w:rsid w:val="00F67D69"/>
    <w:rsid w:val="00F71F84"/>
    <w:rsid w:val="00F7222F"/>
    <w:rsid w:val="00F74BA6"/>
    <w:rsid w:val="00F76306"/>
    <w:rsid w:val="00F80380"/>
    <w:rsid w:val="00F80419"/>
    <w:rsid w:val="00F83386"/>
    <w:rsid w:val="00F851CC"/>
    <w:rsid w:val="00F8529A"/>
    <w:rsid w:val="00F871A0"/>
    <w:rsid w:val="00F917BA"/>
    <w:rsid w:val="00F91882"/>
    <w:rsid w:val="00F91A2F"/>
    <w:rsid w:val="00F92288"/>
    <w:rsid w:val="00F932F7"/>
    <w:rsid w:val="00F93969"/>
    <w:rsid w:val="00F95E4B"/>
    <w:rsid w:val="00F9656B"/>
    <w:rsid w:val="00F969C8"/>
    <w:rsid w:val="00FA0BDB"/>
    <w:rsid w:val="00FA2653"/>
    <w:rsid w:val="00FA3D84"/>
    <w:rsid w:val="00FA4D40"/>
    <w:rsid w:val="00FA58D7"/>
    <w:rsid w:val="00FA68A8"/>
    <w:rsid w:val="00FB413A"/>
    <w:rsid w:val="00FB4223"/>
    <w:rsid w:val="00FB487B"/>
    <w:rsid w:val="00FB6322"/>
    <w:rsid w:val="00FB6831"/>
    <w:rsid w:val="00FB6FA8"/>
    <w:rsid w:val="00FB71B8"/>
    <w:rsid w:val="00FB7D10"/>
    <w:rsid w:val="00FC103E"/>
    <w:rsid w:val="00FC11CE"/>
    <w:rsid w:val="00FC1E0C"/>
    <w:rsid w:val="00FC1F48"/>
    <w:rsid w:val="00FC28C8"/>
    <w:rsid w:val="00FC2D61"/>
    <w:rsid w:val="00FC2E44"/>
    <w:rsid w:val="00FC4012"/>
    <w:rsid w:val="00FC59D6"/>
    <w:rsid w:val="00FC6CCE"/>
    <w:rsid w:val="00FC7619"/>
    <w:rsid w:val="00FC77C4"/>
    <w:rsid w:val="00FC7F2D"/>
    <w:rsid w:val="00FD06A7"/>
    <w:rsid w:val="00FD16F3"/>
    <w:rsid w:val="00FD3145"/>
    <w:rsid w:val="00FD3221"/>
    <w:rsid w:val="00FD33AB"/>
    <w:rsid w:val="00FD3A78"/>
    <w:rsid w:val="00FD4C1D"/>
    <w:rsid w:val="00FD68EF"/>
    <w:rsid w:val="00FD6EB1"/>
    <w:rsid w:val="00FD75F4"/>
    <w:rsid w:val="00FE0184"/>
    <w:rsid w:val="00FE06D9"/>
    <w:rsid w:val="00FE5AA4"/>
    <w:rsid w:val="00FE7C23"/>
    <w:rsid w:val="00FF034A"/>
    <w:rsid w:val="00FF1AE8"/>
    <w:rsid w:val="00FF2326"/>
    <w:rsid w:val="00FF3B59"/>
    <w:rsid w:val="00FF4063"/>
    <w:rsid w:val="00FF48B8"/>
    <w:rsid w:val="00FF6945"/>
    <w:rsid w:val="00FF6A7D"/>
    <w:rsid w:val="025DD6B4"/>
    <w:rsid w:val="0271B2B3"/>
    <w:rsid w:val="03AD807B"/>
    <w:rsid w:val="06B73BCF"/>
    <w:rsid w:val="08027D5C"/>
    <w:rsid w:val="0B70E928"/>
    <w:rsid w:val="0CCD70EC"/>
    <w:rsid w:val="0EBB6A12"/>
    <w:rsid w:val="0F1D52C3"/>
    <w:rsid w:val="0F8D2919"/>
    <w:rsid w:val="14F69B87"/>
    <w:rsid w:val="157C39C6"/>
    <w:rsid w:val="171C00C0"/>
    <w:rsid w:val="17925234"/>
    <w:rsid w:val="1B251E99"/>
    <w:rsid w:val="1E2957C1"/>
    <w:rsid w:val="21149D51"/>
    <w:rsid w:val="21F087C4"/>
    <w:rsid w:val="22DFA751"/>
    <w:rsid w:val="26474FC5"/>
    <w:rsid w:val="27C33E57"/>
    <w:rsid w:val="28877581"/>
    <w:rsid w:val="295176BB"/>
    <w:rsid w:val="2A00A184"/>
    <w:rsid w:val="2CD02245"/>
    <w:rsid w:val="31AF1F45"/>
    <w:rsid w:val="31D90DD8"/>
    <w:rsid w:val="32C999C9"/>
    <w:rsid w:val="3356FA75"/>
    <w:rsid w:val="33BA7FA2"/>
    <w:rsid w:val="356BBBDD"/>
    <w:rsid w:val="36D8592D"/>
    <w:rsid w:val="38DB39DB"/>
    <w:rsid w:val="39688EB7"/>
    <w:rsid w:val="3999BC44"/>
    <w:rsid w:val="3ECB0861"/>
    <w:rsid w:val="4036BE6F"/>
    <w:rsid w:val="4318E8C3"/>
    <w:rsid w:val="443D8F4C"/>
    <w:rsid w:val="4C20AFE7"/>
    <w:rsid w:val="4D030944"/>
    <w:rsid w:val="4D11D16D"/>
    <w:rsid w:val="4D37A542"/>
    <w:rsid w:val="4DFDA500"/>
    <w:rsid w:val="52022333"/>
    <w:rsid w:val="54CFD413"/>
    <w:rsid w:val="56BA6C3F"/>
    <w:rsid w:val="57DBB842"/>
    <w:rsid w:val="59219EE8"/>
    <w:rsid w:val="6804BA1F"/>
    <w:rsid w:val="7013A13C"/>
    <w:rsid w:val="709BF294"/>
    <w:rsid w:val="724678F5"/>
    <w:rsid w:val="798116FF"/>
    <w:rsid w:val="7D1204ED"/>
    <w:rsid w:val="7F6774A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C1A2B"/>
  <w15:chartTrackingRefBased/>
  <w15:docId w15:val="{412A0FE0-1574-4C19-B2EF-29B024C6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225"/>
    <w:pPr>
      <w:spacing w:line="274" w:lineRule="auto"/>
    </w:pPr>
    <w:rPr>
      <w:rFonts w:ascii="Arial" w:eastAsia="Times New Roman" w:hAnsi="Arial" w:cs="Times New Roman"/>
      <w:kern w:val="0"/>
      <w:szCs w:val="24"/>
      <w:lang w:eastAsia="en-GB"/>
      <w14:ligatures w14:val="none"/>
    </w:rPr>
  </w:style>
  <w:style w:type="paragraph" w:styleId="Heading1">
    <w:name w:val="heading 1"/>
    <w:basedOn w:val="Normal"/>
    <w:next w:val="Normal"/>
    <w:link w:val="Heading1Char"/>
    <w:uiPriority w:val="9"/>
    <w:qFormat/>
    <w:rsid w:val="00942F29"/>
    <w:pPr>
      <w:keepNext/>
      <w:keepLines/>
      <w:numPr>
        <w:numId w:val="9"/>
      </w:numPr>
      <w:spacing w:before="360" w:after="360"/>
      <w:ind w:left="851" w:hanging="851"/>
      <w:outlineLvl w:val="0"/>
    </w:pPr>
    <w:rPr>
      <w:rFonts w:cs="Arial"/>
      <w:color w:val="6B3B57"/>
      <w:kern w:val="2"/>
      <w:sz w:val="52"/>
      <w:szCs w:val="40"/>
      <w:lang w:eastAsia="en-AU"/>
      <w14:ligatures w14:val="standardContextual"/>
    </w:rPr>
  </w:style>
  <w:style w:type="paragraph" w:styleId="Heading2">
    <w:name w:val="heading 2"/>
    <w:basedOn w:val="Normal"/>
    <w:next w:val="Normal"/>
    <w:link w:val="Heading2Char"/>
    <w:autoRedefine/>
    <w:uiPriority w:val="9"/>
    <w:unhideWhenUsed/>
    <w:qFormat/>
    <w:rsid w:val="0099076D"/>
    <w:pPr>
      <w:keepNext/>
      <w:keepLines/>
      <w:spacing w:before="360" w:after="240"/>
      <w:outlineLvl w:val="1"/>
    </w:pPr>
    <w:rPr>
      <w:rFonts w:eastAsiaTheme="majorEastAsia" w:cs="Arial"/>
      <w:color w:val="6B3B57"/>
      <w:kern w:val="2"/>
      <w:sz w:val="40"/>
      <w:szCs w:val="40"/>
      <w:lang w:eastAsia="en-AU"/>
      <w14:ligatures w14:val="standardContextual"/>
    </w:rPr>
  </w:style>
  <w:style w:type="paragraph" w:styleId="Heading3">
    <w:name w:val="heading 3"/>
    <w:basedOn w:val="Normal"/>
    <w:next w:val="Normal"/>
    <w:link w:val="Heading3Char"/>
    <w:uiPriority w:val="9"/>
    <w:unhideWhenUsed/>
    <w:qFormat/>
    <w:rsid w:val="004F64B4"/>
    <w:pPr>
      <w:keepNext/>
      <w:keepLines/>
      <w:numPr>
        <w:ilvl w:val="2"/>
        <w:numId w:val="9"/>
      </w:numPr>
      <w:spacing w:before="240" w:after="240"/>
      <w:ind w:left="851" w:hanging="851"/>
      <w:outlineLvl w:val="2"/>
    </w:pPr>
    <w:rPr>
      <w:rFonts w:eastAsiaTheme="majorEastAsia" w:cs="Arial"/>
      <w:bCs/>
      <w:sz w:val="28"/>
      <w:szCs w:val="28"/>
      <w:lang w:eastAsia="zh-CN"/>
    </w:rPr>
  </w:style>
  <w:style w:type="paragraph" w:styleId="Heading4">
    <w:name w:val="heading 4"/>
    <w:basedOn w:val="Normal"/>
    <w:next w:val="Normal"/>
    <w:link w:val="Heading4Char"/>
    <w:uiPriority w:val="9"/>
    <w:unhideWhenUsed/>
    <w:qFormat/>
    <w:rsid w:val="006518F1"/>
    <w:pPr>
      <w:keepNext/>
      <w:keepLines/>
      <w:numPr>
        <w:ilvl w:val="3"/>
        <w:numId w:val="9"/>
      </w:numPr>
      <w:spacing w:before="80"/>
      <w:outlineLvl w:val="3"/>
    </w:pPr>
    <w:rPr>
      <w:rFonts w:eastAsiaTheme="majorEastAsia" w:cstheme="majorBidi"/>
      <w:i/>
      <w:iCs/>
    </w:rPr>
  </w:style>
  <w:style w:type="paragraph" w:styleId="Heading5">
    <w:name w:val="heading 5"/>
    <w:basedOn w:val="Normal"/>
    <w:next w:val="Normal"/>
    <w:link w:val="Heading5Char"/>
    <w:uiPriority w:val="9"/>
    <w:unhideWhenUsed/>
    <w:qFormat/>
    <w:rsid w:val="00500DF0"/>
    <w:pPr>
      <w:keepNext/>
      <w:keepLines/>
      <w:spacing w:before="80" w:after="40"/>
      <w:outlineLvl w:val="4"/>
    </w:pPr>
    <w:rPr>
      <w:rFonts w:eastAsiaTheme="majorEastAsia" w:cstheme="majorBidi"/>
      <w:color w:val="6B3B57" w:themeColor="accent2"/>
    </w:rPr>
  </w:style>
  <w:style w:type="paragraph" w:styleId="Heading6">
    <w:name w:val="heading 6"/>
    <w:basedOn w:val="Normal"/>
    <w:next w:val="Normal"/>
    <w:link w:val="Heading6Char"/>
    <w:uiPriority w:val="9"/>
    <w:semiHidden/>
    <w:unhideWhenUsed/>
    <w:qFormat/>
    <w:rsid w:val="006518F1"/>
    <w:pPr>
      <w:keepNext/>
      <w:keepLines/>
      <w:numPr>
        <w:ilvl w:val="5"/>
        <w:numId w:val="9"/>
      </w:numPr>
      <w:spacing w:before="40" w:after="0"/>
      <w:outlineLvl w:val="5"/>
    </w:pPr>
    <w:rPr>
      <w:rFonts w:eastAsiaTheme="majorEastAsia" w:cstheme="majorBidi"/>
      <w:i/>
      <w:iCs/>
      <w:color w:val="964F6C" w:themeColor="text1" w:themeTint="A6"/>
    </w:rPr>
  </w:style>
  <w:style w:type="paragraph" w:styleId="Heading7">
    <w:name w:val="heading 7"/>
    <w:basedOn w:val="Normal"/>
    <w:next w:val="Normal"/>
    <w:link w:val="Heading7Char"/>
    <w:uiPriority w:val="9"/>
    <w:unhideWhenUsed/>
    <w:qFormat/>
    <w:rsid w:val="006518F1"/>
    <w:pPr>
      <w:keepNext/>
      <w:keepLines/>
      <w:numPr>
        <w:ilvl w:val="6"/>
        <w:numId w:val="9"/>
      </w:numPr>
      <w:spacing w:before="40" w:after="0"/>
      <w:outlineLvl w:val="6"/>
    </w:pPr>
    <w:rPr>
      <w:rFonts w:eastAsiaTheme="majorEastAsia" w:cs="Arial"/>
      <w:color w:val="6B3B57"/>
      <w:kern w:val="2"/>
      <w:sz w:val="40"/>
      <w:szCs w:val="40"/>
      <w:lang w:eastAsia="en-AU"/>
      <w14:ligatures w14:val="standardContextual"/>
    </w:rPr>
  </w:style>
  <w:style w:type="paragraph" w:styleId="Heading8">
    <w:name w:val="heading 8"/>
    <w:basedOn w:val="Normal"/>
    <w:next w:val="Normal"/>
    <w:link w:val="Heading8Char"/>
    <w:uiPriority w:val="9"/>
    <w:semiHidden/>
    <w:unhideWhenUsed/>
    <w:qFormat/>
    <w:rsid w:val="006518F1"/>
    <w:pPr>
      <w:keepNext/>
      <w:keepLines/>
      <w:numPr>
        <w:ilvl w:val="7"/>
        <w:numId w:val="9"/>
      </w:numPr>
      <w:spacing w:after="0"/>
      <w:outlineLvl w:val="7"/>
    </w:pPr>
    <w:rPr>
      <w:rFonts w:eastAsiaTheme="majorEastAsia" w:cstheme="majorBidi"/>
      <w:i/>
      <w:iCs/>
      <w:color w:val="5F3244" w:themeColor="text1" w:themeTint="D8"/>
    </w:rPr>
  </w:style>
  <w:style w:type="paragraph" w:styleId="Heading9">
    <w:name w:val="heading 9"/>
    <w:basedOn w:val="Normal"/>
    <w:next w:val="Normal"/>
    <w:link w:val="Heading9Char"/>
    <w:uiPriority w:val="9"/>
    <w:semiHidden/>
    <w:unhideWhenUsed/>
    <w:qFormat/>
    <w:rsid w:val="006518F1"/>
    <w:pPr>
      <w:keepNext/>
      <w:keepLines/>
      <w:numPr>
        <w:ilvl w:val="8"/>
        <w:numId w:val="9"/>
      </w:numPr>
      <w:spacing w:after="0"/>
      <w:outlineLvl w:val="8"/>
    </w:pPr>
    <w:rPr>
      <w:rFonts w:eastAsiaTheme="majorEastAsia" w:cstheme="majorBidi"/>
      <w:color w:val="5F32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F29"/>
    <w:rPr>
      <w:rFonts w:ascii="Arial" w:eastAsia="Times New Roman" w:hAnsi="Arial" w:cs="Arial"/>
      <w:color w:val="6B3B57"/>
      <w:sz w:val="52"/>
      <w:szCs w:val="40"/>
      <w:lang w:eastAsia="en-AU"/>
    </w:rPr>
  </w:style>
  <w:style w:type="character" w:customStyle="1" w:styleId="Heading2Char">
    <w:name w:val="Heading 2 Char"/>
    <w:basedOn w:val="DefaultParagraphFont"/>
    <w:link w:val="Heading2"/>
    <w:uiPriority w:val="9"/>
    <w:rsid w:val="0099076D"/>
    <w:rPr>
      <w:rFonts w:ascii="Arial" w:eastAsiaTheme="majorEastAsia" w:hAnsi="Arial" w:cs="Arial"/>
      <w:color w:val="6B3B57"/>
      <w:sz w:val="40"/>
      <w:szCs w:val="40"/>
      <w:lang w:eastAsia="en-AU"/>
    </w:rPr>
  </w:style>
  <w:style w:type="character" w:customStyle="1" w:styleId="Heading3Char">
    <w:name w:val="Heading 3 Char"/>
    <w:basedOn w:val="DefaultParagraphFont"/>
    <w:link w:val="Heading3"/>
    <w:uiPriority w:val="9"/>
    <w:rsid w:val="004F64B4"/>
    <w:rPr>
      <w:rFonts w:ascii="Arial" w:eastAsiaTheme="majorEastAsia" w:hAnsi="Arial" w:cs="Arial"/>
      <w:bCs/>
      <w:kern w:val="0"/>
      <w:sz w:val="28"/>
      <w:szCs w:val="28"/>
      <w:lang w:eastAsia="zh-CN"/>
      <w14:ligatures w14:val="none"/>
    </w:rPr>
  </w:style>
  <w:style w:type="character" w:customStyle="1" w:styleId="Heading4Char">
    <w:name w:val="Heading 4 Char"/>
    <w:basedOn w:val="DefaultParagraphFont"/>
    <w:link w:val="Heading4"/>
    <w:uiPriority w:val="9"/>
    <w:rsid w:val="00FC1F48"/>
    <w:rPr>
      <w:rFonts w:ascii="Arial" w:eastAsiaTheme="majorEastAsia" w:hAnsi="Arial" w:cstheme="majorBidi"/>
      <w:i/>
      <w:iCs/>
      <w:kern w:val="0"/>
      <w:szCs w:val="24"/>
      <w:lang w:eastAsia="en-GB"/>
      <w14:ligatures w14:val="none"/>
    </w:rPr>
  </w:style>
  <w:style w:type="character" w:customStyle="1" w:styleId="Heading5Char">
    <w:name w:val="Heading 5 Char"/>
    <w:basedOn w:val="DefaultParagraphFont"/>
    <w:link w:val="Heading5"/>
    <w:uiPriority w:val="9"/>
    <w:rsid w:val="00ED72A9"/>
    <w:rPr>
      <w:rFonts w:ascii="Arial" w:eastAsiaTheme="majorEastAsia" w:hAnsi="Arial" w:cstheme="majorBidi"/>
      <w:color w:val="6B3B57" w:themeColor="accent2"/>
      <w:kern w:val="0"/>
      <w:szCs w:val="24"/>
      <w:lang w:eastAsia="en-GB"/>
      <w14:ligatures w14:val="none"/>
    </w:rPr>
  </w:style>
  <w:style w:type="character" w:customStyle="1" w:styleId="Heading6Char">
    <w:name w:val="Heading 6 Char"/>
    <w:basedOn w:val="DefaultParagraphFont"/>
    <w:link w:val="Heading6"/>
    <w:uiPriority w:val="9"/>
    <w:semiHidden/>
    <w:rsid w:val="008C7722"/>
    <w:rPr>
      <w:rFonts w:ascii="Arial" w:eastAsiaTheme="majorEastAsia" w:hAnsi="Arial" w:cstheme="majorBidi"/>
      <w:i/>
      <w:iCs/>
      <w:color w:val="964F6C" w:themeColor="text1" w:themeTint="A6"/>
      <w:kern w:val="0"/>
      <w:szCs w:val="24"/>
      <w:lang w:eastAsia="en-GB"/>
      <w14:ligatures w14:val="none"/>
    </w:rPr>
  </w:style>
  <w:style w:type="character" w:customStyle="1" w:styleId="Heading7Char">
    <w:name w:val="Heading 7 Char"/>
    <w:basedOn w:val="DefaultParagraphFont"/>
    <w:link w:val="Heading7"/>
    <w:uiPriority w:val="9"/>
    <w:rsid w:val="00500DF0"/>
    <w:rPr>
      <w:rFonts w:ascii="Arial" w:eastAsiaTheme="majorEastAsia" w:hAnsi="Arial" w:cs="Arial"/>
      <w:color w:val="6B3B57"/>
      <w:sz w:val="40"/>
      <w:szCs w:val="40"/>
      <w:lang w:eastAsia="en-AU"/>
    </w:rPr>
  </w:style>
  <w:style w:type="character" w:customStyle="1" w:styleId="Heading8Char">
    <w:name w:val="Heading 8 Char"/>
    <w:basedOn w:val="DefaultParagraphFont"/>
    <w:link w:val="Heading8"/>
    <w:uiPriority w:val="9"/>
    <w:semiHidden/>
    <w:rsid w:val="008C7722"/>
    <w:rPr>
      <w:rFonts w:ascii="Arial" w:eastAsiaTheme="majorEastAsia" w:hAnsi="Arial" w:cstheme="majorBidi"/>
      <w:i/>
      <w:iCs/>
      <w:color w:val="5F3244" w:themeColor="text1" w:themeTint="D8"/>
      <w:kern w:val="0"/>
      <w:szCs w:val="24"/>
      <w:lang w:eastAsia="en-GB"/>
      <w14:ligatures w14:val="none"/>
    </w:rPr>
  </w:style>
  <w:style w:type="character" w:customStyle="1" w:styleId="Heading9Char">
    <w:name w:val="Heading 9 Char"/>
    <w:basedOn w:val="DefaultParagraphFont"/>
    <w:link w:val="Heading9"/>
    <w:uiPriority w:val="9"/>
    <w:semiHidden/>
    <w:rsid w:val="008C7722"/>
    <w:rPr>
      <w:rFonts w:ascii="Arial" w:eastAsiaTheme="majorEastAsia" w:hAnsi="Arial" w:cstheme="majorBidi"/>
      <w:color w:val="5F3244" w:themeColor="text1" w:themeTint="D8"/>
      <w:kern w:val="0"/>
      <w:szCs w:val="24"/>
      <w:lang w:eastAsia="en-GB"/>
      <w14:ligatures w14:val="none"/>
    </w:rPr>
  </w:style>
  <w:style w:type="paragraph" w:styleId="Title">
    <w:name w:val="Title"/>
    <w:basedOn w:val="Normal"/>
    <w:next w:val="Normal"/>
    <w:link w:val="TitleChar"/>
    <w:uiPriority w:val="10"/>
    <w:qFormat/>
    <w:rsid w:val="00D90A60"/>
    <w:pPr>
      <w:spacing w:after="480" w:line="216" w:lineRule="auto"/>
      <w:ind w:right="-2128"/>
    </w:pPr>
    <w:rPr>
      <w:rFonts w:cs="Arial"/>
      <w:color w:val="351C26" w:themeColor="text1"/>
      <w:sz w:val="92"/>
      <w:szCs w:val="92"/>
    </w:rPr>
  </w:style>
  <w:style w:type="character" w:customStyle="1" w:styleId="TitleChar">
    <w:name w:val="Title Char"/>
    <w:basedOn w:val="DefaultParagraphFont"/>
    <w:link w:val="Title"/>
    <w:uiPriority w:val="10"/>
    <w:rsid w:val="00D90A60"/>
    <w:rPr>
      <w:rFonts w:ascii="Arial" w:eastAsia="Times New Roman" w:hAnsi="Arial" w:cs="Arial"/>
      <w:color w:val="351C26" w:themeColor="text1"/>
      <w:kern w:val="0"/>
      <w:sz w:val="92"/>
      <w:szCs w:val="92"/>
      <w:lang w:eastAsia="en-GB"/>
      <w14:ligatures w14:val="none"/>
    </w:rPr>
  </w:style>
  <w:style w:type="paragraph" w:styleId="Subtitle">
    <w:name w:val="Subtitle"/>
    <w:basedOn w:val="Normal"/>
    <w:next w:val="Normal"/>
    <w:link w:val="SubtitleChar"/>
    <w:uiPriority w:val="11"/>
    <w:qFormat/>
    <w:rsid w:val="00DD5B67"/>
    <w:pPr>
      <w:numPr>
        <w:ilvl w:val="1"/>
      </w:numPr>
    </w:pPr>
    <w:rPr>
      <w:rFonts w:eastAsiaTheme="majorEastAsia" w:cs="Arial"/>
      <w:color w:val="6B3B57"/>
      <w:spacing w:val="15"/>
      <w:sz w:val="40"/>
    </w:rPr>
  </w:style>
  <w:style w:type="character" w:customStyle="1" w:styleId="SubtitleChar">
    <w:name w:val="Subtitle Char"/>
    <w:basedOn w:val="DefaultParagraphFont"/>
    <w:link w:val="Subtitle"/>
    <w:uiPriority w:val="11"/>
    <w:rsid w:val="00DD5B67"/>
    <w:rPr>
      <w:rFonts w:ascii="Arial" w:eastAsiaTheme="majorEastAsia" w:hAnsi="Arial" w:cs="Arial"/>
      <w:color w:val="6B3B57"/>
      <w:spacing w:val="15"/>
      <w:sz w:val="40"/>
      <w:szCs w:val="24"/>
    </w:rPr>
  </w:style>
  <w:style w:type="paragraph" w:styleId="Quote">
    <w:name w:val="Quote"/>
    <w:basedOn w:val="Normal"/>
    <w:next w:val="Normal"/>
    <w:link w:val="QuoteChar"/>
    <w:uiPriority w:val="29"/>
    <w:qFormat/>
    <w:rsid w:val="008C7722"/>
    <w:pPr>
      <w:spacing w:before="280" w:after="280"/>
      <w:jc w:val="center"/>
    </w:pPr>
    <w:rPr>
      <w:i/>
      <w:iCs/>
      <w:color w:val="7B4158" w:themeColor="text1" w:themeTint="BF"/>
    </w:rPr>
  </w:style>
  <w:style w:type="character" w:customStyle="1" w:styleId="QuoteChar">
    <w:name w:val="Quote Char"/>
    <w:basedOn w:val="DefaultParagraphFont"/>
    <w:link w:val="Quote"/>
    <w:uiPriority w:val="29"/>
    <w:rsid w:val="008C7722"/>
    <w:rPr>
      <w:rFonts w:ascii="Inter" w:hAnsi="Inter"/>
      <w:i/>
      <w:iCs/>
      <w:color w:val="7B4158" w:themeColor="text1" w:themeTint="BF"/>
    </w:rPr>
  </w:style>
  <w:style w:type="paragraph" w:styleId="ListParagraph">
    <w:name w:val="List Paragraph"/>
    <w:basedOn w:val="Normal"/>
    <w:uiPriority w:val="34"/>
    <w:qFormat/>
    <w:rsid w:val="007F5CA7"/>
    <w:pPr>
      <w:numPr>
        <w:numId w:val="1"/>
      </w:numPr>
      <w:contextualSpacing/>
    </w:pPr>
    <w:rPr>
      <w:rFonts w:eastAsiaTheme="majorEastAsia"/>
    </w:rPr>
  </w:style>
  <w:style w:type="character" w:styleId="IntenseEmphasis">
    <w:name w:val="Intense Emphasis"/>
    <w:basedOn w:val="DefaultParagraphFont"/>
    <w:uiPriority w:val="21"/>
    <w:rsid w:val="008C7722"/>
    <w:rPr>
      <w:i/>
      <w:iCs/>
      <w:color w:val="32CDC5" w:themeColor="accent1" w:themeShade="BF"/>
    </w:rPr>
  </w:style>
  <w:style w:type="paragraph" w:styleId="IntenseQuote">
    <w:name w:val="Intense Quote"/>
    <w:basedOn w:val="Normal"/>
    <w:next w:val="Normal"/>
    <w:link w:val="IntenseQuoteChar"/>
    <w:uiPriority w:val="30"/>
    <w:rsid w:val="008C7722"/>
    <w:pPr>
      <w:pBdr>
        <w:top w:val="single" w:sz="4" w:space="10" w:color="32CDC5" w:themeColor="accent1" w:themeShade="BF"/>
        <w:bottom w:val="single" w:sz="4" w:space="10" w:color="32CDC5" w:themeColor="accent1" w:themeShade="BF"/>
      </w:pBdr>
      <w:spacing w:before="360" w:after="360"/>
      <w:ind w:left="864" w:right="864"/>
      <w:jc w:val="center"/>
    </w:pPr>
    <w:rPr>
      <w:i/>
      <w:iCs/>
      <w:color w:val="32CDC5" w:themeColor="accent1" w:themeShade="BF"/>
    </w:rPr>
  </w:style>
  <w:style w:type="character" w:customStyle="1" w:styleId="IntenseQuoteChar">
    <w:name w:val="Intense Quote Char"/>
    <w:basedOn w:val="DefaultParagraphFont"/>
    <w:link w:val="IntenseQuote"/>
    <w:uiPriority w:val="30"/>
    <w:rsid w:val="008C7722"/>
    <w:rPr>
      <w:i/>
      <w:iCs/>
      <w:color w:val="32CDC5" w:themeColor="accent1" w:themeShade="BF"/>
    </w:rPr>
  </w:style>
  <w:style w:type="character" w:styleId="IntenseReference">
    <w:name w:val="Intense Reference"/>
    <w:basedOn w:val="DefaultParagraphFont"/>
    <w:uiPriority w:val="32"/>
    <w:rsid w:val="008C7722"/>
    <w:rPr>
      <w:b/>
      <w:bCs/>
      <w:smallCaps/>
      <w:color w:val="32CDC5" w:themeColor="accent1" w:themeShade="BF"/>
      <w:spacing w:val="5"/>
    </w:rPr>
  </w:style>
  <w:style w:type="paragraph" w:customStyle="1" w:styleId="AOCtext">
    <w:name w:val="AOC text"/>
    <w:basedOn w:val="Normal"/>
    <w:qFormat/>
    <w:rsid w:val="008C7722"/>
    <w:rPr>
      <w:sz w:val="28"/>
      <w:szCs w:val="28"/>
    </w:rPr>
  </w:style>
  <w:style w:type="paragraph" w:customStyle="1" w:styleId="TableParagraph">
    <w:name w:val="Table Paragraph"/>
    <w:basedOn w:val="Normal"/>
    <w:uiPriority w:val="1"/>
    <w:qFormat/>
    <w:rsid w:val="00500DF0"/>
    <w:pPr>
      <w:spacing w:after="0" w:line="240" w:lineRule="auto"/>
      <w:contextualSpacing/>
    </w:pPr>
    <w:rPr>
      <w:rFonts w:eastAsiaTheme="minorEastAsia"/>
    </w:rPr>
  </w:style>
  <w:style w:type="paragraph" w:styleId="TOCHeading">
    <w:name w:val="TOC Heading"/>
    <w:aliases w:val="Table Heading"/>
    <w:basedOn w:val="TableParagraph"/>
    <w:next w:val="Normal"/>
    <w:uiPriority w:val="39"/>
    <w:unhideWhenUsed/>
    <w:qFormat/>
    <w:rsid w:val="004B6AFE"/>
    <w:rPr>
      <w:b/>
    </w:rPr>
  </w:style>
  <w:style w:type="paragraph" w:styleId="TOC3">
    <w:name w:val="toc 3"/>
    <w:basedOn w:val="Normal"/>
    <w:next w:val="Normal"/>
    <w:autoRedefine/>
    <w:uiPriority w:val="39"/>
    <w:unhideWhenUsed/>
    <w:rsid w:val="00C86A7E"/>
    <w:pPr>
      <w:spacing w:after="100"/>
      <w:ind w:left="440"/>
    </w:pPr>
    <w:rPr>
      <w:sz w:val="18"/>
    </w:rPr>
  </w:style>
  <w:style w:type="paragraph" w:styleId="TOC1">
    <w:name w:val="toc 1"/>
    <w:basedOn w:val="Normal"/>
    <w:next w:val="Normal"/>
    <w:autoRedefine/>
    <w:uiPriority w:val="39"/>
    <w:unhideWhenUsed/>
    <w:rsid w:val="0034599E"/>
    <w:pPr>
      <w:tabs>
        <w:tab w:val="left" w:pos="440"/>
        <w:tab w:val="right" w:leader="dot" w:pos="9016"/>
      </w:tabs>
      <w:spacing w:after="100"/>
    </w:pPr>
    <w:rPr>
      <w:rFonts w:cs="Arial"/>
    </w:rPr>
  </w:style>
  <w:style w:type="character" w:styleId="Hyperlink">
    <w:name w:val="Hyperlink"/>
    <w:basedOn w:val="DefaultParagraphFont"/>
    <w:uiPriority w:val="99"/>
    <w:unhideWhenUsed/>
    <w:rsid w:val="000A655A"/>
    <w:rPr>
      <w:color w:val="254C8C"/>
      <w:u w:val="single"/>
    </w:rPr>
  </w:style>
  <w:style w:type="paragraph" w:styleId="TOC2">
    <w:name w:val="toc 2"/>
    <w:basedOn w:val="Normal"/>
    <w:next w:val="Normal"/>
    <w:autoRedefine/>
    <w:uiPriority w:val="39"/>
    <w:unhideWhenUsed/>
    <w:rsid w:val="008C7722"/>
    <w:pPr>
      <w:spacing w:after="100"/>
      <w:ind w:left="220"/>
    </w:pPr>
  </w:style>
  <w:style w:type="character" w:styleId="CommentReference">
    <w:name w:val="annotation reference"/>
    <w:basedOn w:val="DefaultParagraphFont"/>
    <w:uiPriority w:val="99"/>
    <w:semiHidden/>
    <w:unhideWhenUsed/>
    <w:rsid w:val="008C7722"/>
    <w:rPr>
      <w:sz w:val="16"/>
      <w:szCs w:val="16"/>
    </w:rPr>
  </w:style>
  <w:style w:type="paragraph" w:styleId="CommentText">
    <w:name w:val="annotation text"/>
    <w:basedOn w:val="Normal"/>
    <w:link w:val="CommentTextChar"/>
    <w:uiPriority w:val="99"/>
    <w:unhideWhenUsed/>
    <w:qFormat/>
    <w:rsid w:val="008C7722"/>
    <w:pPr>
      <w:widowControl w:val="0"/>
      <w:spacing w:after="0"/>
    </w:pPr>
    <w:rPr>
      <w:rFonts w:asciiTheme="minorHAnsi" w:hAnsiTheme="minorHAnsi"/>
      <w:sz w:val="20"/>
      <w:szCs w:val="20"/>
      <w:lang w:val="en-US"/>
    </w:rPr>
  </w:style>
  <w:style w:type="character" w:customStyle="1" w:styleId="CommentTextChar">
    <w:name w:val="Comment Text Char"/>
    <w:basedOn w:val="DefaultParagraphFont"/>
    <w:link w:val="CommentText"/>
    <w:uiPriority w:val="99"/>
    <w:qFormat/>
    <w:rsid w:val="008C7722"/>
    <w:rPr>
      <w:kern w:val="0"/>
      <w:sz w:val="20"/>
      <w:szCs w:val="20"/>
      <w:lang w:val="en-US"/>
    </w:rPr>
  </w:style>
  <w:style w:type="table" w:styleId="TableGrid">
    <w:name w:val="Table Grid"/>
    <w:basedOn w:val="TableNormal"/>
    <w:uiPriority w:val="59"/>
    <w:rsid w:val="008C7722"/>
    <w:pPr>
      <w:spacing w:after="0" w:line="240" w:lineRule="auto"/>
    </w:pPr>
    <w:rPr>
      <w:rFonts w:eastAsiaTheme="minorEastAsia"/>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7722"/>
    <w:pPr>
      <w:tabs>
        <w:tab w:val="center" w:pos="4513"/>
        <w:tab w:val="right" w:pos="9026"/>
      </w:tabs>
      <w:spacing w:after="0"/>
    </w:pPr>
  </w:style>
  <w:style w:type="character" w:customStyle="1" w:styleId="HeaderChar">
    <w:name w:val="Header Char"/>
    <w:basedOn w:val="DefaultParagraphFont"/>
    <w:link w:val="Header"/>
    <w:uiPriority w:val="99"/>
    <w:rsid w:val="008C7722"/>
    <w:rPr>
      <w:rFonts w:ascii="Inter" w:hAnsi="Inter"/>
    </w:rPr>
  </w:style>
  <w:style w:type="paragraph" w:styleId="Footer">
    <w:name w:val="footer"/>
    <w:basedOn w:val="Normal"/>
    <w:link w:val="FooterChar"/>
    <w:uiPriority w:val="99"/>
    <w:unhideWhenUsed/>
    <w:rsid w:val="008C7722"/>
    <w:pPr>
      <w:tabs>
        <w:tab w:val="center" w:pos="4513"/>
        <w:tab w:val="right" w:pos="9026"/>
      </w:tabs>
      <w:spacing w:after="0"/>
    </w:pPr>
  </w:style>
  <w:style w:type="character" w:customStyle="1" w:styleId="FooterChar">
    <w:name w:val="Footer Char"/>
    <w:basedOn w:val="DefaultParagraphFont"/>
    <w:link w:val="Footer"/>
    <w:uiPriority w:val="99"/>
    <w:rsid w:val="008C7722"/>
    <w:rPr>
      <w:rFonts w:ascii="Inter" w:hAnsi="Inter"/>
    </w:rPr>
  </w:style>
  <w:style w:type="paragraph" w:styleId="NormalWeb">
    <w:name w:val="Normal (Web)"/>
    <w:basedOn w:val="Normal"/>
    <w:uiPriority w:val="99"/>
    <w:semiHidden/>
    <w:unhideWhenUsed/>
    <w:rsid w:val="008C7722"/>
    <w:pPr>
      <w:spacing w:before="100" w:beforeAutospacing="1" w:after="100" w:afterAutospacing="1"/>
    </w:pPr>
    <w:rPr>
      <w:lang w:eastAsia="en-AU"/>
    </w:rPr>
  </w:style>
  <w:style w:type="character" w:styleId="Strong">
    <w:name w:val="Strong"/>
    <w:basedOn w:val="DefaultParagraphFont"/>
    <w:uiPriority w:val="22"/>
    <w:qFormat/>
    <w:rsid w:val="008C7722"/>
    <w:rPr>
      <w:b/>
      <w:bCs/>
    </w:rPr>
  </w:style>
  <w:style w:type="table" w:customStyle="1" w:styleId="ACSEStable">
    <w:name w:val="ACSES table"/>
    <w:basedOn w:val="TableNormal"/>
    <w:uiPriority w:val="99"/>
    <w:rsid w:val="00271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Inter Light" w:hAnsi="Inter Light"/>
        <w:b/>
        <w:sz w:val="22"/>
      </w:rPr>
      <w:tblPr/>
      <w:tcPr>
        <w:shd w:val="clear" w:color="auto" w:fill="78DED9" w:themeFill="accent1"/>
      </w:tcPr>
    </w:tblStylePr>
  </w:style>
  <w:style w:type="paragraph" w:styleId="Caption">
    <w:name w:val="caption"/>
    <w:basedOn w:val="Normal"/>
    <w:next w:val="Normal"/>
    <w:uiPriority w:val="35"/>
    <w:unhideWhenUsed/>
    <w:qFormat/>
    <w:rsid w:val="00D23949"/>
    <w:pPr>
      <w:keepNext/>
      <w:keepLines/>
      <w:spacing w:before="240" w:after="200"/>
      <w:contextualSpacing/>
    </w:pPr>
    <w:rPr>
      <w:i/>
      <w:iCs/>
      <w:color w:val="351C26" w:themeColor="text2"/>
      <w:szCs w:val="22"/>
    </w:rPr>
  </w:style>
  <w:style w:type="character" w:styleId="UnresolvedMention">
    <w:name w:val="Unresolved Mention"/>
    <w:basedOn w:val="DefaultParagraphFont"/>
    <w:uiPriority w:val="99"/>
    <w:semiHidden/>
    <w:unhideWhenUsed/>
    <w:rsid w:val="00F871A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65A2D"/>
    <w:pPr>
      <w:widowControl/>
      <w:spacing w:after="160"/>
    </w:pPr>
    <w:rPr>
      <w:rFonts w:ascii="Arial" w:hAnsi="Arial"/>
      <w:b/>
      <w:bCs/>
      <w:kern w:val="2"/>
      <w:lang w:val="en-AU"/>
    </w:rPr>
  </w:style>
  <w:style w:type="character" w:customStyle="1" w:styleId="CommentSubjectChar">
    <w:name w:val="Comment Subject Char"/>
    <w:basedOn w:val="CommentTextChar"/>
    <w:link w:val="CommentSubject"/>
    <w:uiPriority w:val="99"/>
    <w:semiHidden/>
    <w:rsid w:val="00565A2D"/>
    <w:rPr>
      <w:rFonts w:ascii="Arial" w:hAnsi="Arial"/>
      <w:b/>
      <w:bCs/>
      <w:kern w:val="0"/>
      <w:sz w:val="20"/>
      <w:szCs w:val="20"/>
      <w:lang w:val="en-US"/>
    </w:rPr>
  </w:style>
  <w:style w:type="paragraph" w:styleId="FootnoteText">
    <w:name w:val="footnote text"/>
    <w:basedOn w:val="Normal"/>
    <w:link w:val="FootnoteTextChar"/>
    <w:uiPriority w:val="99"/>
    <w:unhideWhenUsed/>
    <w:rsid w:val="008E418F"/>
    <w:pPr>
      <w:spacing w:after="0"/>
    </w:pPr>
    <w:rPr>
      <w:sz w:val="18"/>
      <w:szCs w:val="18"/>
    </w:rPr>
  </w:style>
  <w:style w:type="character" w:customStyle="1" w:styleId="FootnoteTextChar">
    <w:name w:val="Footnote Text Char"/>
    <w:basedOn w:val="DefaultParagraphFont"/>
    <w:link w:val="FootnoteText"/>
    <w:uiPriority w:val="99"/>
    <w:rsid w:val="008E418F"/>
    <w:rPr>
      <w:rFonts w:ascii="Arial" w:eastAsia="Times New Roman" w:hAnsi="Arial" w:cs="Times New Roman"/>
      <w:kern w:val="0"/>
      <w:sz w:val="18"/>
      <w:szCs w:val="18"/>
      <w:lang w:eastAsia="en-GB"/>
      <w14:ligatures w14:val="none"/>
    </w:rPr>
  </w:style>
  <w:style w:type="character" w:styleId="FootnoteReference">
    <w:name w:val="footnote reference"/>
    <w:basedOn w:val="DefaultParagraphFont"/>
    <w:uiPriority w:val="99"/>
    <w:semiHidden/>
    <w:unhideWhenUsed/>
    <w:rsid w:val="00565A2D"/>
    <w:rPr>
      <w:vertAlign w:val="superscript"/>
    </w:rPr>
  </w:style>
  <w:style w:type="paragraph" w:customStyle="1" w:styleId="Notes">
    <w:name w:val="Notes"/>
    <w:basedOn w:val="Normal"/>
    <w:qFormat/>
    <w:rsid w:val="007F5CA7"/>
    <w:pPr>
      <w:spacing w:before="120" w:after="240"/>
    </w:pPr>
    <w:rPr>
      <w:color w:val="351C26" w:themeColor="text1"/>
      <w:sz w:val="16"/>
    </w:rPr>
  </w:style>
  <w:style w:type="paragraph" w:customStyle="1" w:styleId="Default">
    <w:name w:val="Default"/>
    <w:rsid w:val="00ED23F1"/>
    <w:pPr>
      <w:autoSpaceDE w:val="0"/>
      <w:autoSpaceDN w:val="0"/>
      <w:adjustRightInd w:val="0"/>
      <w:spacing w:after="0" w:line="240" w:lineRule="auto"/>
    </w:pPr>
    <w:rPr>
      <w:rFonts w:ascii="Inter" w:hAnsi="Inter" w:cs="Inter"/>
      <w:color w:val="000000"/>
      <w:kern w:val="0"/>
      <w:sz w:val="24"/>
      <w:szCs w:val="24"/>
      <w:lang w:val="en-GB"/>
    </w:rPr>
  </w:style>
  <w:style w:type="paragraph" w:customStyle="1" w:styleId="FigureTitles">
    <w:name w:val="Figure Titles"/>
    <w:basedOn w:val="Normal"/>
    <w:link w:val="FigureTitlesChar"/>
    <w:qFormat/>
    <w:rsid w:val="00B576BE"/>
    <w:pPr>
      <w:spacing w:before="120"/>
      <w:jc w:val="center"/>
      <w:outlineLvl w:val="1"/>
    </w:pPr>
    <w:rPr>
      <w:b/>
      <w:color w:val="5E3243" w:themeColor="text1" w:themeTint="D9"/>
      <w:sz w:val="18"/>
    </w:rPr>
  </w:style>
  <w:style w:type="character" w:customStyle="1" w:styleId="FigureTitlesChar">
    <w:name w:val="Figure Titles Char"/>
    <w:link w:val="FigureTitles"/>
    <w:rsid w:val="00B576BE"/>
    <w:rPr>
      <w:rFonts w:ascii="Arial" w:eastAsia="Times New Roman" w:hAnsi="Arial" w:cs="Times New Roman"/>
      <w:b/>
      <w:color w:val="5E3243" w:themeColor="text1" w:themeTint="D9"/>
      <w:kern w:val="0"/>
      <w:sz w:val="18"/>
      <w:szCs w:val="24"/>
      <w14:ligatures w14:val="none"/>
    </w:rPr>
  </w:style>
  <w:style w:type="paragraph" w:customStyle="1" w:styleId="TableTitles">
    <w:name w:val="Table Titles"/>
    <w:basedOn w:val="FigureTitles"/>
    <w:link w:val="TableTitlesChar"/>
    <w:qFormat/>
    <w:rsid w:val="00597496"/>
  </w:style>
  <w:style w:type="character" w:customStyle="1" w:styleId="TableTitlesChar">
    <w:name w:val="Table Titles Char"/>
    <w:basedOn w:val="FigureTitlesChar"/>
    <w:link w:val="TableTitles"/>
    <w:rsid w:val="00597496"/>
    <w:rPr>
      <w:rFonts w:ascii="Arial" w:eastAsia="Times New Roman" w:hAnsi="Arial" w:cs="Times New Roman"/>
      <w:b/>
      <w:color w:val="5E3243" w:themeColor="text1" w:themeTint="D9"/>
      <w:kern w:val="0"/>
      <w:sz w:val="18"/>
      <w:szCs w:val="24"/>
      <w14:ligatures w14:val="none"/>
    </w:rPr>
  </w:style>
  <w:style w:type="paragraph" w:styleId="TableofFigures">
    <w:name w:val="table of figures"/>
    <w:basedOn w:val="Normal"/>
    <w:next w:val="Normal"/>
    <w:uiPriority w:val="99"/>
    <w:unhideWhenUsed/>
    <w:rsid w:val="00EB7BEC"/>
    <w:pPr>
      <w:spacing w:after="0"/>
    </w:pPr>
  </w:style>
  <w:style w:type="character" w:customStyle="1" w:styleId="apple-converted-space">
    <w:name w:val="apple-converted-space"/>
    <w:basedOn w:val="DefaultParagraphFont"/>
    <w:rsid w:val="00073484"/>
  </w:style>
  <w:style w:type="paragraph" w:customStyle="1" w:styleId="paragraph">
    <w:name w:val="paragraph"/>
    <w:basedOn w:val="Normal"/>
    <w:rsid w:val="006B5981"/>
    <w:pPr>
      <w:spacing w:before="100" w:beforeAutospacing="1" w:after="100" w:afterAutospacing="1"/>
    </w:pPr>
    <w:rPr>
      <w:rFonts w:ascii="Times New Roman" w:hAnsi="Times New Roman"/>
      <w:sz w:val="24"/>
      <w:lang w:eastAsia="zh-CN"/>
    </w:rPr>
  </w:style>
  <w:style w:type="character" w:customStyle="1" w:styleId="normaltextrun">
    <w:name w:val="normaltextrun"/>
    <w:basedOn w:val="DefaultParagraphFont"/>
    <w:rsid w:val="006B5981"/>
  </w:style>
  <w:style w:type="character" w:customStyle="1" w:styleId="eop">
    <w:name w:val="eop"/>
    <w:basedOn w:val="DefaultParagraphFont"/>
    <w:rsid w:val="006B5981"/>
  </w:style>
  <w:style w:type="paragraph" w:customStyle="1" w:styleId="headingnotitTOC">
    <w:name w:val="heading not it TOC"/>
    <w:basedOn w:val="Normal"/>
    <w:qFormat/>
    <w:rsid w:val="007F5CA7"/>
    <w:pPr>
      <w:spacing w:before="360" w:after="360"/>
      <w:ind w:left="431" w:hanging="431"/>
    </w:pPr>
    <w:rPr>
      <w:rFonts w:cs="Arial"/>
      <w:color w:val="6B3B57"/>
      <w:kern w:val="2"/>
      <w:sz w:val="52"/>
      <w:szCs w:val="40"/>
      <w:lang w:eastAsia="en-AU"/>
      <w14:ligatures w14:val="standardContextual"/>
    </w:rPr>
  </w:style>
  <w:style w:type="paragraph" w:customStyle="1" w:styleId="msonormal0">
    <w:name w:val="msonormal"/>
    <w:basedOn w:val="Normal"/>
    <w:rsid w:val="007F5CA7"/>
    <w:pPr>
      <w:spacing w:before="100" w:beforeAutospacing="1" w:after="100" w:afterAutospacing="1"/>
    </w:pPr>
    <w:rPr>
      <w:rFonts w:ascii="Times New Roman" w:hAnsi="Times New Roman"/>
      <w:sz w:val="24"/>
      <w:lang w:eastAsia="zh-CN"/>
    </w:rPr>
  </w:style>
  <w:style w:type="character" w:customStyle="1" w:styleId="textrun">
    <w:name w:val="textrun"/>
    <w:basedOn w:val="DefaultParagraphFont"/>
    <w:rsid w:val="007F5CA7"/>
  </w:style>
  <w:style w:type="paragraph" w:customStyle="1" w:styleId="outlineelement">
    <w:name w:val="outlineelement"/>
    <w:basedOn w:val="Normal"/>
    <w:rsid w:val="007F5CA7"/>
    <w:pPr>
      <w:spacing w:before="100" w:beforeAutospacing="1" w:after="100" w:afterAutospacing="1"/>
    </w:pPr>
    <w:rPr>
      <w:rFonts w:ascii="Times New Roman" w:hAnsi="Times New Roman"/>
      <w:sz w:val="24"/>
      <w:lang w:eastAsia="zh-CN"/>
    </w:rPr>
  </w:style>
  <w:style w:type="numbering" w:customStyle="1" w:styleId="CurrentList1">
    <w:name w:val="Current List1"/>
    <w:uiPriority w:val="99"/>
    <w:rsid w:val="00F124A6"/>
    <w:pPr>
      <w:numPr>
        <w:numId w:val="5"/>
      </w:numPr>
    </w:pPr>
  </w:style>
  <w:style w:type="paragraph" w:customStyle="1" w:styleId="footnote">
    <w:name w:val="footnote"/>
    <w:basedOn w:val="Notes"/>
    <w:qFormat/>
    <w:rsid w:val="002546E0"/>
  </w:style>
  <w:style w:type="numbering" w:customStyle="1" w:styleId="CurrentList2">
    <w:name w:val="Current List2"/>
    <w:uiPriority w:val="99"/>
    <w:rsid w:val="00500DF0"/>
    <w:pPr>
      <w:numPr>
        <w:numId w:val="10"/>
      </w:numPr>
    </w:pPr>
  </w:style>
  <w:style w:type="character" w:customStyle="1" w:styleId="findhit">
    <w:name w:val="findhit"/>
    <w:basedOn w:val="DefaultParagraphFont"/>
    <w:rsid w:val="004D1D42"/>
  </w:style>
  <w:style w:type="paragraph" w:styleId="Revision">
    <w:name w:val="Revision"/>
    <w:hidden/>
    <w:uiPriority w:val="99"/>
    <w:semiHidden/>
    <w:rsid w:val="00AE63DE"/>
    <w:pPr>
      <w:spacing w:after="0" w:line="240" w:lineRule="auto"/>
    </w:pPr>
    <w:rPr>
      <w:rFonts w:ascii="Arial" w:eastAsia="Times New Roman" w:hAnsi="Arial" w:cs="Times New Roman"/>
      <w:kern w:val="0"/>
      <w:szCs w:val="24"/>
      <w:lang w:eastAsia="en-GB"/>
      <w14:ligatures w14:val="none"/>
    </w:rPr>
  </w:style>
  <w:style w:type="numbering" w:customStyle="1" w:styleId="CurrentList3">
    <w:name w:val="Current List3"/>
    <w:uiPriority w:val="99"/>
    <w:rsid w:val="006518F1"/>
    <w:pPr>
      <w:numPr>
        <w:numId w:val="16"/>
      </w:numPr>
    </w:pPr>
  </w:style>
  <w:style w:type="numbering" w:customStyle="1" w:styleId="CurrentList4">
    <w:name w:val="Current List4"/>
    <w:uiPriority w:val="99"/>
    <w:rsid w:val="006518F1"/>
    <w:pPr>
      <w:numPr>
        <w:numId w:val="17"/>
      </w:numPr>
    </w:pPr>
  </w:style>
  <w:style w:type="character" w:styleId="Emphasis">
    <w:name w:val="Emphasis"/>
    <w:basedOn w:val="DefaultParagraphFont"/>
    <w:uiPriority w:val="20"/>
    <w:qFormat/>
    <w:rsid w:val="0081639B"/>
    <w:rPr>
      <w:i/>
      <w:iCs/>
    </w:rPr>
  </w:style>
  <w:style w:type="character" w:styleId="Mention">
    <w:name w:val="Mention"/>
    <w:basedOn w:val="DefaultParagraphFont"/>
    <w:uiPriority w:val="99"/>
    <w:unhideWhenUsed/>
    <w:rsid w:val="00B0404B"/>
    <w:rPr>
      <w:color w:val="2B579A"/>
      <w:shd w:val="clear" w:color="auto" w:fill="E1DFDD"/>
    </w:rPr>
  </w:style>
  <w:style w:type="character" w:customStyle="1" w:styleId="StyleHyperlink9pt">
    <w:name w:val="Style Hyperlink + 9 pt"/>
    <w:basedOn w:val="Hyperlink"/>
    <w:rsid w:val="000A655A"/>
    <w:rPr>
      <w:color w:val="254C8C"/>
      <w:sz w:val="18"/>
      <w:u w:val="single"/>
    </w:rPr>
  </w:style>
  <w:style w:type="paragraph" w:customStyle="1" w:styleId="Footnote0">
    <w:name w:val="Footnote"/>
    <w:basedOn w:val="FootnoteText"/>
    <w:qFormat/>
    <w:rsid w:val="008E418F"/>
    <w:rPr>
      <w:lang w:eastAsia="zh-CN"/>
    </w:rPr>
  </w:style>
  <w:style w:type="paragraph" w:customStyle="1" w:styleId="StyleJustifiedLeft0cmHanging127cm">
    <w:name w:val="Style Justified Left:  0 cm Hanging:  1.27 cm"/>
    <w:basedOn w:val="Normal"/>
    <w:rsid w:val="00D23949"/>
    <w:pPr>
      <w:spacing w:after="120"/>
      <w:ind w:left="720" w:hanging="720"/>
      <w:jc w:val="both"/>
    </w:pPr>
    <w:rPr>
      <w:szCs w:val="20"/>
      <w:lang w:val="en-GB"/>
    </w:rPr>
  </w:style>
  <w:style w:type="paragraph" w:customStyle="1" w:styleId="Programtitle">
    <w:name w:val="Program title"/>
    <w:basedOn w:val="Subtitle"/>
    <w:qFormat/>
    <w:rsid w:val="00D90A60"/>
    <w:pPr>
      <w:spacing w:after="360"/>
      <w:ind w:right="-1985"/>
    </w:pPr>
    <w:rPr>
      <w:sz w:val="32"/>
      <w:szCs w:val="20"/>
    </w:rPr>
  </w:style>
  <w:style w:type="character" w:customStyle="1" w:styleId="cf01">
    <w:name w:val="cf01"/>
    <w:basedOn w:val="DefaultParagraphFont"/>
    <w:rsid w:val="0076379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20885">
      <w:bodyDiv w:val="1"/>
      <w:marLeft w:val="0"/>
      <w:marRight w:val="0"/>
      <w:marTop w:val="0"/>
      <w:marBottom w:val="0"/>
      <w:divBdr>
        <w:top w:val="none" w:sz="0" w:space="0" w:color="auto"/>
        <w:left w:val="none" w:sz="0" w:space="0" w:color="auto"/>
        <w:bottom w:val="none" w:sz="0" w:space="0" w:color="auto"/>
        <w:right w:val="none" w:sz="0" w:space="0" w:color="auto"/>
      </w:divBdr>
    </w:div>
    <w:div w:id="218441580">
      <w:bodyDiv w:val="1"/>
      <w:marLeft w:val="0"/>
      <w:marRight w:val="0"/>
      <w:marTop w:val="0"/>
      <w:marBottom w:val="0"/>
      <w:divBdr>
        <w:top w:val="none" w:sz="0" w:space="0" w:color="auto"/>
        <w:left w:val="none" w:sz="0" w:space="0" w:color="auto"/>
        <w:bottom w:val="none" w:sz="0" w:space="0" w:color="auto"/>
        <w:right w:val="none" w:sz="0" w:space="0" w:color="auto"/>
      </w:divBdr>
    </w:div>
    <w:div w:id="230970415">
      <w:bodyDiv w:val="1"/>
      <w:marLeft w:val="0"/>
      <w:marRight w:val="0"/>
      <w:marTop w:val="0"/>
      <w:marBottom w:val="0"/>
      <w:divBdr>
        <w:top w:val="none" w:sz="0" w:space="0" w:color="auto"/>
        <w:left w:val="none" w:sz="0" w:space="0" w:color="auto"/>
        <w:bottom w:val="none" w:sz="0" w:space="0" w:color="auto"/>
        <w:right w:val="none" w:sz="0" w:space="0" w:color="auto"/>
      </w:divBdr>
    </w:div>
    <w:div w:id="332607845">
      <w:bodyDiv w:val="1"/>
      <w:marLeft w:val="0"/>
      <w:marRight w:val="0"/>
      <w:marTop w:val="0"/>
      <w:marBottom w:val="0"/>
      <w:divBdr>
        <w:top w:val="none" w:sz="0" w:space="0" w:color="auto"/>
        <w:left w:val="none" w:sz="0" w:space="0" w:color="auto"/>
        <w:bottom w:val="none" w:sz="0" w:space="0" w:color="auto"/>
        <w:right w:val="none" w:sz="0" w:space="0" w:color="auto"/>
      </w:divBdr>
    </w:div>
    <w:div w:id="423844498">
      <w:bodyDiv w:val="1"/>
      <w:marLeft w:val="0"/>
      <w:marRight w:val="0"/>
      <w:marTop w:val="0"/>
      <w:marBottom w:val="0"/>
      <w:divBdr>
        <w:top w:val="none" w:sz="0" w:space="0" w:color="auto"/>
        <w:left w:val="none" w:sz="0" w:space="0" w:color="auto"/>
        <w:bottom w:val="none" w:sz="0" w:space="0" w:color="auto"/>
        <w:right w:val="none" w:sz="0" w:space="0" w:color="auto"/>
      </w:divBdr>
    </w:div>
    <w:div w:id="447899052">
      <w:bodyDiv w:val="1"/>
      <w:marLeft w:val="0"/>
      <w:marRight w:val="0"/>
      <w:marTop w:val="0"/>
      <w:marBottom w:val="0"/>
      <w:divBdr>
        <w:top w:val="none" w:sz="0" w:space="0" w:color="auto"/>
        <w:left w:val="none" w:sz="0" w:space="0" w:color="auto"/>
        <w:bottom w:val="none" w:sz="0" w:space="0" w:color="auto"/>
        <w:right w:val="none" w:sz="0" w:space="0" w:color="auto"/>
      </w:divBdr>
    </w:div>
    <w:div w:id="481430197">
      <w:bodyDiv w:val="1"/>
      <w:marLeft w:val="0"/>
      <w:marRight w:val="0"/>
      <w:marTop w:val="0"/>
      <w:marBottom w:val="0"/>
      <w:divBdr>
        <w:top w:val="none" w:sz="0" w:space="0" w:color="auto"/>
        <w:left w:val="none" w:sz="0" w:space="0" w:color="auto"/>
        <w:bottom w:val="none" w:sz="0" w:space="0" w:color="auto"/>
        <w:right w:val="none" w:sz="0" w:space="0" w:color="auto"/>
      </w:divBdr>
    </w:div>
    <w:div w:id="666708604">
      <w:bodyDiv w:val="1"/>
      <w:marLeft w:val="0"/>
      <w:marRight w:val="0"/>
      <w:marTop w:val="0"/>
      <w:marBottom w:val="0"/>
      <w:divBdr>
        <w:top w:val="none" w:sz="0" w:space="0" w:color="auto"/>
        <w:left w:val="none" w:sz="0" w:space="0" w:color="auto"/>
        <w:bottom w:val="none" w:sz="0" w:space="0" w:color="auto"/>
        <w:right w:val="none" w:sz="0" w:space="0" w:color="auto"/>
      </w:divBdr>
      <w:divsChild>
        <w:div w:id="352397">
          <w:marLeft w:val="0"/>
          <w:marRight w:val="0"/>
          <w:marTop w:val="0"/>
          <w:marBottom w:val="0"/>
          <w:divBdr>
            <w:top w:val="none" w:sz="0" w:space="0" w:color="auto"/>
            <w:left w:val="none" w:sz="0" w:space="0" w:color="auto"/>
            <w:bottom w:val="none" w:sz="0" w:space="0" w:color="auto"/>
            <w:right w:val="none" w:sz="0" w:space="0" w:color="auto"/>
          </w:divBdr>
        </w:div>
        <w:div w:id="2174952">
          <w:marLeft w:val="0"/>
          <w:marRight w:val="0"/>
          <w:marTop w:val="0"/>
          <w:marBottom w:val="0"/>
          <w:divBdr>
            <w:top w:val="none" w:sz="0" w:space="0" w:color="auto"/>
            <w:left w:val="none" w:sz="0" w:space="0" w:color="auto"/>
            <w:bottom w:val="none" w:sz="0" w:space="0" w:color="auto"/>
            <w:right w:val="none" w:sz="0" w:space="0" w:color="auto"/>
          </w:divBdr>
        </w:div>
        <w:div w:id="13117669">
          <w:marLeft w:val="0"/>
          <w:marRight w:val="0"/>
          <w:marTop w:val="0"/>
          <w:marBottom w:val="0"/>
          <w:divBdr>
            <w:top w:val="none" w:sz="0" w:space="0" w:color="auto"/>
            <w:left w:val="none" w:sz="0" w:space="0" w:color="auto"/>
            <w:bottom w:val="none" w:sz="0" w:space="0" w:color="auto"/>
            <w:right w:val="none" w:sz="0" w:space="0" w:color="auto"/>
          </w:divBdr>
        </w:div>
        <w:div w:id="19478230">
          <w:marLeft w:val="0"/>
          <w:marRight w:val="0"/>
          <w:marTop w:val="0"/>
          <w:marBottom w:val="0"/>
          <w:divBdr>
            <w:top w:val="none" w:sz="0" w:space="0" w:color="auto"/>
            <w:left w:val="none" w:sz="0" w:space="0" w:color="auto"/>
            <w:bottom w:val="none" w:sz="0" w:space="0" w:color="auto"/>
            <w:right w:val="none" w:sz="0" w:space="0" w:color="auto"/>
          </w:divBdr>
        </w:div>
        <w:div w:id="19933762">
          <w:marLeft w:val="0"/>
          <w:marRight w:val="0"/>
          <w:marTop w:val="0"/>
          <w:marBottom w:val="0"/>
          <w:divBdr>
            <w:top w:val="none" w:sz="0" w:space="0" w:color="auto"/>
            <w:left w:val="none" w:sz="0" w:space="0" w:color="auto"/>
            <w:bottom w:val="none" w:sz="0" w:space="0" w:color="auto"/>
            <w:right w:val="none" w:sz="0" w:space="0" w:color="auto"/>
          </w:divBdr>
        </w:div>
        <w:div w:id="22943184">
          <w:marLeft w:val="0"/>
          <w:marRight w:val="0"/>
          <w:marTop w:val="0"/>
          <w:marBottom w:val="0"/>
          <w:divBdr>
            <w:top w:val="none" w:sz="0" w:space="0" w:color="auto"/>
            <w:left w:val="none" w:sz="0" w:space="0" w:color="auto"/>
            <w:bottom w:val="none" w:sz="0" w:space="0" w:color="auto"/>
            <w:right w:val="none" w:sz="0" w:space="0" w:color="auto"/>
          </w:divBdr>
        </w:div>
        <w:div w:id="26761636">
          <w:marLeft w:val="0"/>
          <w:marRight w:val="0"/>
          <w:marTop w:val="0"/>
          <w:marBottom w:val="0"/>
          <w:divBdr>
            <w:top w:val="none" w:sz="0" w:space="0" w:color="auto"/>
            <w:left w:val="none" w:sz="0" w:space="0" w:color="auto"/>
            <w:bottom w:val="none" w:sz="0" w:space="0" w:color="auto"/>
            <w:right w:val="none" w:sz="0" w:space="0" w:color="auto"/>
          </w:divBdr>
        </w:div>
        <w:div w:id="36779952">
          <w:marLeft w:val="0"/>
          <w:marRight w:val="0"/>
          <w:marTop w:val="0"/>
          <w:marBottom w:val="0"/>
          <w:divBdr>
            <w:top w:val="none" w:sz="0" w:space="0" w:color="auto"/>
            <w:left w:val="none" w:sz="0" w:space="0" w:color="auto"/>
            <w:bottom w:val="none" w:sz="0" w:space="0" w:color="auto"/>
            <w:right w:val="none" w:sz="0" w:space="0" w:color="auto"/>
          </w:divBdr>
        </w:div>
        <w:div w:id="40063237">
          <w:marLeft w:val="0"/>
          <w:marRight w:val="0"/>
          <w:marTop w:val="0"/>
          <w:marBottom w:val="0"/>
          <w:divBdr>
            <w:top w:val="none" w:sz="0" w:space="0" w:color="auto"/>
            <w:left w:val="none" w:sz="0" w:space="0" w:color="auto"/>
            <w:bottom w:val="none" w:sz="0" w:space="0" w:color="auto"/>
            <w:right w:val="none" w:sz="0" w:space="0" w:color="auto"/>
          </w:divBdr>
        </w:div>
        <w:div w:id="50926167">
          <w:marLeft w:val="0"/>
          <w:marRight w:val="0"/>
          <w:marTop w:val="0"/>
          <w:marBottom w:val="0"/>
          <w:divBdr>
            <w:top w:val="none" w:sz="0" w:space="0" w:color="auto"/>
            <w:left w:val="none" w:sz="0" w:space="0" w:color="auto"/>
            <w:bottom w:val="none" w:sz="0" w:space="0" w:color="auto"/>
            <w:right w:val="none" w:sz="0" w:space="0" w:color="auto"/>
          </w:divBdr>
        </w:div>
        <w:div w:id="55784203">
          <w:marLeft w:val="0"/>
          <w:marRight w:val="0"/>
          <w:marTop w:val="0"/>
          <w:marBottom w:val="0"/>
          <w:divBdr>
            <w:top w:val="none" w:sz="0" w:space="0" w:color="auto"/>
            <w:left w:val="none" w:sz="0" w:space="0" w:color="auto"/>
            <w:bottom w:val="none" w:sz="0" w:space="0" w:color="auto"/>
            <w:right w:val="none" w:sz="0" w:space="0" w:color="auto"/>
          </w:divBdr>
        </w:div>
        <w:div w:id="62874628">
          <w:marLeft w:val="0"/>
          <w:marRight w:val="0"/>
          <w:marTop w:val="0"/>
          <w:marBottom w:val="0"/>
          <w:divBdr>
            <w:top w:val="none" w:sz="0" w:space="0" w:color="auto"/>
            <w:left w:val="none" w:sz="0" w:space="0" w:color="auto"/>
            <w:bottom w:val="none" w:sz="0" w:space="0" w:color="auto"/>
            <w:right w:val="none" w:sz="0" w:space="0" w:color="auto"/>
          </w:divBdr>
        </w:div>
        <w:div w:id="74598301">
          <w:marLeft w:val="0"/>
          <w:marRight w:val="0"/>
          <w:marTop w:val="0"/>
          <w:marBottom w:val="0"/>
          <w:divBdr>
            <w:top w:val="none" w:sz="0" w:space="0" w:color="auto"/>
            <w:left w:val="none" w:sz="0" w:space="0" w:color="auto"/>
            <w:bottom w:val="none" w:sz="0" w:space="0" w:color="auto"/>
            <w:right w:val="none" w:sz="0" w:space="0" w:color="auto"/>
          </w:divBdr>
        </w:div>
        <w:div w:id="81726701">
          <w:marLeft w:val="0"/>
          <w:marRight w:val="0"/>
          <w:marTop w:val="0"/>
          <w:marBottom w:val="0"/>
          <w:divBdr>
            <w:top w:val="none" w:sz="0" w:space="0" w:color="auto"/>
            <w:left w:val="none" w:sz="0" w:space="0" w:color="auto"/>
            <w:bottom w:val="none" w:sz="0" w:space="0" w:color="auto"/>
            <w:right w:val="none" w:sz="0" w:space="0" w:color="auto"/>
          </w:divBdr>
        </w:div>
        <w:div w:id="105538960">
          <w:marLeft w:val="0"/>
          <w:marRight w:val="0"/>
          <w:marTop w:val="0"/>
          <w:marBottom w:val="0"/>
          <w:divBdr>
            <w:top w:val="none" w:sz="0" w:space="0" w:color="auto"/>
            <w:left w:val="none" w:sz="0" w:space="0" w:color="auto"/>
            <w:bottom w:val="none" w:sz="0" w:space="0" w:color="auto"/>
            <w:right w:val="none" w:sz="0" w:space="0" w:color="auto"/>
          </w:divBdr>
        </w:div>
        <w:div w:id="109010673">
          <w:marLeft w:val="0"/>
          <w:marRight w:val="0"/>
          <w:marTop w:val="0"/>
          <w:marBottom w:val="0"/>
          <w:divBdr>
            <w:top w:val="none" w:sz="0" w:space="0" w:color="auto"/>
            <w:left w:val="none" w:sz="0" w:space="0" w:color="auto"/>
            <w:bottom w:val="none" w:sz="0" w:space="0" w:color="auto"/>
            <w:right w:val="none" w:sz="0" w:space="0" w:color="auto"/>
          </w:divBdr>
        </w:div>
        <w:div w:id="116995138">
          <w:marLeft w:val="0"/>
          <w:marRight w:val="0"/>
          <w:marTop w:val="0"/>
          <w:marBottom w:val="0"/>
          <w:divBdr>
            <w:top w:val="none" w:sz="0" w:space="0" w:color="auto"/>
            <w:left w:val="none" w:sz="0" w:space="0" w:color="auto"/>
            <w:bottom w:val="none" w:sz="0" w:space="0" w:color="auto"/>
            <w:right w:val="none" w:sz="0" w:space="0" w:color="auto"/>
          </w:divBdr>
        </w:div>
        <w:div w:id="117070639">
          <w:marLeft w:val="0"/>
          <w:marRight w:val="0"/>
          <w:marTop w:val="0"/>
          <w:marBottom w:val="0"/>
          <w:divBdr>
            <w:top w:val="none" w:sz="0" w:space="0" w:color="auto"/>
            <w:left w:val="none" w:sz="0" w:space="0" w:color="auto"/>
            <w:bottom w:val="none" w:sz="0" w:space="0" w:color="auto"/>
            <w:right w:val="none" w:sz="0" w:space="0" w:color="auto"/>
          </w:divBdr>
        </w:div>
        <w:div w:id="132455947">
          <w:marLeft w:val="0"/>
          <w:marRight w:val="0"/>
          <w:marTop w:val="0"/>
          <w:marBottom w:val="0"/>
          <w:divBdr>
            <w:top w:val="none" w:sz="0" w:space="0" w:color="auto"/>
            <w:left w:val="none" w:sz="0" w:space="0" w:color="auto"/>
            <w:bottom w:val="none" w:sz="0" w:space="0" w:color="auto"/>
            <w:right w:val="none" w:sz="0" w:space="0" w:color="auto"/>
          </w:divBdr>
        </w:div>
        <w:div w:id="137842917">
          <w:marLeft w:val="0"/>
          <w:marRight w:val="0"/>
          <w:marTop w:val="0"/>
          <w:marBottom w:val="0"/>
          <w:divBdr>
            <w:top w:val="none" w:sz="0" w:space="0" w:color="auto"/>
            <w:left w:val="none" w:sz="0" w:space="0" w:color="auto"/>
            <w:bottom w:val="none" w:sz="0" w:space="0" w:color="auto"/>
            <w:right w:val="none" w:sz="0" w:space="0" w:color="auto"/>
          </w:divBdr>
        </w:div>
        <w:div w:id="138034602">
          <w:marLeft w:val="0"/>
          <w:marRight w:val="0"/>
          <w:marTop w:val="0"/>
          <w:marBottom w:val="0"/>
          <w:divBdr>
            <w:top w:val="none" w:sz="0" w:space="0" w:color="auto"/>
            <w:left w:val="none" w:sz="0" w:space="0" w:color="auto"/>
            <w:bottom w:val="none" w:sz="0" w:space="0" w:color="auto"/>
            <w:right w:val="none" w:sz="0" w:space="0" w:color="auto"/>
          </w:divBdr>
        </w:div>
        <w:div w:id="145441100">
          <w:marLeft w:val="0"/>
          <w:marRight w:val="0"/>
          <w:marTop w:val="0"/>
          <w:marBottom w:val="0"/>
          <w:divBdr>
            <w:top w:val="none" w:sz="0" w:space="0" w:color="auto"/>
            <w:left w:val="none" w:sz="0" w:space="0" w:color="auto"/>
            <w:bottom w:val="none" w:sz="0" w:space="0" w:color="auto"/>
            <w:right w:val="none" w:sz="0" w:space="0" w:color="auto"/>
          </w:divBdr>
        </w:div>
        <w:div w:id="151602000">
          <w:marLeft w:val="0"/>
          <w:marRight w:val="0"/>
          <w:marTop w:val="0"/>
          <w:marBottom w:val="0"/>
          <w:divBdr>
            <w:top w:val="none" w:sz="0" w:space="0" w:color="auto"/>
            <w:left w:val="none" w:sz="0" w:space="0" w:color="auto"/>
            <w:bottom w:val="none" w:sz="0" w:space="0" w:color="auto"/>
            <w:right w:val="none" w:sz="0" w:space="0" w:color="auto"/>
          </w:divBdr>
        </w:div>
        <w:div w:id="194538175">
          <w:marLeft w:val="0"/>
          <w:marRight w:val="0"/>
          <w:marTop w:val="0"/>
          <w:marBottom w:val="0"/>
          <w:divBdr>
            <w:top w:val="none" w:sz="0" w:space="0" w:color="auto"/>
            <w:left w:val="none" w:sz="0" w:space="0" w:color="auto"/>
            <w:bottom w:val="none" w:sz="0" w:space="0" w:color="auto"/>
            <w:right w:val="none" w:sz="0" w:space="0" w:color="auto"/>
          </w:divBdr>
        </w:div>
        <w:div w:id="199560894">
          <w:marLeft w:val="0"/>
          <w:marRight w:val="0"/>
          <w:marTop w:val="0"/>
          <w:marBottom w:val="0"/>
          <w:divBdr>
            <w:top w:val="none" w:sz="0" w:space="0" w:color="auto"/>
            <w:left w:val="none" w:sz="0" w:space="0" w:color="auto"/>
            <w:bottom w:val="none" w:sz="0" w:space="0" w:color="auto"/>
            <w:right w:val="none" w:sz="0" w:space="0" w:color="auto"/>
          </w:divBdr>
        </w:div>
        <w:div w:id="202056351">
          <w:marLeft w:val="0"/>
          <w:marRight w:val="0"/>
          <w:marTop w:val="0"/>
          <w:marBottom w:val="0"/>
          <w:divBdr>
            <w:top w:val="none" w:sz="0" w:space="0" w:color="auto"/>
            <w:left w:val="none" w:sz="0" w:space="0" w:color="auto"/>
            <w:bottom w:val="none" w:sz="0" w:space="0" w:color="auto"/>
            <w:right w:val="none" w:sz="0" w:space="0" w:color="auto"/>
          </w:divBdr>
        </w:div>
        <w:div w:id="205140423">
          <w:marLeft w:val="0"/>
          <w:marRight w:val="0"/>
          <w:marTop w:val="0"/>
          <w:marBottom w:val="0"/>
          <w:divBdr>
            <w:top w:val="none" w:sz="0" w:space="0" w:color="auto"/>
            <w:left w:val="none" w:sz="0" w:space="0" w:color="auto"/>
            <w:bottom w:val="none" w:sz="0" w:space="0" w:color="auto"/>
            <w:right w:val="none" w:sz="0" w:space="0" w:color="auto"/>
          </w:divBdr>
        </w:div>
        <w:div w:id="209540637">
          <w:marLeft w:val="0"/>
          <w:marRight w:val="0"/>
          <w:marTop w:val="0"/>
          <w:marBottom w:val="0"/>
          <w:divBdr>
            <w:top w:val="none" w:sz="0" w:space="0" w:color="auto"/>
            <w:left w:val="none" w:sz="0" w:space="0" w:color="auto"/>
            <w:bottom w:val="none" w:sz="0" w:space="0" w:color="auto"/>
            <w:right w:val="none" w:sz="0" w:space="0" w:color="auto"/>
          </w:divBdr>
        </w:div>
        <w:div w:id="210387343">
          <w:marLeft w:val="0"/>
          <w:marRight w:val="0"/>
          <w:marTop w:val="0"/>
          <w:marBottom w:val="0"/>
          <w:divBdr>
            <w:top w:val="none" w:sz="0" w:space="0" w:color="auto"/>
            <w:left w:val="none" w:sz="0" w:space="0" w:color="auto"/>
            <w:bottom w:val="none" w:sz="0" w:space="0" w:color="auto"/>
            <w:right w:val="none" w:sz="0" w:space="0" w:color="auto"/>
          </w:divBdr>
        </w:div>
        <w:div w:id="217405033">
          <w:marLeft w:val="0"/>
          <w:marRight w:val="0"/>
          <w:marTop w:val="0"/>
          <w:marBottom w:val="0"/>
          <w:divBdr>
            <w:top w:val="none" w:sz="0" w:space="0" w:color="auto"/>
            <w:left w:val="none" w:sz="0" w:space="0" w:color="auto"/>
            <w:bottom w:val="none" w:sz="0" w:space="0" w:color="auto"/>
            <w:right w:val="none" w:sz="0" w:space="0" w:color="auto"/>
          </w:divBdr>
        </w:div>
        <w:div w:id="221453521">
          <w:marLeft w:val="0"/>
          <w:marRight w:val="0"/>
          <w:marTop w:val="0"/>
          <w:marBottom w:val="0"/>
          <w:divBdr>
            <w:top w:val="none" w:sz="0" w:space="0" w:color="auto"/>
            <w:left w:val="none" w:sz="0" w:space="0" w:color="auto"/>
            <w:bottom w:val="none" w:sz="0" w:space="0" w:color="auto"/>
            <w:right w:val="none" w:sz="0" w:space="0" w:color="auto"/>
          </w:divBdr>
        </w:div>
        <w:div w:id="225378922">
          <w:marLeft w:val="0"/>
          <w:marRight w:val="0"/>
          <w:marTop w:val="0"/>
          <w:marBottom w:val="0"/>
          <w:divBdr>
            <w:top w:val="none" w:sz="0" w:space="0" w:color="auto"/>
            <w:left w:val="none" w:sz="0" w:space="0" w:color="auto"/>
            <w:bottom w:val="none" w:sz="0" w:space="0" w:color="auto"/>
            <w:right w:val="none" w:sz="0" w:space="0" w:color="auto"/>
          </w:divBdr>
        </w:div>
        <w:div w:id="226115872">
          <w:marLeft w:val="0"/>
          <w:marRight w:val="0"/>
          <w:marTop w:val="0"/>
          <w:marBottom w:val="0"/>
          <w:divBdr>
            <w:top w:val="none" w:sz="0" w:space="0" w:color="auto"/>
            <w:left w:val="none" w:sz="0" w:space="0" w:color="auto"/>
            <w:bottom w:val="none" w:sz="0" w:space="0" w:color="auto"/>
            <w:right w:val="none" w:sz="0" w:space="0" w:color="auto"/>
          </w:divBdr>
        </w:div>
        <w:div w:id="229314156">
          <w:marLeft w:val="0"/>
          <w:marRight w:val="0"/>
          <w:marTop w:val="0"/>
          <w:marBottom w:val="0"/>
          <w:divBdr>
            <w:top w:val="none" w:sz="0" w:space="0" w:color="auto"/>
            <w:left w:val="none" w:sz="0" w:space="0" w:color="auto"/>
            <w:bottom w:val="none" w:sz="0" w:space="0" w:color="auto"/>
            <w:right w:val="none" w:sz="0" w:space="0" w:color="auto"/>
          </w:divBdr>
        </w:div>
        <w:div w:id="237642638">
          <w:marLeft w:val="0"/>
          <w:marRight w:val="0"/>
          <w:marTop w:val="0"/>
          <w:marBottom w:val="0"/>
          <w:divBdr>
            <w:top w:val="none" w:sz="0" w:space="0" w:color="auto"/>
            <w:left w:val="none" w:sz="0" w:space="0" w:color="auto"/>
            <w:bottom w:val="none" w:sz="0" w:space="0" w:color="auto"/>
            <w:right w:val="none" w:sz="0" w:space="0" w:color="auto"/>
          </w:divBdr>
        </w:div>
        <w:div w:id="239602839">
          <w:marLeft w:val="0"/>
          <w:marRight w:val="0"/>
          <w:marTop w:val="0"/>
          <w:marBottom w:val="0"/>
          <w:divBdr>
            <w:top w:val="none" w:sz="0" w:space="0" w:color="auto"/>
            <w:left w:val="none" w:sz="0" w:space="0" w:color="auto"/>
            <w:bottom w:val="none" w:sz="0" w:space="0" w:color="auto"/>
            <w:right w:val="none" w:sz="0" w:space="0" w:color="auto"/>
          </w:divBdr>
        </w:div>
        <w:div w:id="242646591">
          <w:marLeft w:val="0"/>
          <w:marRight w:val="0"/>
          <w:marTop w:val="0"/>
          <w:marBottom w:val="0"/>
          <w:divBdr>
            <w:top w:val="none" w:sz="0" w:space="0" w:color="auto"/>
            <w:left w:val="none" w:sz="0" w:space="0" w:color="auto"/>
            <w:bottom w:val="none" w:sz="0" w:space="0" w:color="auto"/>
            <w:right w:val="none" w:sz="0" w:space="0" w:color="auto"/>
          </w:divBdr>
        </w:div>
        <w:div w:id="245309154">
          <w:marLeft w:val="0"/>
          <w:marRight w:val="0"/>
          <w:marTop w:val="0"/>
          <w:marBottom w:val="0"/>
          <w:divBdr>
            <w:top w:val="none" w:sz="0" w:space="0" w:color="auto"/>
            <w:left w:val="none" w:sz="0" w:space="0" w:color="auto"/>
            <w:bottom w:val="none" w:sz="0" w:space="0" w:color="auto"/>
            <w:right w:val="none" w:sz="0" w:space="0" w:color="auto"/>
          </w:divBdr>
        </w:div>
        <w:div w:id="260577662">
          <w:marLeft w:val="0"/>
          <w:marRight w:val="0"/>
          <w:marTop w:val="0"/>
          <w:marBottom w:val="0"/>
          <w:divBdr>
            <w:top w:val="none" w:sz="0" w:space="0" w:color="auto"/>
            <w:left w:val="none" w:sz="0" w:space="0" w:color="auto"/>
            <w:bottom w:val="none" w:sz="0" w:space="0" w:color="auto"/>
            <w:right w:val="none" w:sz="0" w:space="0" w:color="auto"/>
          </w:divBdr>
        </w:div>
        <w:div w:id="283777612">
          <w:marLeft w:val="0"/>
          <w:marRight w:val="0"/>
          <w:marTop w:val="0"/>
          <w:marBottom w:val="0"/>
          <w:divBdr>
            <w:top w:val="none" w:sz="0" w:space="0" w:color="auto"/>
            <w:left w:val="none" w:sz="0" w:space="0" w:color="auto"/>
            <w:bottom w:val="none" w:sz="0" w:space="0" w:color="auto"/>
            <w:right w:val="none" w:sz="0" w:space="0" w:color="auto"/>
          </w:divBdr>
        </w:div>
        <w:div w:id="287396468">
          <w:marLeft w:val="0"/>
          <w:marRight w:val="0"/>
          <w:marTop w:val="0"/>
          <w:marBottom w:val="0"/>
          <w:divBdr>
            <w:top w:val="none" w:sz="0" w:space="0" w:color="auto"/>
            <w:left w:val="none" w:sz="0" w:space="0" w:color="auto"/>
            <w:bottom w:val="none" w:sz="0" w:space="0" w:color="auto"/>
            <w:right w:val="none" w:sz="0" w:space="0" w:color="auto"/>
          </w:divBdr>
        </w:div>
        <w:div w:id="300428416">
          <w:marLeft w:val="0"/>
          <w:marRight w:val="0"/>
          <w:marTop w:val="0"/>
          <w:marBottom w:val="0"/>
          <w:divBdr>
            <w:top w:val="none" w:sz="0" w:space="0" w:color="auto"/>
            <w:left w:val="none" w:sz="0" w:space="0" w:color="auto"/>
            <w:bottom w:val="none" w:sz="0" w:space="0" w:color="auto"/>
            <w:right w:val="none" w:sz="0" w:space="0" w:color="auto"/>
          </w:divBdr>
        </w:div>
        <w:div w:id="314837908">
          <w:marLeft w:val="0"/>
          <w:marRight w:val="0"/>
          <w:marTop w:val="0"/>
          <w:marBottom w:val="0"/>
          <w:divBdr>
            <w:top w:val="none" w:sz="0" w:space="0" w:color="auto"/>
            <w:left w:val="none" w:sz="0" w:space="0" w:color="auto"/>
            <w:bottom w:val="none" w:sz="0" w:space="0" w:color="auto"/>
            <w:right w:val="none" w:sz="0" w:space="0" w:color="auto"/>
          </w:divBdr>
        </w:div>
        <w:div w:id="316374198">
          <w:marLeft w:val="0"/>
          <w:marRight w:val="0"/>
          <w:marTop w:val="0"/>
          <w:marBottom w:val="0"/>
          <w:divBdr>
            <w:top w:val="none" w:sz="0" w:space="0" w:color="auto"/>
            <w:left w:val="none" w:sz="0" w:space="0" w:color="auto"/>
            <w:bottom w:val="none" w:sz="0" w:space="0" w:color="auto"/>
            <w:right w:val="none" w:sz="0" w:space="0" w:color="auto"/>
          </w:divBdr>
        </w:div>
        <w:div w:id="321395853">
          <w:marLeft w:val="0"/>
          <w:marRight w:val="0"/>
          <w:marTop w:val="0"/>
          <w:marBottom w:val="0"/>
          <w:divBdr>
            <w:top w:val="none" w:sz="0" w:space="0" w:color="auto"/>
            <w:left w:val="none" w:sz="0" w:space="0" w:color="auto"/>
            <w:bottom w:val="none" w:sz="0" w:space="0" w:color="auto"/>
            <w:right w:val="none" w:sz="0" w:space="0" w:color="auto"/>
          </w:divBdr>
        </w:div>
        <w:div w:id="334193888">
          <w:marLeft w:val="0"/>
          <w:marRight w:val="0"/>
          <w:marTop w:val="0"/>
          <w:marBottom w:val="0"/>
          <w:divBdr>
            <w:top w:val="none" w:sz="0" w:space="0" w:color="auto"/>
            <w:left w:val="none" w:sz="0" w:space="0" w:color="auto"/>
            <w:bottom w:val="none" w:sz="0" w:space="0" w:color="auto"/>
            <w:right w:val="none" w:sz="0" w:space="0" w:color="auto"/>
          </w:divBdr>
        </w:div>
        <w:div w:id="338700159">
          <w:marLeft w:val="0"/>
          <w:marRight w:val="0"/>
          <w:marTop w:val="0"/>
          <w:marBottom w:val="0"/>
          <w:divBdr>
            <w:top w:val="none" w:sz="0" w:space="0" w:color="auto"/>
            <w:left w:val="none" w:sz="0" w:space="0" w:color="auto"/>
            <w:bottom w:val="none" w:sz="0" w:space="0" w:color="auto"/>
            <w:right w:val="none" w:sz="0" w:space="0" w:color="auto"/>
          </w:divBdr>
        </w:div>
        <w:div w:id="357003666">
          <w:marLeft w:val="0"/>
          <w:marRight w:val="0"/>
          <w:marTop w:val="0"/>
          <w:marBottom w:val="0"/>
          <w:divBdr>
            <w:top w:val="none" w:sz="0" w:space="0" w:color="auto"/>
            <w:left w:val="none" w:sz="0" w:space="0" w:color="auto"/>
            <w:bottom w:val="none" w:sz="0" w:space="0" w:color="auto"/>
            <w:right w:val="none" w:sz="0" w:space="0" w:color="auto"/>
          </w:divBdr>
        </w:div>
        <w:div w:id="357900668">
          <w:marLeft w:val="0"/>
          <w:marRight w:val="0"/>
          <w:marTop w:val="0"/>
          <w:marBottom w:val="0"/>
          <w:divBdr>
            <w:top w:val="none" w:sz="0" w:space="0" w:color="auto"/>
            <w:left w:val="none" w:sz="0" w:space="0" w:color="auto"/>
            <w:bottom w:val="none" w:sz="0" w:space="0" w:color="auto"/>
            <w:right w:val="none" w:sz="0" w:space="0" w:color="auto"/>
          </w:divBdr>
        </w:div>
        <w:div w:id="363604068">
          <w:marLeft w:val="0"/>
          <w:marRight w:val="0"/>
          <w:marTop w:val="0"/>
          <w:marBottom w:val="0"/>
          <w:divBdr>
            <w:top w:val="none" w:sz="0" w:space="0" w:color="auto"/>
            <w:left w:val="none" w:sz="0" w:space="0" w:color="auto"/>
            <w:bottom w:val="none" w:sz="0" w:space="0" w:color="auto"/>
            <w:right w:val="none" w:sz="0" w:space="0" w:color="auto"/>
          </w:divBdr>
        </w:div>
        <w:div w:id="378823466">
          <w:marLeft w:val="0"/>
          <w:marRight w:val="0"/>
          <w:marTop w:val="0"/>
          <w:marBottom w:val="0"/>
          <w:divBdr>
            <w:top w:val="none" w:sz="0" w:space="0" w:color="auto"/>
            <w:left w:val="none" w:sz="0" w:space="0" w:color="auto"/>
            <w:bottom w:val="none" w:sz="0" w:space="0" w:color="auto"/>
            <w:right w:val="none" w:sz="0" w:space="0" w:color="auto"/>
          </w:divBdr>
        </w:div>
        <w:div w:id="383260473">
          <w:marLeft w:val="0"/>
          <w:marRight w:val="0"/>
          <w:marTop w:val="0"/>
          <w:marBottom w:val="0"/>
          <w:divBdr>
            <w:top w:val="none" w:sz="0" w:space="0" w:color="auto"/>
            <w:left w:val="none" w:sz="0" w:space="0" w:color="auto"/>
            <w:bottom w:val="none" w:sz="0" w:space="0" w:color="auto"/>
            <w:right w:val="none" w:sz="0" w:space="0" w:color="auto"/>
          </w:divBdr>
        </w:div>
        <w:div w:id="396317288">
          <w:marLeft w:val="0"/>
          <w:marRight w:val="0"/>
          <w:marTop w:val="0"/>
          <w:marBottom w:val="0"/>
          <w:divBdr>
            <w:top w:val="none" w:sz="0" w:space="0" w:color="auto"/>
            <w:left w:val="none" w:sz="0" w:space="0" w:color="auto"/>
            <w:bottom w:val="none" w:sz="0" w:space="0" w:color="auto"/>
            <w:right w:val="none" w:sz="0" w:space="0" w:color="auto"/>
          </w:divBdr>
        </w:div>
        <w:div w:id="400099031">
          <w:marLeft w:val="0"/>
          <w:marRight w:val="0"/>
          <w:marTop w:val="0"/>
          <w:marBottom w:val="0"/>
          <w:divBdr>
            <w:top w:val="none" w:sz="0" w:space="0" w:color="auto"/>
            <w:left w:val="none" w:sz="0" w:space="0" w:color="auto"/>
            <w:bottom w:val="none" w:sz="0" w:space="0" w:color="auto"/>
            <w:right w:val="none" w:sz="0" w:space="0" w:color="auto"/>
          </w:divBdr>
        </w:div>
        <w:div w:id="415177405">
          <w:marLeft w:val="0"/>
          <w:marRight w:val="0"/>
          <w:marTop w:val="0"/>
          <w:marBottom w:val="0"/>
          <w:divBdr>
            <w:top w:val="none" w:sz="0" w:space="0" w:color="auto"/>
            <w:left w:val="none" w:sz="0" w:space="0" w:color="auto"/>
            <w:bottom w:val="none" w:sz="0" w:space="0" w:color="auto"/>
            <w:right w:val="none" w:sz="0" w:space="0" w:color="auto"/>
          </w:divBdr>
        </w:div>
        <w:div w:id="423378830">
          <w:marLeft w:val="0"/>
          <w:marRight w:val="0"/>
          <w:marTop w:val="0"/>
          <w:marBottom w:val="0"/>
          <w:divBdr>
            <w:top w:val="none" w:sz="0" w:space="0" w:color="auto"/>
            <w:left w:val="none" w:sz="0" w:space="0" w:color="auto"/>
            <w:bottom w:val="none" w:sz="0" w:space="0" w:color="auto"/>
            <w:right w:val="none" w:sz="0" w:space="0" w:color="auto"/>
          </w:divBdr>
        </w:div>
        <w:div w:id="430977241">
          <w:marLeft w:val="0"/>
          <w:marRight w:val="0"/>
          <w:marTop w:val="0"/>
          <w:marBottom w:val="0"/>
          <w:divBdr>
            <w:top w:val="none" w:sz="0" w:space="0" w:color="auto"/>
            <w:left w:val="none" w:sz="0" w:space="0" w:color="auto"/>
            <w:bottom w:val="none" w:sz="0" w:space="0" w:color="auto"/>
            <w:right w:val="none" w:sz="0" w:space="0" w:color="auto"/>
          </w:divBdr>
        </w:div>
        <w:div w:id="431901625">
          <w:marLeft w:val="0"/>
          <w:marRight w:val="0"/>
          <w:marTop w:val="0"/>
          <w:marBottom w:val="0"/>
          <w:divBdr>
            <w:top w:val="none" w:sz="0" w:space="0" w:color="auto"/>
            <w:left w:val="none" w:sz="0" w:space="0" w:color="auto"/>
            <w:bottom w:val="none" w:sz="0" w:space="0" w:color="auto"/>
            <w:right w:val="none" w:sz="0" w:space="0" w:color="auto"/>
          </w:divBdr>
        </w:div>
        <w:div w:id="440927341">
          <w:marLeft w:val="0"/>
          <w:marRight w:val="0"/>
          <w:marTop w:val="0"/>
          <w:marBottom w:val="0"/>
          <w:divBdr>
            <w:top w:val="none" w:sz="0" w:space="0" w:color="auto"/>
            <w:left w:val="none" w:sz="0" w:space="0" w:color="auto"/>
            <w:bottom w:val="none" w:sz="0" w:space="0" w:color="auto"/>
            <w:right w:val="none" w:sz="0" w:space="0" w:color="auto"/>
          </w:divBdr>
        </w:div>
        <w:div w:id="446580700">
          <w:marLeft w:val="0"/>
          <w:marRight w:val="0"/>
          <w:marTop w:val="0"/>
          <w:marBottom w:val="0"/>
          <w:divBdr>
            <w:top w:val="none" w:sz="0" w:space="0" w:color="auto"/>
            <w:left w:val="none" w:sz="0" w:space="0" w:color="auto"/>
            <w:bottom w:val="none" w:sz="0" w:space="0" w:color="auto"/>
            <w:right w:val="none" w:sz="0" w:space="0" w:color="auto"/>
          </w:divBdr>
        </w:div>
        <w:div w:id="452596146">
          <w:marLeft w:val="0"/>
          <w:marRight w:val="0"/>
          <w:marTop w:val="0"/>
          <w:marBottom w:val="0"/>
          <w:divBdr>
            <w:top w:val="none" w:sz="0" w:space="0" w:color="auto"/>
            <w:left w:val="none" w:sz="0" w:space="0" w:color="auto"/>
            <w:bottom w:val="none" w:sz="0" w:space="0" w:color="auto"/>
            <w:right w:val="none" w:sz="0" w:space="0" w:color="auto"/>
          </w:divBdr>
        </w:div>
        <w:div w:id="455956067">
          <w:marLeft w:val="0"/>
          <w:marRight w:val="0"/>
          <w:marTop w:val="0"/>
          <w:marBottom w:val="0"/>
          <w:divBdr>
            <w:top w:val="none" w:sz="0" w:space="0" w:color="auto"/>
            <w:left w:val="none" w:sz="0" w:space="0" w:color="auto"/>
            <w:bottom w:val="none" w:sz="0" w:space="0" w:color="auto"/>
            <w:right w:val="none" w:sz="0" w:space="0" w:color="auto"/>
          </w:divBdr>
        </w:div>
        <w:div w:id="457333297">
          <w:marLeft w:val="0"/>
          <w:marRight w:val="0"/>
          <w:marTop w:val="0"/>
          <w:marBottom w:val="0"/>
          <w:divBdr>
            <w:top w:val="none" w:sz="0" w:space="0" w:color="auto"/>
            <w:left w:val="none" w:sz="0" w:space="0" w:color="auto"/>
            <w:bottom w:val="none" w:sz="0" w:space="0" w:color="auto"/>
            <w:right w:val="none" w:sz="0" w:space="0" w:color="auto"/>
          </w:divBdr>
        </w:div>
        <w:div w:id="468978492">
          <w:marLeft w:val="0"/>
          <w:marRight w:val="0"/>
          <w:marTop w:val="0"/>
          <w:marBottom w:val="0"/>
          <w:divBdr>
            <w:top w:val="none" w:sz="0" w:space="0" w:color="auto"/>
            <w:left w:val="none" w:sz="0" w:space="0" w:color="auto"/>
            <w:bottom w:val="none" w:sz="0" w:space="0" w:color="auto"/>
            <w:right w:val="none" w:sz="0" w:space="0" w:color="auto"/>
          </w:divBdr>
        </w:div>
        <w:div w:id="473450050">
          <w:marLeft w:val="0"/>
          <w:marRight w:val="0"/>
          <w:marTop w:val="0"/>
          <w:marBottom w:val="0"/>
          <w:divBdr>
            <w:top w:val="none" w:sz="0" w:space="0" w:color="auto"/>
            <w:left w:val="none" w:sz="0" w:space="0" w:color="auto"/>
            <w:bottom w:val="none" w:sz="0" w:space="0" w:color="auto"/>
            <w:right w:val="none" w:sz="0" w:space="0" w:color="auto"/>
          </w:divBdr>
        </w:div>
        <w:div w:id="474955090">
          <w:marLeft w:val="0"/>
          <w:marRight w:val="0"/>
          <w:marTop w:val="0"/>
          <w:marBottom w:val="0"/>
          <w:divBdr>
            <w:top w:val="none" w:sz="0" w:space="0" w:color="auto"/>
            <w:left w:val="none" w:sz="0" w:space="0" w:color="auto"/>
            <w:bottom w:val="none" w:sz="0" w:space="0" w:color="auto"/>
            <w:right w:val="none" w:sz="0" w:space="0" w:color="auto"/>
          </w:divBdr>
        </w:div>
        <w:div w:id="477646156">
          <w:marLeft w:val="0"/>
          <w:marRight w:val="0"/>
          <w:marTop w:val="0"/>
          <w:marBottom w:val="0"/>
          <w:divBdr>
            <w:top w:val="none" w:sz="0" w:space="0" w:color="auto"/>
            <w:left w:val="none" w:sz="0" w:space="0" w:color="auto"/>
            <w:bottom w:val="none" w:sz="0" w:space="0" w:color="auto"/>
            <w:right w:val="none" w:sz="0" w:space="0" w:color="auto"/>
          </w:divBdr>
        </w:div>
        <w:div w:id="480585137">
          <w:marLeft w:val="0"/>
          <w:marRight w:val="0"/>
          <w:marTop w:val="0"/>
          <w:marBottom w:val="0"/>
          <w:divBdr>
            <w:top w:val="none" w:sz="0" w:space="0" w:color="auto"/>
            <w:left w:val="none" w:sz="0" w:space="0" w:color="auto"/>
            <w:bottom w:val="none" w:sz="0" w:space="0" w:color="auto"/>
            <w:right w:val="none" w:sz="0" w:space="0" w:color="auto"/>
          </w:divBdr>
        </w:div>
        <w:div w:id="496727321">
          <w:marLeft w:val="0"/>
          <w:marRight w:val="0"/>
          <w:marTop w:val="0"/>
          <w:marBottom w:val="0"/>
          <w:divBdr>
            <w:top w:val="none" w:sz="0" w:space="0" w:color="auto"/>
            <w:left w:val="none" w:sz="0" w:space="0" w:color="auto"/>
            <w:bottom w:val="none" w:sz="0" w:space="0" w:color="auto"/>
            <w:right w:val="none" w:sz="0" w:space="0" w:color="auto"/>
          </w:divBdr>
        </w:div>
        <w:div w:id="502744044">
          <w:marLeft w:val="0"/>
          <w:marRight w:val="0"/>
          <w:marTop w:val="0"/>
          <w:marBottom w:val="0"/>
          <w:divBdr>
            <w:top w:val="none" w:sz="0" w:space="0" w:color="auto"/>
            <w:left w:val="none" w:sz="0" w:space="0" w:color="auto"/>
            <w:bottom w:val="none" w:sz="0" w:space="0" w:color="auto"/>
            <w:right w:val="none" w:sz="0" w:space="0" w:color="auto"/>
          </w:divBdr>
        </w:div>
        <w:div w:id="504977351">
          <w:marLeft w:val="0"/>
          <w:marRight w:val="0"/>
          <w:marTop w:val="0"/>
          <w:marBottom w:val="0"/>
          <w:divBdr>
            <w:top w:val="none" w:sz="0" w:space="0" w:color="auto"/>
            <w:left w:val="none" w:sz="0" w:space="0" w:color="auto"/>
            <w:bottom w:val="none" w:sz="0" w:space="0" w:color="auto"/>
            <w:right w:val="none" w:sz="0" w:space="0" w:color="auto"/>
          </w:divBdr>
        </w:div>
        <w:div w:id="505367649">
          <w:marLeft w:val="0"/>
          <w:marRight w:val="0"/>
          <w:marTop w:val="0"/>
          <w:marBottom w:val="0"/>
          <w:divBdr>
            <w:top w:val="none" w:sz="0" w:space="0" w:color="auto"/>
            <w:left w:val="none" w:sz="0" w:space="0" w:color="auto"/>
            <w:bottom w:val="none" w:sz="0" w:space="0" w:color="auto"/>
            <w:right w:val="none" w:sz="0" w:space="0" w:color="auto"/>
          </w:divBdr>
        </w:div>
        <w:div w:id="505941234">
          <w:marLeft w:val="0"/>
          <w:marRight w:val="0"/>
          <w:marTop w:val="0"/>
          <w:marBottom w:val="0"/>
          <w:divBdr>
            <w:top w:val="none" w:sz="0" w:space="0" w:color="auto"/>
            <w:left w:val="none" w:sz="0" w:space="0" w:color="auto"/>
            <w:bottom w:val="none" w:sz="0" w:space="0" w:color="auto"/>
            <w:right w:val="none" w:sz="0" w:space="0" w:color="auto"/>
          </w:divBdr>
        </w:div>
        <w:div w:id="509878648">
          <w:marLeft w:val="0"/>
          <w:marRight w:val="0"/>
          <w:marTop w:val="0"/>
          <w:marBottom w:val="0"/>
          <w:divBdr>
            <w:top w:val="none" w:sz="0" w:space="0" w:color="auto"/>
            <w:left w:val="none" w:sz="0" w:space="0" w:color="auto"/>
            <w:bottom w:val="none" w:sz="0" w:space="0" w:color="auto"/>
            <w:right w:val="none" w:sz="0" w:space="0" w:color="auto"/>
          </w:divBdr>
        </w:div>
        <w:div w:id="518810503">
          <w:marLeft w:val="0"/>
          <w:marRight w:val="0"/>
          <w:marTop w:val="0"/>
          <w:marBottom w:val="0"/>
          <w:divBdr>
            <w:top w:val="none" w:sz="0" w:space="0" w:color="auto"/>
            <w:left w:val="none" w:sz="0" w:space="0" w:color="auto"/>
            <w:bottom w:val="none" w:sz="0" w:space="0" w:color="auto"/>
            <w:right w:val="none" w:sz="0" w:space="0" w:color="auto"/>
          </w:divBdr>
        </w:div>
        <w:div w:id="525097210">
          <w:marLeft w:val="0"/>
          <w:marRight w:val="0"/>
          <w:marTop w:val="0"/>
          <w:marBottom w:val="0"/>
          <w:divBdr>
            <w:top w:val="none" w:sz="0" w:space="0" w:color="auto"/>
            <w:left w:val="none" w:sz="0" w:space="0" w:color="auto"/>
            <w:bottom w:val="none" w:sz="0" w:space="0" w:color="auto"/>
            <w:right w:val="none" w:sz="0" w:space="0" w:color="auto"/>
          </w:divBdr>
        </w:div>
        <w:div w:id="539393936">
          <w:marLeft w:val="0"/>
          <w:marRight w:val="0"/>
          <w:marTop w:val="0"/>
          <w:marBottom w:val="0"/>
          <w:divBdr>
            <w:top w:val="none" w:sz="0" w:space="0" w:color="auto"/>
            <w:left w:val="none" w:sz="0" w:space="0" w:color="auto"/>
            <w:bottom w:val="none" w:sz="0" w:space="0" w:color="auto"/>
            <w:right w:val="none" w:sz="0" w:space="0" w:color="auto"/>
          </w:divBdr>
        </w:div>
        <w:div w:id="544683364">
          <w:marLeft w:val="0"/>
          <w:marRight w:val="0"/>
          <w:marTop w:val="0"/>
          <w:marBottom w:val="0"/>
          <w:divBdr>
            <w:top w:val="none" w:sz="0" w:space="0" w:color="auto"/>
            <w:left w:val="none" w:sz="0" w:space="0" w:color="auto"/>
            <w:bottom w:val="none" w:sz="0" w:space="0" w:color="auto"/>
            <w:right w:val="none" w:sz="0" w:space="0" w:color="auto"/>
          </w:divBdr>
        </w:div>
        <w:div w:id="551885325">
          <w:marLeft w:val="0"/>
          <w:marRight w:val="0"/>
          <w:marTop w:val="0"/>
          <w:marBottom w:val="0"/>
          <w:divBdr>
            <w:top w:val="none" w:sz="0" w:space="0" w:color="auto"/>
            <w:left w:val="none" w:sz="0" w:space="0" w:color="auto"/>
            <w:bottom w:val="none" w:sz="0" w:space="0" w:color="auto"/>
            <w:right w:val="none" w:sz="0" w:space="0" w:color="auto"/>
          </w:divBdr>
        </w:div>
        <w:div w:id="567569420">
          <w:marLeft w:val="0"/>
          <w:marRight w:val="0"/>
          <w:marTop w:val="0"/>
          <w:marBottom w:val="0"/>
          <w:divBdr>
            <w:top w:val="none" w:sz="0" w:space="0" w:color="auto"/>
            <w:left w:val="none" w:sz="0" w:space="0" w:color="auto"/>
            <w:bottom w:val="none" w:sz="0" w:space="0" w:color="auto"/>
            <w:right w:val="none" w:sz="0" w:space="0" w:color="auto"/>
          </w:divBdr>
        </w:div>
        <w:div w:id="569461557">
          <w:marLeft w:val="0"/>
          <w:marRight w:val="0"/>
          <w:marTop w:val="0"/>
          <w:marBottom w:val="0"/>
          <w:divBdr>
            <w:top w:val="none" w:sz="0" w:space="0" w:color="auto"/>
            <w:left w:val="none" w:sz="0" w:space="0" w:color="auto"/>
            <w:bottom w:val="none" w:sz="0" w:space="0" w:color="auto"/>
            <w:right w:val="none" w:sz="0" w:space="0" w:color="auto"/>
          </w:divBdr>
        </w:div>
        <w:div w:id="572862685">
          <w:marLeft w:val="0"/>
          <w:marRight w:val="0"/>
          <w:marTop w:val="0"/>
          <w:marBottom w:val="0"/>
          <w:divBdr>
            <w:top w:val="none" w:sz="0" w:space="0" w:color="auto"/>
            <w:left w:val="none" w:sz="0" w:space="0" w:color="auto"/>
            <w:bottom w:val="none" w:sz="0" w:space="0" w:color="auto"/>
            <w:right w:val="none" w:sz="0" w:space="0" w:color="auto"/>
          </w:divBdr>
        </w:div>
        <w:div w:id="576939598">
          <w:marLeft w:val="0"/>
          <w:marRight w:val="0"/>
          <w:marTop w:val="0"/>
          <w:marBottom w:val="0"/>
          <w:divBdr>
            <w:top w:val="none" w:sz="0" w:space="0" w:color="auto"/>
            <w:left w:val="none" w:sz="0" w:space="0" w:color="auto"/>
            <w:bottom w:val="none" w:sz="0" w:space="0" w:color="auto"/>
            <w:right w:val="none" w:sz="0" w:space="0" w:color="auto"/>
          </w:divBdr>
        </w:div>
        <w:div w:id="604731489">
          <w:marLeft w:val="0"/>
          <w:marRight w:val="0"/>
          <w:marTop w:val="0"/>
          <w:marBottom w:val="0"/>
          <w:divBdr>
            <w:top w:val="none" w:sz="0" w:space="0" w:color="auto"/>
            <w:left w:val="none" w:sz="0" w:space="0" w:color="auto"/>
            <w:bottom w:val="none" w:sz="0" w:space="0" w:color="auto"/>
            <w:right w:val="none" w:sz="0" w:space="0" w:color="auto"/>
          </w:divBdr>
        </w:div>
        <w:div w:id="609897989">
          <w:marLeft w:val="0"/>
          <w:marRight w:val="0"/>
          <w:marTop w:val="0"/>
          <w:marBottom w:val="0"/>
          <w:divBdr>
            <w:top w:val="none" w:sz="0" w:space="0" w:color="auto"/>
            <w:left w:val="none" w:sz="0" w:space="0" w:color="auto"/>
            <w:bottom w:val="none" w:sz="0" w:space="0" w:color="auto"/>
            <w:right w:val="none" w:sz="0" w:space="0" w:color="auto"/>
          </w:divBdr>
        </w:div>
        <w:div w:id="612979867">
          <w:marLeft w:val="0"/>
          <w:marRight w:val="0"/>
          <w:marTop w:val="0"/>
          <w:marBottom w:val="0"/>
          <w:divBdr>
            <w:top w:val="none" w:sz="0" w:space="0" w:color="auto"/>
            <w:left w:val="none" w:sz="0" w:space="0" w:color="auto"/>
            <w:bottom w:val="none" w:sz="0" w:space="0" w:color="auto"/>
            <w:right w:val="none" w:sz="0" w:space="0" w:color="auto"/>
          </w:divBdr>
        </w:div>
        <w:div w:id="621424163">
          <w:marLeft w:val="0"/>
          <w:marRight w:val="0"/>
          <w:marTop w:val="0"/>
          <w:marBottom w:val="0"/>
          <w:divBdr>
            <w:top w:val="none" w:sz="0" w:space="0" w:color="auto"/>
            <w:left w:val="none" w:sz="0" w:space="0" w:color="auto"/>
            <w:bottom w:val="none" w:sz="0" w:space="0" w:color="auto"/>
            <w:right w:val="none" w:sz="0" w:space="0" w:color="auto"/>
          </w:divBdr>
        </w:div>
        <w:div w:id="621575896">
          <w:marLeft w:val="0"/>
          <w:marRight w:val="0"/>
          <w:marTop w:val="0"/>
          <w:marBottom w:val="0"/>
          <w:divBdr>
            <w:top w:val="none" w:sz="0" w:space="0" w:color="auto"/>
            <w:left w:val="none" w:sz="0" w:space="0" w:color="auto"/>
            <w:bottom w:val="none" w:sz="0" w:space="0" w:color="auto"/>
            <w:right w:val="none" w:sz="0" w:space="0" w:color="auto"/>
          </w:divBdr>
        </w:div>
        <w:div w:id="623510025">
          <w:marLeft w:val="0"/>
          <w:marRight w:val="0"/>
          <w:marTop w:val="0"/>
          <w:marBottom w:val="0"/>
          <w:divBdr>
            <w:top w:val="none" w:sz="0" w:space="0" w:color="auto"/>
            <w:left w:val="none" w:sz="0" w:space="0" w:color="auto"/>
            <w:bottom w:val="none" w:sz="0" w:space="0" w:color="auto"/>
            <w:right w:val="none" w:sz="0" w:space="0" w:color="auto"/>
          </w:divBdr>
        </w:div>
        <w:div w:id="623999859">
          <w:marLeft w:val="0"/>
          <w:marRight w:val="0"/>
          <w:marTop w:val="0"/>
          <w:marBottom w:val="0"/>
          <w:divBdr>
            <w:top w:val="none" w:sz="0" w:space="0" w:color="auto"/>
            <w:left w:val="none" w:sz="0" w:space="0" w:color="auto"/>
            <w:bottom w:val="none" w:sz="0" w:space="0" w:color="auto"/>
            <w:right w:val="none" w:sz="0" w:space="0" w:color="auto"/>
          </w:divBdr>
        </w:div>
        <w:div w:id="624430029">
          <w:marLeft w:val="0"/>
          <w:marRight w:val="0"/>
          <w:marTop w:val="0"/>
          <w:marBottom w:val="0"/>
          <w:divBdr>
            <w:top w:val="none" w:sz="0" w:space="0" w:color="auto"/>
            <w:left w:val="none" w:sz="0" w:space="0" w:color="auto"/>
            <w:bottom w:val="none" w:sz="0" w:space="0" w:color="auto"/>
            <w:right w:val="none" w:sz="0" w:space="0" w:color="auto"/>
          </w:divBdr>
        </w:div>
        <w:div w:id="630137076">
          <w:marLeft w:val="0"/>
          <w:marRight w:val="0"/>
          <w:marTop w:val="0"/>
          <w:marBottom w:val="0"/>
          <w:divBdr>
            <w:top w:val="none" w:sz="0" w:space="0" w:color="auto"/>
            <w:left w:val="none" w:sz="0" w:space="0" w:color="auto"/>
            <w:bottom w:val="none" w:sz="0" w:space="0" w:color="auto"/>
            <w:right w:val="none" w:sz="0" w:space="0" w:color="auto"/>
          </w:divBdr>
        </w:div>
        <w:div w:id="630745374">
          <w:marLeft w:val="0"/>
          <w:marRight w:val="0"/>
          <w:marTop w:val="0"/>
          <w:marBottom w:val="0"/>
          <w:divBdr>
            <w:top w:val="none" w:sz="0" w:space="0" w:color="auto"/>
            <w:left w:val="none" w:sz="0" w:space="0" w:color="auto"/>
            <w:bottom w:val="none" w:sz="0" w:space="0" w:color="auto"/>
            <w:right w:val="none" w:sz="0" w:space="0" w:color="auto"/>
          </w:divBdr>
        </w:div>
        <w:div w:id="632489316">
          <w:marLeft w:val="0"/>
          <w:marRight w:val="0"/>
          <w:marTop w:val="0"/>
          <w:marBottom w:val="0"/>
          <w:divBdr>
            <w:top w:val="none" w:sz="0" w:space="0" w:color="auto"/>
            <w:left w:val="none" w:sz="0" w:space="0" w:color="auto"/>
            <w:bottom w:val="none" w:sz="0" w:space="0" w:color="auto"/>
            <w:right w:val="none" w:sz="0" w:space="0" w:color="auto"/>
          </w:divBdr>
        </w:div>
        <w:div w:id="633871463">
          <w:marLeft w:val="0"/>
          <w:marRight w:val="0"/>
          <w:marTop w:val="0"/>
          <w:marBottom w:val="0"/>
          <w:divBdr>
            <w:top w:val="none" w:sz="0" w:space="0" w:color="auto"/>
            <w:left w:val="none" w:sz="0" w:space="0" w:color="auto"/>
            <w:bottom w:val="none" w:sz="0" w:space="0" w:color="auto"/>
            <w:right w:val="none" w:sz="0" w:space="0" w:color="auto"/>
          </w:divBdr>
        </w:div>
        <w:div w:id="643316031">
          <w:marLeft w:val="0"/>
          <w:marRight w:val="0"/>
          <w:marTop w:val="0"/>
          <w:marBottom w:val="0"/>
          <w:divBdr>
            <w:top w:val="none" w:sz="0" w:space="0" w:color="auto"/>
            <w:left w:val="none" w:sz="0" w:space="0" w:color="auto"/>
            <w:bottom w:val="none" w:sz="0" w:space="0" w:color="auto"/>
            <w:right w:val="none" w:sz="0" w:space="0" w:color="auto"/>
          </w:divBdr>
        </w:div>
        <w:div w:id="649789812">
          <w:marLeft w:val="0"/>
          <w:marRight w:val="0"/>
          <w:marTop w:val="0"/>
          <w:marBottom w:val="0"/>
          <w:divBdr>
            <w:top w:val="none" w:sz="0" w:space="0" w:color="auto"/>
            <w:left w:val="none" w:sz="0" w:space="0" w:color="auto"/>
            <w:bottom w:val="none" w:sz="0" w:space="0" w:color="auto"/>
            <w:right w:val="none" w:sz="0" w:space="0" w:color="auto"/>
          </w:divBdr>
        </w:div>
        <w:div w:id="653725839">
          <w:marLeft w:val="0"/>
          <w:marRight w:val="0"/>
          <w:marTop w:val="0"/>
          <w:marBottom w:val="0"/>
          <w:divBdr>
            <w:top w:val="none" w:sz="0" w:space="0" w:color="auto"/>
            <w:left w:val="none" w:sz="0" w:space="0" w:color="auto"/>
            <w:bottom w:val="none" w:sz="0" w:space="0" w:color="auto"/>
            <w:right w:val="none" w:sz="0" w:space="0" w:color="auto"/>
          </w:divBdr>
        </w:div>
        <w:div w:id="655230284">
          <w:marLeft w:val="0"/>
          <w:marRight w:val="0"/>
          <w:marTop w:val="0"/>
          <w:marBottom w:val="0"/>
          <w:divBdr>
            <w:top w:val="none" w:sz="0" w:space="0" w:color="auto"/>
            <w:left w:val="none" w:sz="0" w:space="0" w:color="auto"/>
            <w:bottom w:val="none" w:sz="0" w:space="0" w:color="auto"/>
            <w:right w:val="none" w:sz="0" w:space="0" w:color="auto"/>
          </w:divBdr>
        </w:div>
        <w:div w:id="662977776">
          <w:marLeft w:val="0"/>
          <w:marRight w:val="0"/>
          <w:marTop w:val="0"/>
          <w:marBottom w:val="0"/>
          <w:divBdr>
            <w:top w:val="none" w:sz="0" w:space="0" w:color="auto"/>
            <w:left w:val="none" w:sz="0" w:space="0" w:color="auto"/>
            <w:bottom w:val="none" w:sz="0" w:space="0" w:color="auto"/>
            <w:right w:val="none" w:sz="0" w:space="0" w:color="auto"/>
          </w:divBdr>
        </w:div>
        <w:div w:id="675890504">
          <w:marLeft w:val="0"/>
          <w:marRight w:val="0"/>
          <w:marTop w:val="0"/>
          <w:marBottom w:val="0"/>
          <w:divBdr>
            <w:top w:val="none" w:sz="0" w:space="0" w:color="auto"/>
            <w:left w:val="none" w:sz="0" w:space="0" w:color="auto"/>
            <w:bottom w:val="none" w:sz="0" w:space="0" w:color="auto"/>
            <w:right w:val="none" w:sz="0" w:space="0" w:color="auto"/>
          </w:divBdr>
        </w:div>
        <w:div w:id="677658363">
          <w:marLeft w:val="0"/>
          <w:marRight w:val="0"/>
          <w:marTop w:val="0"/>
          <w:marBottom w:val="0"/>
          <w:divBdr>
            <w:top w:val="none" w:sz="0" w:space="0" w:color="auto"/>
            <w:left w:val="none" w:sz="0" w:space="0" w:color="auto"/>
            <w:bottom w:val="none" w:sz="0" w:space="0" w:color="auto"/>
            <w:right w:val="none" w:sz="0" w:space="0" w:color="auto"/>
          </w:divBdr>
        </w:div>
        <w:div w:id="683362107">
          <w:marLeft w:val="0"/>
          <w:marRight w:val="0"/>
          <w:marTop w:val="0"/>
          <w:marBottom w:val="0"/>
          <w:divBdr>
            <w:top w:val="none" w:sz="0" w:space="0" w:color="auto"/>
            <w:left w:val="none" w:sz="0" w:space="0" w:color="auto"/>
            <w:bottom w:val="none" w:sz="0" w:space="0" w:color="auto"/>
            <w:right w:val="none" w:sz="0" w:space="0" w:color="auto"/>
          </w:divBdr>
        </w:div>
        <w:div w:id="691959533">
          <w:marLeft w:val="0"/>
          <w:marRight w:val="0"/>
          <w:marTop w:val="0"/>
          <w:marBottom w:val="0"/>
          <w:divBdr>
            <w:top w:val="none" w:sz="0" w:space="0" w:color="auto"/>
            <w:left w:val="none" w:sz="0" w:space="0" w:color="auto"/>
            <w:bottom w:val="none" w:sz="0" w:space="0" w:color="auto"/>
            <w:right w:val="none" w:sz="0" w:space="0" w:color="auto"/>
          </w:divBdr>
        </w:div>
        <w:div w:id="692266762">
          <w:marLeft w:val="0"/>
          <w:marRight w:val="0"/>
          <w:marTop w:val="0"/>
          <w:marBottom w:val="0"/>
          <w:divBdr>
            <w:top w:val="none" w:sz="0" w:space="0" w:color="auto"/>
            <w:left w:val="none" w:sz="0" w:space="0" w:color="auto"/>
            <w:bottom w:val="none" w:sz="0" w:space="0" w:color="auto"/>
            <w:right w:val="none" w:sz="0" w:space="0" w:color="auto"/>
          </w:divBdr>
        </w:div>
        <w:div w:id="692270890">
          <w:marLeft w:val="0"/>
          <w:marRight w:val="0"/>
          <w:marTop w:val="0"/>
          <w:marBottom w:val="0"/>
          <w:divBdr>
            <w:top w:val="none" w:sz="0" w:space="0" w:color="auto"/>
            <w:left w:val="none" w:sz="0" w:space="0" w:color="auto"/>
            <w:bottom w:val="none" w:sz="0" w:space="0" w:color="auto"/>
            <w:right w:val="none" w:sz="0" w:space="0" w:color="auto"/>
          </w:divBdr>
        </w:div>
        <w:div w:id="709963032">
          <w:marLeft w:val="0"/>
          <w:marRight w:val="0"/>
          <w:marTop w:val="0"/>
          <w:marBottom w:val="0"/>
          <w:divBdr>
            <w:top w:val="none" w:sz="0" w:space="0" w:color="auto"/>
            <w:left w:val="none" w:sz="0" w:space="0" w:color="auto"/>
            <w:bottom w:val="none" w:sz="0" w:space="0" w:color="auto"/>
            <w:right w:val="none" w:sz="0" w:space="0" w:color="auto"/>
          </w:divBdr>
        </w:div>
        <w:div w:id="712773993">
          <w:marLeft w:val="0"/>
          <w:marRight w:val="0"/>
          <w:marTop w:val="0"/>
          <w:marBottom w:val="0"/>
          <w:divBdr>
            <w:top w:val="none" w:sz="0" w:space="0" w:color="auto"/>
            <w:left w:val="none" w:sz="0" w:space="0" w:color="auto"/>
            <w:bottom w:val="none" w:sz="0" w:space="0" w:color="auto"/>
            <w:right w:val="none" w:sz="0" w:space="0" w:color="auto"/>
          </w:divBdr>
        </w:div>
        <w:div w:id="727919166">
          <w:marLeft w:val="0"/>
          <w:marRight w:val="0"/>
          <w:marTop w:val="0"/>
          <w:marBottom w:val="0"/>
          <w:divBdr>
            <w:top w:val="none" w:sz="0" w:space="0" w:color="auto"/>
            <w:left w:val="none" w:sz="0" w:space="0" w:color="auto"/>
            <w:bottom w:val="none" w:sz="0" w:space="0" w:color="auto"/>
            <w:right w:val="none" w:sz="0" w:space="0" w:color="auto"/>
          </w:divBdr>
        </w:div>
        <w:div w:id="730807944">
          <w:marLeft w:val="0"/>
          <w:marRight w:val="0"/>
          <w:marTop w:val="0"/>
          <w:marBottom w:val="0"/>
          <w:divBdr>
            <w:top w:val="none" w:sz="0" w:space="0" w:color="auto"/>
            <w:left w:val="none" w:sz="0" w:space="0" w:color="auto"/>
            <w:bottom w:val="none" w:sz="0" w:space="0" w:color="auto"/>
            <w:right w:val="none" w:sz="0" w:space="0" w:color="auto"/>
          </w:divBdr>
        </w:div>
        <w:div w:id="731194343">
          <w:marLeft w:val="0"/>
          <w:marRight w:val="0"/>
          <w:marTop w:val="0"/>
          <w:marBottom w:val="0"/>
          <w:divBdr>
            <w:top w:val="none" w:sz="0" w:space="0" w:color="auto"/>
            <w:left w:val="none" w:sz="0" w:space="0" w:color="auto"/>
            <w:bottom w:val="none" w:sz="0" w:space="0" w:color="auto"/>
            <w:right w:val="none" w:sz="0" w:space="0" w:color="auto"/>
          </w:divBdr>
        </w:div>
        <w:div w:id="758256840">
          <w:marLeft w:val="0"/>
          <w:marRight w:val="0"/>
          <w:marTop w:val="0"/>
          <w:marBottom w:val="0"/>
          <w:divBdr>
            <w:top w:val="none" w:sz="0" w:space="0" w:color="auto"/>
            <w:left w:val="none" w:sz="0" w:space="0" w:color="auto"/>
            <w:bottom w:val="none" w:sz="0" w:space="0" w:color="auto"/>
            <w:right w:val="none" w:sz="0" w:space="0" w:color="auto"/>
          </w:divBdr>
        </w:div>
        <w:div w:id="764881945">
          <w:marLeft w:val="0"/>
          <w:marRight w:val="0"/>
          <w:marTop w:val="0"/>
          <w:marBottom w:val="0"/>
          <w:divBdr>
            <w:top w:val="none" w:sz="0" w:space="0" w:color="auto"/>
            <w:left w:val="none" w:sz="0" w:space="0" w:color="auto"/>
            <w:bottom w:val="none" w:sz="0" w:space="0" w:color="auto"/>
            <w:right w:val="none" w:sz="0" w:space="0" w:color="auto"/>
          </w:divBdr>
        </w:div>
        <w:div w:id="784229926">
          <w:marLeft w:val="0"/>
          <w:marRight w:val="0"/>
          <w:marTop w:val="0"/>
          <w:marBottom w:val="0"/>
          <w:divBdr>
            <w:top w:val="none" w:sz="0" w:space="0" w:color="auto"/>
            <w:left w:val="none" w:sz="0" w:space="0" w:color="auto"/>
            <w:bottom w:val="none" w:sz="0" w:space="0" w:color="auto"/>
            <w:right w:val="none" w:sz="0" w:space="0" w:color="auto"/>
          </w:divBdr>
        </w:div>
        <w:div w:id="788360192">
          <w:marLeft w:val="0"/>
          <w:marRight w:val="0"/>
          <w:marTop w:val="0"/>
          <w:marBottom w:val="0"/>
          <w:divBdr>
            <w:top w:val="none" w:sz="0" w:space="0" w:color="auto"/>
            <w:left w:val="none" w:sz="0" w:space="0" w:color="auto"/>
            <w:bottom w:val="none" w:sz="0" w:space="0" w:color="auto"/>
            <w:right w:val="none" w:sz="0" w:space="0" w:color="auto"/>
          </w:divBdr>
        </w:div>
        <w:div w:id="791751569">
          <w:marLeft w:val="0"/>
          <w:marRight w:val="0"/>
          <w:marTop w:val="0"/>
          <w:marBottom w:val="0"/>
          <w:divBdr>
            <w:top w:val="none" w:sz="0" w:space="0" w:color="auto"/>
            <w:left w:val="none" w:sz="0" w:space="0" w:color="auto"/>
            <w:bottom w:val="none" w:sz="0" w:space="0" w:color="auto"/>
            <w:right w:val="none" w:sz="0" w:space="0" w:color="auto"/>
          </w:divBdr>
        </w:div>
        <w:div w:id="794755240">
          <w:marLeft w:val="0"/>
          <w:marRight w:val="0"/>
          <w:marTop w:val="0"/>
          <w:marBottom w:val="0"/>
          <w:divBdr>
            <w:top w:val="none" w:sz="0" w:space="0" w:color="auto"/>
            <w:left w:val="none" w:sz="0" w:space="0" w:color="auto"/>
            <w:bottom w:val="none" w:sz="0" w:space="0" w:color="auto"/>
            <w:right w:val="none" w:sz="0" w:space="0" w:color="auto"/>
          </w:divBdr>
        </w:div>
        <w:div w:id="795443136">
          <w:marLeft w:val="0"/>
          <w:marRight w:val="0"/>
          <w:marTop w:val="0"/>
          <w:marBottom w:val="0"/>
          <w:divBdr>
            <w:top w:val="none" w:sz="0" w:space="0" w:color="auto"/>
            <w:left w:val="none" w:sz="0" w:space="0" w:color="auto"/>
            <w:bottom w:val="none" w:sz="0" w:space="0" w:color="auto"/>
            <w:right w:val="none" w:sz="0" w:space="0" w:color="auto"/>
          </w:divBdr>
        </w:div>
        <w:div w:id="819268727">
          <w:marLeft w:val="0"/>
          <w:marRight w:val="0"/>
          <w:marTop w:val="0"/>
          <w:marBottom w:val="0"/>
          <w:divBdr>
            <w:top w:val="none" w:sz="0" w:space="0" w:color="auto"/>
            <w:left w:val="none" w:sz="0" w:space="0" w:color="auto"/>
            <w:bottom w:val="none" w:sz="0" w:space="0" w:color="auto"/>
            <w:right w:val="none" w:sz="0" w:space="0" w:color="auto"/>
          </w:divBdr>
        </w:div>
        <w:div w:id="821502348">
          <w:marLeft w:val="0"/>
          <w:marRight w:val="0"/>
          <w:marTop w:val="0"/>
          <w:marBottom w:val="0"/>
          <w:divBdr>
            <w:top w:val="none" w:sz="0" w:space="0" w:color="auto"/>
            <w:left w:val="none" w:sz="0" w:space="0" w:color="auto"/>
            <w:bottom w:val="none" w:sz="0" w:space="0" w:color="auto"/>
            <w:right w:val="none" w:sz="0" w:space="0" w:color="auto"/>
          </w:divBdr>
        </w:div>
        <w:div w:id="823274974">
          <w:marLeft w:val="0"/>
          <w:marRight w:val="0"/>
          <w:marTop w:val="0"/>
          <w:marBottom w:val="0"/>
          <w:divBdr>
            <w:top w:val="none" w:sz="0" w:space="0" w:color="auto"/>
            <w:left w:val="none" w:sz="0" w:space="0" w:color="auto"/>
            <w:bottom w:val="none" w:sz="0" w:space="0" w:color="auto"/>
            <w:right w:val="none" w:sz="0" w:space="0" w:color="auto"/>
          </w:divBdr>
        </w:div>
        <w:div w:id="847907330">
          <w:marLeft w:val="0"/>
          <w:marRight w:val="0"/>
          <w:marTop w:val="0"/>
          <w:marBottom w:val="0"/>
          <w:divBdr>
            <w:top w:val="none" w:sz="0" w:space="0" w:color="auto"/>
            <w:left w:val="none" w:sz="0" w:space="0" w:color="auto"/>
            <w:bottom w:val="none" w:sz="0" w:space="0" w:color="auto"/>
            <w:right w:val="none" w:sz="0" w:space="0" w:color="auto"/>
          </w:divBdr>
        </w:div>
        <w:div w:id="850099373">
          <w:marLeft w:val="0"/>
          <w:marRight w:val="0"/>
          <w:marTop w:val="0"/>
          <w:marBottom w:val="0"/>
          <w:divBdr>
            <w:top w:val="none" w:sz="0" w:space="0" w:color="auto"/>
            <w:left w:val="none" w:sz="0" w:space="0" w:color="auto"/>
            <w:bottom w:val="none" w:sz="0" w:space="0" w:color="auto"/>
            <w:right w:val="none" w:sz="0" w:space="0" w:color="auto"/>
          </w:divBdr>
        </w:div>
        <w:div w:id="850341999">
          <w:marLeft w:val="0"/>
          <w:marRight w:val="0"/>
          <w:marTop w:val="0"/>
          <w:marBottom w:val="0"/>
          <w:divBdr>
            <w:top w:val="none" w:sz="0" w:space="0" w:color="auto"/>
            <w:left w:val="none" w:sz="0" w:space="0" w:color="auto"/>
            <w:bottom w:val="none" w:sz="0" w:space="0" w:color="auto"/>
            <w:right w:val="none" w:sz="0" w:space="0" w:color="auto"/>
          </w:divBdr>
        </w:div>
        <w:div w:id="854878191">
          <w:marLeft w:val="0"/>
          <w:marRight w:val="0"/>
          <w:marTop w:val="0"/>
          <w:marBottom w:val="0"/>
          <w:divBdr>
            <w:top w:val="none" w:sz="0" w:space="0" w:color="auto"/>
            <w:left w:val="none" w:sz="0" w:space="0" w:color="auto"/>
            <w:bottom w:val="none" w:sz="0" w:space="0" w:color="auto"/>
            <w:right w:val="none" w:sz="0" w:space="0" w:color="auto"/>
          </w:divBdr>
        </w:div>
        <w:div w:id="868877652">
          <w:marLeft w:val="0"/>
          <w:marRight w:val="0"/>
          <w:marTop w:val="0"/>
          <w:marBottom w:val="0"/>
          <w:divBdr>
            <w:top w:val="none" w:sz="0" w:space="0" w:color="auto"/>
            <w:left w:val="none" w:sz="0" w:space="0" w:color="auto"/>
            <w:bottom w:val="none" w:sz="0" w:space="0" w:color="auto"/>
            <w:right w:val="none" w:sz="0" w:space="0" w:color="auto"/>
          </w:divBdr>
        </w:div>
        <w:div w:id="870262664">
          <w:marLeft w:val="0"/>
          <w:marRight w:val="0"/>
          <w:marTop w:val="0"/>
          <w:marBottom w:val="0"/>
          <w:divBdr>
            <w:top w:val="none" w:sz="0" w:space="0" w:color="auto"/>
            <w:left w:val="none" w:sz="0" w:space="0" w:color="auto"/>
            <w:bottom w:val="none" w:sz="0" w:space="0" w:color="auto"/>
            <w:right w:val="none" w:sz="0" w:space="0" w:color="auto"/>
          </w:divBdr>
        </w:div>
        <w:div w:id="874536073">
          <w:marLeft w:val="0"/>
          <w:marRight w:val="0"/>
          <w:marTop w:val="0"/>
          <w:marBottom w:val="0"/>
          <w:divBdr>
            <w:top w:val="none" w:sz="0" w:space="0" w:color="auto"/>
            <w:left w:val="none" w:sz="0" w:space="0" w:color="auto"/>
            <w:bottom w:val="none" w:sz="0" w:space="0" w:color="auto"/>
            <w:right w:val="none" w:sz="0" w:space="0" w:color="auto"/>
          </w:divBdr>
        </w:div>
        <w:div w:id="876548991">
          <w:marLeft w:val="0"/>
          <w:marRight w:val="0"/>
          <w:marTop w:val="0"/>
          <w:marBottom w:val="0"/>
          <w:divBdr>
            <w:top w:val="none" w:sz="0" w:space="0" w:color="auto"/>
            <w:left w:val="none" w:sz="0" w:space="0" w:color="auto"/>
            <w:bottom w:val="none" w:sz="0" w:space="0" w:color="auto"/>
            <w:right w:val="none" w:sz="0" w:space="0" w:color="auto"/>
          </w:divBdr>
        </w:div>
        <w:div w:id="879049777">
          <w:marLeft w:val="0"/>
          <w:marRight w:val="0"/>
          <w:marTop w:val="0"/>
          <w:marBottom w:val="0"/>
          <w:divBdr>
            <w:top w:val="none" w:sz="0" w:space="0" w:color="auto"/>
            <w:left w:val="none" w:sz="0" w:space="0" w:color="auto"/>
            <w:bottom w:val="none" w:sz="0" w:space="0" w:color="auto"/>
            <w:right w:val="none" w:sz="0" w:space="0" w:color="auto"/>
          </w:divBdr>
        </w:div>
        <w:div w:id="883254872">
          <w:marLeft w:val="0"/>
          <w:marRight w:val="0"/>
          <w:marTop w:val="0"/>
          <w:marBottom w:val="0"/>
          <w:divBdr>
            <w:top w:val="none" w:sz="0" w:space="0" w:color="auto"/>
            <w:left w:val="none" w:sz="0" w:space="0" w:color="auto"/>
            <w:bottom w:val="none" w:sz="0" w:space="0" w:color="auto"/>
            <w:right w:val="none" w:sz="0" w:space="0" w:color="auto"/>
          </w:divBdr>
        </w:div>
        <w:div w:id="886649853">
          <w:marLeft w:val="0"/>
          <w:marRight w:val="0"/>
          <w:marTop w:val="0"/>
          <w:marBottom w:val="0"/>
          <w:divBdr>
            <w:top w:val="none" w:sz="0" w:space="0" w:color="auto"/>
            <w:left w:val="none" w:sz="0" w:space="0" w:color="auto"/>
            <w:bottom w:val="none" w:sz="0" w:space="0" w:color="auto"/>
            <w:right w:val="none" w:sz="0" w:space="0" w:color="auto"/>
          </w:divBdr>
        </w:div>
        <w:div w:id="888301372">
          <w:marLeft w:val="0"/>
          <w:marRight w:val="0"/>
          <w:marTop w:val="0"/>
          <w:marBottom w:val="0"/>
          <w:divBdr>
            <w:top w:val="none" w:sz="0" w:space="0" w:color="auto"/>
            <w:left w:val="none" w:sz="0" w:space="0" w:color="auto"/>
            <w:bottom w:val="none" w:sz="0" w:space="0" w:color="auto"/>
            <w:right w:val="none" w:sz="0" w:space="0" w:color="auto"/>
          </w:divBdr>
        </w:div>
        <w:div w:id="896088198">
          <w:marLeft w:val="0"/>
          <w:marRight w:val="0"/>
          <w:marTop w:val="0"/>
          <w:marBottom w:val="0"/>
          <w:divBdr>
            <w:top w:val="none" w:sz="0" w:space="0" w:color="auto"/>
            <w:left w:val="none" w:sz="0" w:space="0" w:color="auto"/>
            <w:bottom w:val="none" w:sz="0" w:space="0" w:color="auto"/>
            <w:right w:val="none" w:sz="0" w:space="0" w:color="auto"/>
          </w:divBdr>
        </w:div>
        <w:div w:id="896630427">
          <w:marLeft w:val="0"/>
          <w:marRight w:val="0"/>
          <w:marTop w:val="0"/>
          <w:marBottom w:val="0"/>
          <w:divBdr>
            <w:top w:val="none" w:sz="0" w:space="0" w:color="auto"/>
            <w:left w:val="none" w:sz="0" w:space="0" w:color="auto"/>
            <w:bottom w:val="none" w:sz="0" w:space="0" w:color="auto"/>
            <w:right w:val="none" w:sz="0" w:space="0" w:color="auto"/>
          </w:divBdr>
        </w:div>
        <w:div w:id="900406776">
          <w:marLeft w:val="0"/>
          <w:marRight w:val="0"/>
          <w:marTop w:val="0"/>
          <w:marBottom w:val="0"/>
          <w:divBdr>
            <w:top w:val="none" w:sz="0" w:space="0" w:color="auto"/>
            <w:left w:val="none" w:sz="0" w:space="0" w:color="auto"/>
            <w:bottom w:val="none" w:sz="0" w:space="0" w:color="auto"/>
            <w:right w:val="none" w:sz="0" w:space="0" w:color="auto"/>
          </w:divBdr>
        </w:div>
        <w:div w:id="908348956">
          <w:marLeft w:val="0"/>
          <w:marRight w:val="0"/>
          <w:marTop w:val="0"/>
          <w:marBottom w:val="0"/>
          <w:divBdr>
            <w:top w:val="none" w:sz="0" w:space="0" w:color="auto"/>
            <w:left w:val="none" w:sz="0" w:space="0" w:color="auto"/>
            <w:bottom w:val="none" w:sz="0" w:space="0" w:color="auto"/>
            <w:right w:val="none" w:sz="0" w:space="0" w:color="auto"/>
          </w:divBdr>
        </w:div>
        <w:div w:id="928387544">
          <w:marLeft w:val="0"/>
          <w:marRight w:val="0"/>
          <w:marTop w:val="0"/>
          <w:marBottom w:val="0"/>
          <w:divBdr>
            <w:top w:val="none" w:sz="0" w:space="0" w:color="auto"/>
            <w:left w:val="none" w:sz="0" w:space="0" w:color="auto"/>
            <w:bottom w:val="none" w:sz="0" w:space="0" w:color="auto"/>
            <w:right w:val="none" w:sz="0" w:space="0" w:color="auto"/>
          </w:divBdr>
        </w:div>
        <w:div w:id="945844166">
          <w:marLeft w:val="0"/>
          <w:marRight w:val="0"/>
          <w:marTop w:val="0"/>
          <w:marBottom w:val="0"/>
          <w:divBdr>
            <w:top w:val="none" w:sz="0" w:space="0" w:color="auto"/>
            <w:left w:val="none" w:sz="0" w:space="0" w:color="auto"/>
            <w:bottom w:val="none" w:sz="0" w:space="0" w:color="auto"/>
            <w:right w:val="none" w:sz="0" w:space="0" w:color="auto"/>
          </w:divBdr>
        </w:div>
        <w:div w:id="963147546">
          <w:marLeft w:val="0"/>
          <w:marRight w:val="0"/>
          <w:marTop w:val="0"/>
          <w:marBottom w:val="0"/>
          <w:divBdr>
            <w:top w:val="none" w:sz="0" w:space="0" w:color="auto"/>
            <w:left w:val="none" w:sz="0" w:space="0" w:color="auto"/>
            <w:bottom w:val="none" w:sz="0" w:space="0" w:color="auto"/>
            <w:right w:val="none" w:sz="0" w:space="0" w:color="auto"/>
          </w:divBdr>
        </w:div>
        <w:div w:id="966855469">
          <w:marLeft w:val="0"/>
          <w:marRight w:val="0"/>
          <w:marTop w:val="0"/>
          <w:marBottom w:val="0"/>
          <w:divBdr>
            <w:top w:val="none" w:sz="0" w:space="0" w:color="auto"/>
            <w:left w:val="none" w:sz="0" w:space="0" w:color="auto"/>
            <w:bottom w:val="none" w:sz="0" w:space="0" w:color="auto"/>
            <w:right w:val="none" w:sz="0" w:space="0" w:color="auto"/>
          </w:divBdr>
        </w:div>
        <w:div w:id="970554160">
          <w:marLeft w:val="0"/>
          <w:marRight w:val="0"/>
          <w:marTop w:val="0"/>
          <w:marBottom w:val="0"/>
          <w:divBdr>
            <w:top w:val="none" w:sz="0" w:space="0" w:color="auto"/>
            <w:left w:val="none" w:sz="0" w:space="0" w:color="auto"/>
            <w:bottom w:val="none" w:sz="0" w:space="0" w:color="auto"/>
            <w:right w:val="none" w:sz="0" w:space="0" w:color="auto"/>
          </w:divBdr>
        </w:div>
        <w:div w:id="991715030">
          <w:marLeft w:val="0"/>
          <w:marRight w:val="0"/>
          <w:marTop w:val="0"/>
          <w:marBottom w:val="0"/>
          <w:divBdr>
            <w:top w:val="none" w:sz="0" w:space="0" w:color="auto"/>
            <w:left w:val="none" w:sz="0" w:space="0" w:color="auto"/>
            <w:bottom w:val="none" w:sz="0" w:space="0" w:color="auto"/>
            <w:right w:val="none" w:sz="0" w:space="0" w:color="auto"/>
          </w:divBdr>
        </w:div>
        <w:div w:id="1012072716">
          <w:marLeft w:val="0"/>
          <w:marRight w:val="0"/>
          <w:marTop w:val="0"/>
          <w:marBottom w:val="0"/>
          <w:divBdr>
            <w:top w:val="none" w:sz="0" w:space="0" w:color="auto"/>
            <w:left w:val="none" w:sz="0" w:space="0" w:color="auto"/>
            <w:bottom w:val="none" w:sz="0" w:space="0" w:color="auto"/>
            <w:right w:val="none" w:sz="0" w:space="0" w:color="auto"/>
          </w:divBdr>
        </w:div>
        <w:div w:id="1033580014">
          <w:marLeft w:val="0"/>
          <w:marRight w:val="0"/>
          <w:marTop w:val="0"/>
          <w:marBottom w:val="0"/>
          <w:divBdr>
            <w:top w:val="none" w:sz="0" w:space="0" w:color="auto"/>
            <w:left w:val="none" w:sz="0" w:space="0" w:color="auto"/>
            <w:bottom w:val="none" w:sz="0" w:space="0" w:color="auto"/>
            <w:right w:val="none" w:sz="0" w:space="0" w:color="auto"/>
          </w:divBdr>
        </w:div>
        <w:div w:id="1040933114">
          <w:marLeft w:val="0"/>
          <w:marRight w:val="0"/>
          <w:marTop w:val="0"/>
          <w:marBottom w:val="0"/>
          <w:divBdr>
            <w:top w:val="none" w:sz="0" w:space="0" w:color="auto"/>
            <w:left w:val="none" w:sz="0" w:space="0" w:color="auto"/>
            <w:bottom w:val="none" w:sz="0" w:space="0" w:color="auto"/>
            <w:right w:val="none" w:sz="0" w:space="0" w:color="auto"/>
          </w:divBdr>
        </w:div>
        <w:div w:id="1047220245">
          <w:marLeft w:val="0"/>
          <w:marRight w:val="0"/>
          <w:marTop w:val="0"/>
          <w:marBottom w:val="0"/>
          <w:divBdr>
            <w:top w:val="none" w:sz="0" w:space="0" w:color="auto"/>
            <w:left w:val="none" w:sz="0" w:space="0" w:color="auto"/>
            <w:bottom w:val="none" w:sz="0" w:space="0" w:color="auto"/>
            <w:right w:val="none" w:sz="0" w:space="0" w:color="auto"/>
          </w:divBdr>
        </w:div>
        <w:div w:id="1051081252">
          <w:marLeft w:val="0"/>
          <w:marRight w:val="0"/>
          <w:marTop w:val="0"/>
          <w:marBottom w:val="0"/>
          <w:divBdr>
            <w:top w:val="none" w:sz="0" w:space="0" w:color="auto"/>
            <w:left w:val="none" w:sz="0" w:space="0" w:color="auto"/>
            <w:bottom w:val="none" w:sz="0" w:space="0" w:color="auto"/>
            <w:right w:val="none" w:sz="0" w:space="0" w:color="auto"/>
          </w:divBdr>
        </w:div>
        <w:div w:id="1067612973">
          <w:marLeft w:val="0"/>
          <w:marRight w:val="0"/>
          <w:marTop w:val="0"/>
          <w:marBottom w:val="0"/>
          <w:divBdr>
            <w:top w:val="none" w:sz="0" w:space="0" w:color="auto"/>
            <w:left w:val="none" w:sz="0" w:space="0" w:color="auto"/>
            <w:bottom w:val="none" w:sz="0" w:space="0" w:color="auto"/>
            <w:right w:val="none" w:sz="0" w:space="0" w:color="auto"/>
          </w:divBdr>
        </w:div>
        <w:div w:id="1076320739">
          <w:marLeft w:val="0"/>
          <w:marRight w:val="0"/>
          <w:marTop w:val="0"/>
          <w:marBottom w:val="0"/>
          <w:divBdr>
            <w:top w:val="none" w:sz="0" w:space="0" w:color="auto"/>
            <w:left w:val="none" w:sz="0" w:space="0" w:color="auto"/>
            <w:bottom w:val="none" w:sz="0" w:space="0" w:color="auto"/>
            <w:right w:val="none" w:sz="0" w:space="0" w:color="auto"/>
          </w:divBdr>
        </w:div>
        <w:div w:id="1078942303">
          <w:marLeft w:val="0"/>
          <w:marRight w:val="0"/>
          <w:marTop w:val="0"/>
          <w:marBottom w:val="0"/>
          <w:divBdr>
            <w:top w:val="none" w:sz="0" w:space="0" w:color="auto"/>
            <w:left w:val="none" w:sz="0" w:space="0" w:color="auto"/>
            <w:bottom w:val="none" w:sz="0" w:space="0" w:color="auto"/>
            <w:right w:val="none" w:sz="0" w:space="0" w:color="auto"/>
          </w:divBdr>
        </w:div>
        <w:div w:id="1085760890">
          <w:marLeft w:val="0"/>
          <w:marRight w:val="0"/>
          <w:marTop w:val="0"/>
          <w:marBottom w:val="0"/>
          <w:divBdr>
            <w:top w:val="none" w:sz="0" w:space="0" w:color="auto"/>
            <w:left w:val="none" w:sz="0" w:space="0" w:color="auto"/>
            <w:bottom w:val="none" w:sz="0" w:space="0" w:color="auto"/>
            <w:right w:val="none" w:sz="0" w:space="0" w:color="auto"/>
          </w:divBdr>
        </w:div>
        <w:div w:id="1086344674">
          <w:marLeft w:val="0"/>
          <w:marRight w:val="0"/>
          <w:marTop w:val="0"/>
          <w:marBottom w:val="0"/>
          <w:divBdr>
            <w:top w:val="none" w:sz="0" w:space="0" w:color="auto"/>
            <w:left w:val="none" w:sz="0" w:space="0" w:color="auto"/>
            <w:bottom w:val="none" w:sz="0" w:space="0" w:color="auto"/>
            <w:right w:val="none" w:sz="0" w:space="0" w:color="auto"/>
          </w:divBdr>
        </w:div>
        <w:div w:id="1090083421">
          <w:marLeft w:val="0"/>
          <w:marRight w:val="0"/>
          <w:marTop w:val="0"/>
          <w:marBottom w:val="0"/>
          <w:divBdr>
            <w:top w:val="none" w:sz="0" w:space="0" w:color="auto"/>
            <w:left w:val="none" w:sz="0" w:space="0" w:color="auto"/>
            <w:bottom w:val="none" w:sz="0" w:space="0" w:color="auto"/>
            <w:right w:val="none" w:sz="0" w:space="0" w:color="auto"/>
          </w:divBdr>
        </w:div>
        <w:div w:id="1094320511">
          <w:marLeft w:val="0"/>
          <w:marRight w:val="0"/>
          <w:marTop w:val="0"/>
          <w:marBottom w:val="0"/>
          <w:divBdr>
            <w:top w:val="none" w:sz="0" w:space="0" w:color="auto"/>
            <w:left w:val="none" w:sz="0" w:space="0" w:color="auto"/>
            <w:bottom w:val="none" w:sz="0" w:space="0" w:color="auto"/>
            <w:right w:val="none" w:sz="0" w:space="0" w:color="auto"/>
          </w:divBdr>
        </w:div>
        <w:div w:id="1099065434">
          <w:marLeft w:val="0"/>
          <w:marRight w:val="0"/>
          <w:marTop w:val="0"/>
          <w:marBottom w:val="0"/>
          <w:divBdr>
            <w:top w:val="none" w:sz="0" w:space="0" w:color="auto"/>
            <w:left w:val="none" w:sz="0" w:space="0" w:color="auto"/>
            <w:bottom w:val="none" w:sz="0" w:space="0" w:color="auto"/>
            <w:right w:val="none" w:sz="0" w:space="0" w:color="auto"/>
          </w:divBdr>
        </w:div>
        <w:div w:id="1104226639">
          <w:marLeft w:val="0"/>
          <w:marRight w:val="0"/>
          <w:marTop w:val="0"/>
          <w:marBottom w:val="0"/>
          <w:divBdr>
            <w:top w:val="none" w:sz="0" w:space="0" w:color="auto"/>
            <w:left w:val="none" w:sz="0" w:space="0" w:color="auto"/>
            <w:bottom w:val="none" w:sz="0" w:space="0" w:color="auto"/>
            <w:right w:val="none" w:sz="0" w:space="0" w:color="auto"/>
          </w:divBdr>
        </w:div>
        <w:div w:id="1106001306">
          <w:marLeft w:val="0"/>
          <w:marRight w:val="0"/>
          <w:marTop w:val="0"/>
          <w:marBottom w:val="0"/>
          <w:divBdr>
            <w:top w:val="none" w:sz="0" w:space="0" w:color="auto"/>
            <w:left w:val="none" w:sz="0" w:space="0" w:color="auto"/>
            <w:bottom w:val="none" w:sz="0" w:space="0" w:color="auto"/>
            <w:right w:val="none" w:sz="0" w:space="0" w:color="auto"/>
          </w:divBdr>
        </w:div>
        <w:div w:id="1126586788">
          <w:marLeft w:val="0"/>
          <w:marRight w:val="0"/>
          <w:marTop w:val="0"/>
          <w:marBottom w:val="0"/>
          <w:divBdr>
            <w:top w:val="none" w:sz="0" w:space="0" w:color="auto"/>
            <w:left w:val="none" w:sz="0" w:space="0" w:color="auto"/>
            <w:bottom w:val="none" w:sz="0" w:space="0" w:color="auto"/>
            <w:right w:val="none" w:sz="0" w:space="0" w:color="auto"/>
          </w:divBdr>
        </w:div>
        <w:div w:id="1131899751">
          <w:marLeft w:val="0"/>
          <w:marRight w:val="0"/>
          <w:marTop w:val="0"/>
          <w:marBottom w:val="0"/>
          <w:divBdr>
            <w:top w:val="none" w:sz="0" w:space="0" w:color="auto"/>
            <w:left w:val="none" w:sz="0" w:space="0" w:color="auto"/>
            <w:bottom w:val="none" w:sz="0" w:space="0" w:color="auto"/>
            <w:right w:val="none" w:sz="0" w:space="0" w:color="auto"/>
          </w:divBdr>
        </w:div>
        <w:div w:id="1132551011">
          <w:marLeft w:val="0"/>
          <w:marRight w:val="0"/>
          <w:marTop w:val="0"/>
          <w:marBottom w:val="0"/>
          <w:divBdr>
            <w:top w:val="none" w:sz="0" w:space="0" w:color="auto"/>
            <w:left w:val="none" w:sz="0" w:space="0" w:color="auto"/>
            <w:bottom w:val="none" w:sz="0" w:space="0" w:color="auto"/>
            <w:right w:val="none" w:sz="0" w:space="0" w:color="auto"/>
          </w:divBdr>
        </w:div>
        <w:div w:id="1147820997">
          <w:marLeft w:val="0"/>
          <w:marRight w:val="0"/>
          <w:marTop w:val="0"/>
          <w:marBottom w:val="0"/>
          <w:divBdr>
            <w:top w:val="none" w:sz="0" w:space="0" w:color="auto"/>
            <w:left w:val="none" w:sz="0" w:space="0" w:color="auto"/>
            <w:bottom w:val="none" w:sz="0" w:space="0" w:color="auto"/>
            <w:right w:val="none" w:sz="0" w:space="0" w:color="auto"/>
          </w:divBdr>
        </w:div>
        <w:div w:id="1149132263">
          <w:marLeft w:val="0"/>
          <w:marRight w:val="0"/>
          <w:marTop w:val="0"/>
          <w:marBottom w:val="0"/>
          <w:divBdr>
            <w:top w:val="none" w:sz="0" w:space="0" w:color="auto"/>
            <w:left w:val="none" w:sz="0" w:space="0" w:color="auto"/>
            <w:bottom w:val="none" w:sz="0" w:space="0" w:color="auto"/>
            <w:right w:val="none" w:sz="0" w:space="0" w:color="auto"/>
          </w:divBdr>
        </w:div>
        <w:div w:id="1152137349">
          <w:marLeft w:val="0"/>
          <w:marRight w:val="0"/>
          <w:marTop w:val="0"/>
          <w:marBottom w:val="0"/>
          <w:divBdr>
            <w:top w:val="none" w:sz="0" w:space="0" w:color="auto"/>
            <w:left w:val="none" w:sz="0" w:space="0" w:color="auto"/>
            <w:bottom w:val="none" w:sz="0" w:space="0" w:color="auto"/>
            <w:right w:val="none" w:sz="0" w:space="0" w:color="auto"/>
          </w:divBdr>
        </w:div>
        <w:div w:id="1154221745">
          <w:marLeft w:val="0"/>
          <w:marRight w:val="0"/>
          <w:marTop w:val="0"/>
          <w:marBottom w:val="0"/>
          <w:divBdr>
            <w:top w:val="none" w:sz="0" w:space="0" w:color="auto"/>
            <w:left w:val="none" w:sz="0" w:space="0" w:color="auto"/>
            <w:bottom w:val="none" w:sz="0" w:space="0" w:color="auto"/>
            <w:right w:val="none" w:sz="0" w:space="0" w:color="auto"/>
          </w:divBdr>
        </w:div>
        <w:div w:id="1156267953">
          <w:marLeft w:val="0"/>
          <w:marRight w:val="0"/>
          <w:marTop w:val="0"/>
          <w:marBottom w:val="0"/>
          <w:divBdr>
            <w:top w:val="none" w:sz="0" w:space="0" w:color="auto"/>
            <w:left w:val="none" w:sz="0" w:space="0" w:color="auto"/>
            <w:bottom w:val="none" w:sz="0" w:space="0" w:color="auto"/>
            <w:right w:val="none" w:sz="0" w:space="0" w:color="auto"/>
          </w:divBdr>
        </w:div>
        <w:div w:id="1164514660">
          <w:marLeft w:val="0"/>
          <w:marRight w:val="0"/>
          <w:marTop w:val="0"/>
          <w:marBottom w:val="0"/>
          <w:divBdr>
            <w:top w:val="none" w:sz="0" w:space="0" w:color="auto"/>
            <w:left w:val="none" w:sz="0" w:space="0" w:color="auto"/>
            <w:bottom w:val="none" w:sz="0" w:space="0" w:color="auto"/>
            <w:right w:val="none" w:sz="0" w:space="0" w:color="auto"/>
          </w:divBdr>
        </w:div>
        <w:div w:id="1169830999">
          <w:marLeft w:val="0"/>
          <w:marRight w:val="0"/>
          <w:marTop w:val="0"/>
          <w:marBottom w:val="0"/>
          <w:divBdr>
            <w:top w:val="none" w:sz="0" w:space="0" w:color="auto"/>
            <w:left w:val="none" w:sz="0" w:space="0" w:color="auto"/>
            <w:bottom w:val="none" w:sz="0" w:space="0" w:color="auto"/>
            <w:right w:val="none" w:sz="0" w:space="0" w:color="auto"/>
          </w:divBdr>
        </w:div>
        <w:div w:id="1186286631">
          <w:marLeft w:val="0"/>
          <w:marRight w:val="0"/>
          <w:marTop w:val="0"/>
          <w:marBottom w:val="0"/>
          <w:divBdr>
            <w:top w:val="none" w:sz="0" w:space="0" w:color="auto"/>
            <w:left w:val="none" w:sz="0" w:space="0" w:color="auto"/>
            <w:bottom w:val="none" w:sz="0" w:space="0" w:color="auto"/>
            <w:right w:val="none" w:sz="0" w:space="0" w:color="auto"/>
          </w:divBdr>
        </w:div>
        <w:div w:id="1189224027">
          <w:marLeft w:val="0"/>
          <w:marRight w:val="0"/>
          <w:marTop w:val="0"/>
          <w:marBottom w:val="0"/>
          <w:divBdr>
            <w:top w:val="none" w:sz="0" w:space="0" w:color="auto"/>
            <w:left w:val="none" w:sz="0" w:space="0" w:color="auto"/>
            <w:bottom w:val="none" w:sz="0" w:space="0" w:color="auto"/>
            <w:right w:val="none" w:sz="0" w:space="0" w:color="auto"/>
          </w:divBdr>
        </w:div>
        <w:div w:id="1195315320">
          <w:marLeft w:val="0"/>
          <w:marRight w:val="0"/>
          <w:marTop w:val="0"/>
          <w:marBottom w:val="0"/>
          <w:divBdr>
            <w:top w:val="none" w:sz="0" w:space="0" w:color="auto"/>
            <w:left w:val="none" w:sz="0" w:space="0" w:color="auto"/>
            <w:bottom w:val="none" w:sz="0" w:space="0" w:color="auto"/>
            <w:right w:val="none" w:sz="0" w:space="0" w:color="auto"/>
          </w:divBdr>
        </w:div>
        <w:div w:id="1202330392">
          <w:marLeft w:val="0"/>
          <w:marRight w:val="0"/>
          <w:marTop w:val="0"/>
          <w:marBottom w:val="0"/>
          <w:divBdr>
            <w:top w:val="none" w:sz="0" w:space="0" w:color="auto"/>
            <w:left w:val="none" w:sz="0" w:space="0" w:color="auto"/>
            <w:bottom w:val="none" w:sz="0" w:space="0" w:color="auto"/>
            <w:right w:val="none" w:sz="0" w:space="0" w:color="auto"/>
          </w:divBdr>
        </w:div>
        <w:div w:id="1210261835">
          <w:marLeft w:val="0"/>
          <w:marRight w:val="0"/>
          <w:marTop w:val="0"/>
          <w:marBottom w:val="0"/>
          <w:divBdr>
            <w:top w:val="none" w:sz="0" w:space="0" w:color="auto"/>
            <w:left w:val="none" w:sz="0" w:space="0" w:color="auto"/>
            <w:bottom w:val="none" w:sz="0" w:space="0" w:color="auto"/>
            <w:right w:val="none" w:sz="0" w:space="0" w:color="auto"/>
          </w:divBdr>
        </w:div>
        <w:div w:id="1215848483">
          <w:marLeft w:val="0"/>
          <w:marRight w:val="0"/>
          <w:marTop w:val="0"/>
          <w:marBottom w:val="0"/>
          <w:divBdr>
            <w:top w:val="none" w:sz="0" w:space="0" w:color="auto"/>
            <w:left w:val="none" w:sz="0" w:space="0" w:color="auto"/>
            <w:bottom w:val="none" w:sz="0" w:space="0" w:color="auto"/>
            <w:right w:val="none" w:sz="0" w:space="0" w:color="auto"/>
          </w:divBdr>
        </w:div>
        <w:div w:id="1219903897">
          <w:marLeft w:val="0"/>
          <w:marRight w:val="0"/>
          <w:marTop w:val="0"/>
          <w:marBottom w:val="0"/>
          <w:divBdr>
            <w:top w:val="none" w:sz="0" w:space="0" w:color="auto"/>
            <w:left w:val="none" w:sz="0" w:space="0" w:color="auto"/>
            <w:bottom w:val="none" w:sz="0" w:space="0" w:color="auto"/>
            <w:right w:val="none" w:sz="0" w:space="0" w:color="auto"/>
          </w:divBdr>
        </w:div>
        <w:div w:id="1224219234">
          <w:marLeft w:val="0"/>
          <w:marRight w:val="0"/>
          <w:marTop w:val="0"/>
          <w:marBottom w:val="0"/>
          <w:divBdr>
            <w:top w:val="none" w:sz="0" w:space="0" w:color="auto"/>
            <w:left w:val="none" w:sz="0" w:space="0" w:color="auto"/>
            <w:bottom w:val="none" w:sz="0" w:space="0" w:color="auto"/>
            <w:right w:val="none" w:sz="0" w:space="0" w:color="auto"/>
          </w:divBdr>
        </w:div>
        <w:div w:id="1227112433">
          <w:marLeft w:val="0"/>
          <w:marRight w:val="0"/>
          <w:marTop w:val="0"/>
          <w:marBottom w:val="0"/>
          <w:divBdr>
            <w:top w:val="none" w:sz="0" w:space="0" w:color="auto"/>
            <w:left w:val="none" w:sz="0" w:space="0" w:color="auto"/>
            <w:bottom w:val="none" w:sz="0" w:space="0" w:color="auto"/>
            <w:right w:val="none" w:sz="0" w:space="0" w:color="auto"/>
          </w:divBdr>
        </w:div>
        <w:div w:id="1228342489">
          <w:marLeft w:val="0"/>
          <w:marRight w:val="0"/>
          <w:marTop w:val="0"/>
          <w:marBottom w:val="0"/>
          <w:divBdr>
            <w:top w:val="none" w:sz="0" w:space="0" w:color="auto"/>
            <w:left w:val="none" w:sz="0" w:space="0" w:color="auto"/>
            <w:bottom w:val="none" w:sz="0" w:space="0" w:color="auto"/>
            <w:right w:val="none" w:sz="0" w:space="0" w:color="auto"/>
          </w:divBdr>
        </w:div>
        <w:div w:id="1230727175">
          <w:marLeft w:val="0"/>
          <w:marRight w:val="0"/>
          <w:marTop w:val="0"/>
          <w:marBottom w:val="0"/>
          <w:divBdr>
            <w:top w:val="none" w:sz="0" w:space="0" w:color="auto"/>
            <w:left w:val="none" w:sz="0" w:space="0" w:color="auto"/>
            <w:bottom w:val="none" w:sz="0" w:space="0" w:color="auto"/>
            <w:right w:val="none" w:sz="0" w:space="0" w:color="auto"/>
          </w:divBdr>
        </w:div>
        <w:div w:id="1243950148">
          <w:marLeft w:val="0"/>
          <w:marRight w:val="0"/>
          <w:marTop w:val="0"/>
          <w:marBottom w:val="0"/>
          <w:divBdr>
            <w:top w:val="none" w:sz="0" w:space="0" w:color="auto"/>
            <w:left w:val="none" w:sz="0" w:space="0" w:color="auto"/>
            <w:bottom w:val="none" w:sz="0" w:space="0" w:color="auto"/>
            <w:right w:val="none" w:sz="0" w:space="0" w:color="auto"/>
          </w:divBdr>
        </w:div>
        <w:div w:id="1245991139">
          <w:marLeft w:val="0"/>
          <w:marRight w:val="0"/>
          <w:marTop w:val="0"/>
          <w:marBottom w:val="0"/>
          <w:divBdr>
            <w:top w:val="none" w:sz="0" w:space="0" w:color="auto"/>
            <w:left w:val="none" w:sz="0" w:space="0" w:color="auto"/>
            <w:bottom w:val="none" w:sz="0" w:space="0" w:color="auto"/>
            <w:right w:val="none" w:sz="0" w:space="0" w:color="auto"/>
          </w:divBdr>
        </w:div>
        <w:div w:id="1254555816">
          <w:marLeft w:val="0"/>
          <w:marRight w:val="0"/>
          <w:marTop w:val="0"/>
          <w:marBottom w:val="0"/>
          <w:divBdr>
            <w:top w:val="none" w:sz="0" w:space="0" w:color="auto"/>
            <w:left w:val="none" w:sz="0" w:space="0" w:color="auto"/>
            <w:bottom w:val="none" w:sz="0" w:space="0" w:color="auto"/>
            <w:right w:val="none" w:sz="0" w:space="0" w:color="auto"/>
          </w:divBdr>
        </w:div>
        <w:div w:id="1256792969">
          <w:marLeft w:val="0"/>
          <w:marRight w:val="0"/>
          <w:marTop w:val="0"/>
          <w:marBottom w:val="0"/>
          <w:divBdr>
            <w:top w:val="none" w:sz="0" w:space="0" w:color="auto"/>
            <w:left w:val="none" w:sz="0" w:space="0" w:color="auto"/>
            <w:bottom w:val="none" w:sz="0" w:space="0" w:color="auto"/>
            <w:right w:val="none" w:sz="0" w:space="0" w:color="auto"/>
          </w:divBdr>
        </w:div>
        <w:div w:id="1282565889">
          <w:marLeft w:val="0"/>
          <w:marRight w:val="0"/>
          <w:marTop w:val="0"/>
          <w:marBottom w:val="0"/>
          <w:divBdr>
            <w:top w:val="none" w:sz="0" w:space="0" w:color="auto"/>
            <w:left w:val="none" w:sz="0" w:space="0" w:color="auto"/>
            <w:bottom w:val="none" w:sz="0" w:space="0" w:color="auto"/>
            <w:right w:val="none" w:sz="0" w:space="0" w:color="auto"/>
          </w:divBdr>
        </w:div>
        <w:div w:id="1289631877">
          <w:marLeft w:val="0"/>
          <w:marRight w:val="0"/>
          <w:marTop w:val="0"/>
          <w:marBottom w:val="0"/>
          <w:divBdr>
            <w:top w:val="none" w:sz="0" w:space="0" w:color="auto"/>
            <w:left w:val="none" w:sz="0" w:space="0" w:color="auto"/>
            <w:bottom w:val="none" w:sz="0" w:space="0" w:color="auto"/>
            <w:right w:val="none" w:sz="0" w:space="0" w:color="auto"/>
          </w:divBdr>
        </w:div>
        <w:div w:id="1290169332">
          <w:marLeft w:val="0"/>
          <w:marRight w:val="0"/>
          <w:marTop w:val="0"/>
          <w:marBottom w:val="0"/>
          <w:divBdr>
            <w:top w:val="none" w:sz="0" w:space="0" w:color="auto"/>
            <w:left w:val="none" w:sz="0" w:space="0" w:color="auto"/>
            <w:bottom w:val="none" w:sz="0" w:space="0" w:color="auto"/>
            <w:right w:val="none" w:sz="0" w:space="0" w:color="auto"/>
          </w:divBdr>
        </w:div>
        <w:div w:id="1291596482">
          <w:marLeft w:val="0"/>
          <w:marRight w:val="0"/>
          <w:marTop w:val="0"/>
          <w:marBottom w:val="0"/>
          <w:divBdr>
            <w:top w:val="none" w:sz="0" w:space="0" w:color="auto"/>
            <w:left w:val="none" w:sz="0" w:space="0" w:color="auto"/>
            <w:bottom w:val="none" w:sz="0" w:space="0" w:color="auto"/>
            <w:right w:val="none" w:sz="0" w:space="0" w:color="auto"/>
          </w:divBdr>
        </w:div>
        <w:div w:id="1292133819">
          <w:marLeft w:val="0"/>
          <w:marRight w:val="0"/>
          <w:marTop w:val="0"/>
          <w:marBottom w:val="0"/>
          <w:divBdr>
            <w:top w:val="none" w:sz="0" w:space="0" w:color="auto"/>
            <w:left w:val="none" w:sz="0" w:space="0" w:color="auto"/>
            <w:bottom w:val="none" w:sz="0" w:space="0" w:color="auto"/>
            <w:right w:val="none" w:sz="0" w:space="0" w:color="auto"/>
          </w:divBdr>
        </w:div>
        <w:div w:id="1308052788">
          <w:marLeft w:val="0"/>
          <w:marRight w:val="0"/>
          <w:marTop w:val="0"/>
          <w:marBottom w:val="0"/>
          <w:divBdr>
            <w:top w:val="none" w:sz="0" w:space="0" w:color="auto"/>
            <w:left w:val="none" w:sz="0" w:space="0" w:color="auto"/>
            <w:bottom w:val="none" w:sz="0" w:space="0" w:color="auto"/>
            <w:right w:val="none" w:sz="0" w:space="0" w:color="auto"/>
          </w:divBdr>
        </w:div>
        <w:div w:id="1327897725">
          <w:marLeft w:val="0"/>
          <w:marRight w:val="0"/>
          <w:marTop w:val="0"/>
          <w:marBottom w:val="0"/>
          <w:divBdr>
            <w:top w:val="none" w:sz="0" w:space="0" w:color="auto"/>
            <w:left w:val="none" w:sz="0" w:space="0" w:color="auto"/>
            <w:bottom w:val="none" w:sz="0" w:space="0" w:color="auto"/>
            <w:right w:val="none" w:sz="0" w:space="0" w:color="auto"/>
          </w:divBdr>
        </w:div>
        <w:div w:id="1332022670">
          <w:marLeft w:val="0"/>
          <w:marRight w:val="0"/>
          <w:marTop w:val="0"/>
          <w:marBottom w:val="0"/>
          <w:divBdr>
            <w:top w:val="none" w:sz="0" w:space="0" w:color="auto"/>
            <w:left w:val="none" w:sz="0" w:space="0" w:color="auto"/>
            <w:bottom w:val="none" w:sz="0" w:space="0" w:color="auto"/>
            <w:right w:val="none" w:sz="0" w:space="0" w:color="auto"/>
          </w:divBdr>
        </w:div>
        <w:div w:id="1339163553">
          <w:marLeft w:val="0"/>
          <w:marRight w:val="0"/>
          <w:marTop w:val="0"/>
          <w:marBottom w:val="0"/>
          <w:divBdr>
            <w:top w:val="none" w:sz="0" w:space="0" w:color="auto"/>
            <w:left w:val="none" w:sz="0" w:space="0" w:color="auto"/>
            <w:bottom w:val="none" w:sz="0" w:space="0" w:color="auto"/>
            <w:right w:val="none" w:sz="0" w:space="0" w:color="auto"/>
          </w:divBdr>
        </w:div>
        <w:div w:id="1360398489">
          <w:marLeft w:val="0"/>
          <w:marRight w:val="0"/>
          <w:marTop w:val="0"/>
          <w:marBottom w:val="0"/>
          <w:divBdr>
            <w:top w:val="none" w:sz="0" w:space="0" w:color="auto"/>
            <w:left w:val="none" w:sz="0" w:space="0" w:color="auto"/>
            <w:bottom w:val="none" w:sz="0" w:space="0" w:color="auto"/>
            <w:right w:val="none" w:sz="0" w:space="0" w:color="auto"/>
          </w:divBdr>
        </w:div>
        <w:div w:id="1362390632">
          <w:marLeft w:val="0"/>
          <w:marRight w:val="0"/>
          <w:marTop w:val="0"/>
          <w:marBottom w:val="0"/>
          <w:divBdr>
            <w:top w:val="none" w:sz="0" w:space="0" w:color="auto"/>
            <w:left w:val="none" w:sz="0" w:space="0" w:color="auto"/>
            <w:bottom w:val="none" w:sz="0" w:space="0" w:color="auto"/>
            <w:right w:val="none" w:sz="0" w:space="0" w:color="auto"/>
          </w:divBdr>
        </w:div>
        <w:div w:id="1365059320">
          <w:marLeft w:val="0"/>
          <w:marRight w:val="0"/>
          <w:marTop w:val="0"/>
          <w:marBottom w:val="0"/>
          <w:divBdr>
            <w:top w:val="none" w:sz="0" w:space="0" w:color="auto"/>
            <w:left w:val="none" w:sz="0" w:space="0" w:color="auto"/>
            <w:bottom w:val="none" w:sz="0" w:space="0" w:color="auto"/>
            <w:right w:val="none" w:sz="0" w:space="0" w:color="auto"/>
          </w:divBdr>
        </w:div>
        <w:div w:id="1365793070">
          <w:marLeft w:val="0"/>
          <w:marRight w:val="0"/>
          <w:marTop w:val="0"/>
          <w:marBottom w:val="0"/>
          <w:divBdr>
            <w:top w:val="none" w:sz="0" w:space="0" w:color="auto"/>
            <w:left w:val="none" w:sz="0" w:space="0" w:color="auto"/>
            <w:bottom w:val="none" w:sz="0" w:space="0" w:color="auto"/>
            <w:right w:val="none" w:sz="0" w:space="0" w:color="auto"/>
          </w:divBdr>
        </w:div>
        <w:div w:id="1372918697">
          <w:marLeft w:val="0"/>
          <w:marRight w:val="0"/>
          <w:marTop w:val="0"/>
          <w:marBottom w:val="0"/>
          <w:divBdr>
            <w:top w:val="none" w:sz="0" w:space="0" w:color="auto"/>
            <w:left w:val="none" w:sz="0" w:space="0" w:color="auto"/>
            <w:bottom w:val="none" w:sz="0" w:space="0" w:color="auto"/>
            <w:right w:val="none" w:sz="0" w:space="0" w:color="auto"/>
          </w:divBdr>
        </w:div>
        <w:div w:id="1373919391">
          <w:marLeft w:val="0"/>
          <w:marRight w:val="0"/>
          <w:marTop w:val="0"/>
          <w:marBottom w:val="0"/>
          <w:divBdr>
            <w:top w:val="none" w:sz="0" w:space="0" w:color="auto"/>
            <w:left w:val="none" w:sz="0" w:space="0" w:color="auto"/>
            <w:bottom w:val="none" w:sz="0" w:space="0" w:color="auto"/>
            <w:right w:val="none" w:sz="0" w:space="0" w:color="auto"/>
          </w:divBdr>
        </w:div>
        <w:div w:id="1398241370">
          <w:marLeft w:val="0"/>
          <w:marRight w:val="0"/>
          <w:marTop w:val="0"/>
          <w:marBottom w:val="0"/>
          <w:divBdr>
            <w:top w:val="none" w:sz="0" w:space="0" w:color="auto"/>
            <w:left w:val="none" w:sz="0" w:space="0" w:color="auto"/>
            <w:bottom w:val="none" w:sz="0" w:space="0" w:color="auto"/>
            <w:right w:val="none" w:sz="0" w:space="0" w:color="auto"/>
          </w:divBdr>
        </w:div>
        <w:div w:id="1399205948">
          <w:marLeft w:val="0"/>
          <w:marRight w:val="0"/>
          <w:marTop w:val="0"/>
          <w:marBottom w:val="0"/>
          <w:divBdr>
            <w:top w:val="none" w:sz="0" w:space="0" w:color="auto"/>
            <w:left w:val="none" w:sz="0" w:space="0" w:color="auto"/>
            <w:bottom w:val="none" w:sz="0" w:space="0" w:color="auto"/>
            <w:right w:val="none" w:sz="0" w:space="0" w:color="auto"/>
          </w:divBdr>
        </w:div>
        <w:div w:id="1410418445">
          <w:marLeft w:val="0"/>
          <w:marRight w:val="0"/>
          <w:marTop w:val="0"/>
          <w:marBottom w:val="0"/>
          <w:divBdr>
            <w:top w:val="none" w:sz="0" w:space="0" w:color="auto"/>
            <w:left w:val="none" w:sz="0" w:space="0" w:color="auto"/>
            <w:bottom w:val="none" w:sz="0" w:space="0" w:color="auto"/>
            <w:right w:val="none" w:sz="0" w:space="0" w:color="auto"/>
          </w:divBdr>
        </w:div>
        <w:div w:id="1412048466">
          <w:marLeft w:val="0"/>
          <w:marRight w:val="0"/>
          <w:marTop w:val="0"/>
          <w:marBottom w:val="0"/>
          <w:divBdr>
            <w:top w:val="none" w:sz="0" w:space="0" w:color="auto"/>
            <w:left w:val="none" w:sz="0" w:space="0" w:color="auto"/>
            <w:bottom w:val="none" w:sz="0" w:space="0" w:color="auto"/>
            <w:right w:val="none" w:sz="0" w:space="0" w:color="auto"/>
          </w:divBdr>
        </w:div>
        <w:div w:id="1416440714">
          <w:marLeft w:val="0"/>
          <w:marRight w:val="0"/>
          <w:marTop w:val="0"/>
          <w:marBottom w:val="0"/>
          <w:divBdr>
            <w:top w:val="none" w:sz="0" w:space="0" w:color="auto"/>
            <w:left w:val="none" w:sz="0" w:space="0" w:color="auto"/>
            <w:bottom w:val="none" w:sz="0" w:space="0" w:color="auto"/>
            <w:right w:val="none" w:sz="0" w:space="0" w:color="auto"/>
          </w:divBdr>
        </w:div>
        <w:div w:id="1428962519">
          <w:marLeft w:val="0"/>
          <w:marRight w:val="0"/>
          <w:marTop w:val="0"/>
          <w:marBottom w:val="0"/>
          <w:divBdr>
            <w:top w:val="none" w:sz="0" w:space="0" w:color="auto"/>
            <w:left w:val="none" w:sz="0" w:space="0" w:color="auto"/>
            <w:bottom w:val="none" w:sz="0" w:space="0" w:color="auto"/>
            <w:right w:val="none" w:sz="0" w:space="0" w:color="auto"/>
          </w:divBdr>
        </w:div>
        <w:div w:id="1434278705">
          <w:marLeft w:val="0"/>
          <w:marRight w:val="0"/>
          <w:marTop w:val="0"/>
          <w:marBottom w:val="0"/>
          <w:divBdr>
            <w:top w:val="none" w:sz="0" w:space="0" w:color="auto"/>
            <w:left w:val="none" w:sz="0" w:space="0" w:color="auto"/>
            <w:bottom w:val="none" w:sz="0" w:space="0" w:color="auto"/>
            <w:right w:val="none" w:sz="0" w:space="0" w:color="auto"/>
          </w:divBdr>
        </w:div>
        <w:div w:id="1440180349">
          <w:marLeft w:val="0"/>
          <w:marRight w:val="0"/>
          <w:marTop w:val="0"/>
          <w:marBottom w:val="0"/>
          <w:divBdr>
            <w:top w:val="none" w:sz="0" w:space="0" w:color="auto"/>
            <w:left w:val="none" w:sz="0" w:space="0" w:color="auto"/>
            <w:bottom w:val="none" w:sz="0" w:space="0" w:color="auto"/>
            <w:right w:val="none" w:sz="0" w:space="0" w:color="auto"/>
          </w:divBdr>
        </w:div>
        <w:div w:id="1441145570">
          <w:marLeft w:val="0"/>
          <w:marRight w:val="0"/>
          <w:marTop w:val="0"/>
          <w:marBottom w:val="0"/>
          <w:divBdr>
            <w:top w:val="none" w:sz="0" w:space="0" w:color="auto"/>
            <w:left w:val="none" w:sz="0" w:space="0" w:color="auto"/>
            <w:bottom w:val="none" w:sz="0" w:space="0" w:color="auto"/>
            <w:right w:val="none" w:sz="0" w:space="0" w:color="auto"/>
          </w:divBdr>
        </w:div>
        <w:div w:id="1446146545">
          <w:marLeft w:val="0"/>
          <w:marRight w:val="0"/>
          <w:marTop w:val="0"/>
          <w:marBottom w:val="0"/>
          <w:divBdr>
            <w:top w:val="none" w:sz="0" w:space="0" w:color="auto"/>
            <w:left w:val="none" w:sz="0" w:space="0" w:color="auto"/>
            <w:bottom w:val="none" w:sz="0" w:space="0" w:color="auto"/>
            <w:right w:val="none" w:sz="0" w:space="0" w:color="auto"/>
          </w:divBdr>
        </w:div>
        <w:div w:id="1449741462">
          <w:marLeft w:val="0"/>
          <w:marRight w:val="0"/>
          <w:marTop w:val="0"/>
          <w:marBottom w:val="0"/>
          <w:divBdr>
            <w:top w:val="none" w:sz="0" w:space="0" w:color="auto"/>
            <w:left w:val="none" w:sz="0" w:space="0" w:color="auto"/>
            <w:bottom w:val="none" w:sz="0" w:space="0" w:color="auto"/>
            <w:right w:val="none" w:sz="0" w:space="0" w:color="auto"/>
          </w:divBdr>
        </w:div>
        <w:div w:id="1458648298">
          <w:marLeft w:val="0"/>
          <w:marRight w:val="0"/>
          <w:marTop w:val="0"/>
          <w:marBottom w:val="0"/>
          <w:divBdr>
            <w:top w:val="none" w:sz="0" w:space="0" w:color="auto"/>
            <w:left w:val="none" w:sz="0" w:space="0" w:color="auto"/>
            <w:bottom w:val="none" w:sz="0" w:space="0" w:color="auto"/>
            <w:right w:val="none" w:sz="0" w:space="0" w:color="auto"/>
          </w:divBdr>
        </w:div>
        <w:div w:id="1464155278">
          <w:marLeft w:val="0"/>
          <w:marRight w:val="0"/>
          <w:marTop w:val="0"/>
          <w:marBottom w:val="0"/>
          <w:divBdr>
            <w:top w:val="none" w:sz="0" w:space="0" w:color="auto"/>
            <w:left w:val="none" w:sz="0" w:space="0" w:color="auto"/>
            <w:bottom w:val="none" w:sz="0" w:space="0" w:color="auto"/>
            <w:right w:val="none" w:sz="0" w:space="0" w:color="auto"/>
          </w:divBdr>
        </w:div>
        <w:div w:id="1470633248">
          <w:marLeft w:val="0"/>
          <w:marRight w:val="0"/>
          <w:marTop w:val="0"/>
          <w:marBottom w:val="0"/>
          <w:divBdr>
            <w:top w:val="none" w:sz="0" w:space="0" w:color="auto"/>
            <w:left w:val="none" w:sz="0" w:space="0" w:color="auto"/>
            <w:bottom w:val="none" w:sz="0" w:space="0" w:color="auto"/>
            <w:right w:val="none" w:sz="0" w:space="0" w:color="auto"/>
          </w:divBdr>
        </w:div>
        <w:div w:id="1488864086">
          <w:marLeft w:val="0"/>
          <w:marRight w:val="0"/>
          <w:marTop w:val="0"/>
          <w:marBottom w:val="0"/>
          <w:divBdr>
            <w:top w:val="none" w:sz="0" w:space="0" w:color="auto"/>
            <w:left w:val="none" w:sz="0" w:space="0" w:color="auto"/>
            <w:bottom w:val="none" w:sz="0" w:space="0" w:color="auto"/>
            <w:right w:val="none" w:sz="0" w:space="0" w:color="auto"/>
          </w:divBdr>
        </w:div>
        <w:div w:id="1494687338">
          <w:marLeft w:val="0"/>
          <w:marRight w:val="0"/>
          <w:marTop w:val="0"/>
          <w:marBottom w:val="0"/>
          <w:divBdr>
            <w:top w:val="none" w:sz="0" w:space="0" w:color="auto"/>
            <w:left w:val="none" w:sz="0" w:space="0" w:color="auto"/>
            <w:bottom w:val="none" w:sz="0" w:space="0" w:color="auto"/>
            <w:right w:val="none" w:sz="0" w:space="0" w:color="auto"/>
          </w:divBdr>
        </w:div>
        <w:div w:id="1496609184">
          <w:marLeft w:val="0"/>
          <w:marRight w:val="0"/>
          <w:marTop w:val="0"/>
          <w:marBottom w:val="0"/>
          <w:divBdr>
            <w:top w:val="none" w:sz="0" w:space="0" w:color="auto"/>
            <w:left w:val="none" w:sz="0" w:space="0" w:color="auto"/>
            <w:bottom w:val="none" w:sz="0" w:space="0" w:color="auto"/>
            <w:right w:val="none" w:sz="0" w:space="0" w:color="auto"/>
          </w:divBdr>
        </w:div>
        <w:div w:id="1500543212">
          <w:marLeft w:val="0"/>
          <w:marRight w:val="0"/>
          <w:marTop w:val="0"/>
          <w:marBottom w:val="0"/>
          <w:divBdr>
            <w:top w:val="none" w:sz="0" w:space="0" w:color="auto"/>
            <w:left w:val="none" w:sz="0" w:space="0" w:color="auto"/>
            <w:bottom w:val="none" w:sz="0" w:space="0" w:color="auto"/>
            <w:right w:val="none" w:sz="0" w:space="0" w:color="auto"/>
          </w:divBdr>
        </w:div>
        <w:div w:id="1529025910">
          <w:marLeft w:val="0"/>
          <w:marRight w:val="0"/>
          <w:marTop w:val="0"/>
          <w:marBottom w:val="0"/>
          <w:divBdr>
            <w:top w:val="none" w:sz="0" w:space="0" w:color="auto"/>
            <w:left w:val="none" w:sz="0" w:space="0" w:color="auto"/>
            <w:bottom w:val="none" w:sz="0" w:space="0" w:color="auto"/>
            <w:right w:val="none" w:sz="0" w:space="0" w:color="auto"/>
          </w:divBdr>
        </w:div>
        <w:div w:id="1530221758">
          <w:marLeft w:val="0"/>
          <w:marRight w:val="0"/>
          <w:marTop w:val="0"/>
          <w:marBottom w:val="0"/>
          <w:divBdr>
            <w:top w:val="none" w:sz="0" w:space="0" w:color="auto"/>
            <w:left w:val="none" w:sz="0" w:space="0" w:color="auto"/>
            <w:bottom w:val="none" w:sz="0" w:space="0" w:color="auto"/>
            <w:right w:val="none" w:sz="0" w:space="0" w:color="auto"/>
          </w:divBdr>
        </w:div>
        <w:div w:id="1530223266">
          <w:marLeft w:val="0"/>
          <w:marRight w:val="0"/>
          <w:marTop w:val="0"/>
          <w:marBottom w:val="0"/>
          <w:divBdr>
            <w:top w:val="none" w:sz="0" w:space="0" w:color="auto"/>
            <w:left w:val="none" w:sz="0" w:space="0" w:color="auto"/>
            <w:bottom w:val="none" w:sz="0" w:space="0" w:color="auto"/>
            <w:right w:val="none" w:sz="0" w:space="0" w:color="auto"/>
          </w:divBdr>
        </w:div>
        <w:div w:id="1531527123">
          <w:marLeft w:val="0"/>
          <w:marRight w:val="0"/>
          <w:marTop w:val="0"/>
          <w:marBottom w:val="0"/>
          <w:divBdr>
            <w:top w:val="none" w:sz="0" w:space="0" w:color="auto"/>
            <w:left w:val="none" w:sz="0" w:space="0" w:color="auto"/>
            <w:bottom w:val="none" w:sz="0" w:space="0" w:color="auto"/>
            <w:right w:val="none" w:sz="0" w:space="0" w:color="auto"/>
          </w:divBdr>
        </w:div>
        <w:div w:id="1543128727">
          <w:marLeft w:val="0"/>
          <w:marRight w:val="0"/>
          <w:marTop w:val="0"/>
          <w:marBottom w:val="0"/>
          <w:divBdr>
            <w:top w:val="none" w:sz="0" w:space="0" w:color="auto"/>
            <w:left w:val="none" w:sz="0" w:space="0" w:color="auto"/>
            <w:bottom w:val="none" w:sz="0" w:space="0" w:color="auto"/>
            <w:right w:val="none" w:sz="0" w:space="0" w:color="auto"/>
          </w:divBdr>
        </w:div>
        <w:div w:id="1551187883">
          <w:marLeft w:val="0"/>
          <w:marRight w:val="0"/>
          <w:marTop w:val="0"/>
          <w:marBottom w:val="0"/>
          <w:divBdr>
            <w:top w:val="none" w:sz="0" w:space="0" w:color="auto"/>
            <w:left w:val="none" w:sz="0" w:space="0" w:color="auto"/>
            <w:bottom w:val="none" w:sz="0" w:space="0" w:color="auto"/>
            <w:right w:val="none" w:sz="0" w:space="0" w:color="auto"/>
          </w:divBdr>
        </w:div>
        <w:div w:id="1551191394">
          <w:marLeft w:val="0"/>
          <w:marRight w:val="0"/>
          <w:marTop w:val="0"/>
          <w:marBottom w:val="0"/>
          <w:divBdr>
            <w:top w:val="none" w:sz="0" w:space="0" w:color="auto"/>
            <w:left w:val="none" w:sz="0" w:space="0" w:color="auto"/>
            <w:bottom w:val="none" w:sz="0" w:space="0" w:color="auto"/>
            <w:right w:val="none" w:sz="0" w:space="0" w:color="auto"/>
          </w:divBdr>
        </w:div>
        <w:div w:id="1564634016">
          <w:marLeft w:val="0"/>
          <w:marRight w:val="0"/>
          <w:marTop w:val="0"/>
          <w:marBottom w:val="0"/>
          <w:divBdr>
            <w:top w:val="none" w:sz="0" w:space="0" w:color="auto"/>
            <w:left w:val="none" w:sz="0" w:space="0" w:color="auto"/>
            <w:bottom w:val="none" w:sz="0" w:space="0" w:color="auto"/>
            <w:right w:val="none" w:sz="0" w:space="0" w:color="auto"/>
          </w:divBdr>
        </w:div>
        <w:div w:id="1565749384">
          <w:marLeft w:val="0"/>
          <w:marRight w:val="0"/>
          <w:marTop w:val="0"/>
          <w:marBottom w:val="0"/>
          <w:divBdr>
            <w:top w:val="none" w:sz="0" w:space="0" w:color="auto"/>
            <w:left w:val="none" w:sz="0" w:space="0" w:color="auto"/>
            <w:bottom w:val="none" w:sz="0" w:space="0" w:color="auto"/>
            <w:right w:val="none" w:sz="0" w:space="0" w:color="auto"/>
          </w:divBdr>
        </w:div>
        <w:div w:id="1587416536">
          <w:marLeft w:val="0"/>
          <w:marRight w:val="0"/>
          <w:marTop w:val="0"/>
          <w:marBottom w:val="0"/>
          <w:divBdr>
            <w:top w:val="none" w:sz="0" w:space="0" w:color="auto"/>
            <w:left w:val="none" w:sz="0" w:space="0" w:color="auto"/>
            <w:bottom w:val="none" w:sz="0" w:space="0" w:color="auto"/>
            <w:right w:val="none" w:sz="0" w:space="0" w:color="auto"/>
          </w:divBdr>
        </w:div>
        <w:div w:id="1587494092">
          <w:marLeft w:val="0"/>
          <w:marRight w:val="0"/>
          <w:marTop w:val="0"/>
          <w:marBottom w:val="0"/>
          <w:divBdr>
            <w:top w:val="none" w:sz="0" w:space="0" w:color="auto"/>
            <w:left w:val="none" w:sz="0" w:space="0" w:color="auto"/>
            <w:bottom w:val="none" w:sz="0" w:space="0" w:color="auto"/>
            <w:right w:val="none" w:sz="0" w:space="0" w:color="auto"/>
          </w:divBdr>
        </w:div>
        <w:div w:id="1587569051">
          <w:marLeft w:val="0"/>
          <w:marRight w:val="0"/>
          <w:marTop w:val="0"/>
          <w:marBottom w:val="0"/>
          <w:divBdr>
            <w:top w:val="none" w:sz="0" w:space="0" w:color="auto"/>
            <w:left w:val="none" w:sz="0" w:space="0" w:color="auto"/>
            <w:bottom w:val="none" w:sz="0" w:space="0" w:color="auto"/>
            <w:right w:val="none" w:sz="0" w:space="0" w:color="auto"/>
          </w:divBdr>
        </w:div>
        <w:div w:id="1589852449">
          <w:marLeft w:val="0"/>
          <w:marRight w:val="0"/>
          <w:marTop w:val="0"/>
          <w:marBottom w:val="0"/>
          <w:divBdr>
            <w:top w:val="none" w:sz="0" w:space="0" w:color="auto"/>
            <w:left w:val="none" w:sz="0" w:space="0" w:color="auto"/>
            <w:bottom w:val="none" w:sz="0" w:space="0" w:color="auto"/>
            <w:right w:val="none" w:sz="0" w:space="0" w:color="auto"/>
          </w:divBdr>
        </w:div>
        <w:div w:id="1593973040">
          <w:marLeft w:val="0"/>
          <w:marRight w:val="0"/>
          <w:marTop w:val="0"/>
          <w:marBottom w:val="0"/>
          <w:divBdr>
            <w:top w:val="none" w:sz="0" w:space="0" w:color="auto"/>
            <w:left w:val="none" w:sz="0" w:space="0" w:color="auto"/>
            <w:bottom w:val="none" w:sz="0" w:space="0" w:color="auto"/>
            <w:right w:val="none" w:sz="0" w:space="0" w:color="auto"/>
          </w:divBdr>
        </w:div>
        <w:div w:id="1625891352">
          <w:marLeft w:val="0"/>
          <w:marRight w:val="0"/>
          <w:marTop w:val="0"/>
          <w:marBottom w:val="0"/>
          <w:divBdr>
            <w:top w:val="none" w:sz="0" w:space="0" w:color="auto"/>
            <w:left w:val="none" w:sz="0" w:space="0" w:color="auto"/>
            <w:bottom w:val="none" w:sz="0" w:space="0" w:color="auto"/>
            <w:right w:val="none" w:sz="0" w:space="0" w:color="auto"/>
          </w:divBdr>
        </w:div>
        <w:div w:id="1633976260">
          <w:marLeft w:val="0"/>
          <w:marRight w:val="0"/>
          <w:marTop w:val="0"/>
          <w:marBottom w:val="0"/>
          <w:divBdr>
            <w:top w:val="none" w:sz="0" w:space="0" w:color="auto"/>
            <w:left w:val="none" w:sz="0" w:space="0" w:color="auto"/>
            <w:bottom w:val="none" w:sz="0" w:space="0" w:color="auto"/>
            <w:right w:val="none" w:sz="0" w:space="0" w:color="auto"/>
          </w:divBdr>
        </w:div>
        <w:div w:id="1638604640">
          <w:marLeft w:val="0"/>
          <w:marRight w:val="0"/>
          <w:marTop w:val="0"/>
          <w:marBottom w:val="0"/>
          <w:divBdr>
            <w:top w:val="none" w:sz="0" w:space="0" w:color="auto"/>
            <w:left w:val="none" w:sz="0" w:space="0" w:color="auto"/>
            <w:bottom w:val="none" w:sz="0" w:space="0" w:color="auto"/>
            <w:right w:val="none" w:sz="0" w:space="0" w:color="auto"/>
          </w:divBdr>
        </w:div>
        <w:div w:id="1640911972">
          <w:marLeft w:val="0"/>
          <w:marRight w:val="0"/>
          <w:marTop w:val="0"/>
          <w:marBottom w:val="0"/>
          <w:divBdr>
            <w:top w:val="none" w:sz="0" w:space="0" w:color="auto"/>
            <w:left w:val="none" w:sz="0" w:space="0" w:color="auto"/>
            <w:bottom w:val="none" w:sz="0" w:space="0" w:color="auto"/>
            <w:right w:val="none" w:sz="0" w:space="0" w:color="auto"/>
          </w:divBdr>
        </w:div>
        <w:div w:id="1643804345">
          <w:marLeft w:val="0"/>
          <w:marRight w:val="0"/>
          <w:marTop w:val="0"/>
          <w:marBottom w:val="0"/>
          <w:divBdr>
            <w:top w:val="none" w:sz="0" w:space="0" w:color="auto"/>
            <w:left w:val="none" w:sz="0" w:space="0" w:color="auto"/>
            <w:bottom w:val="none" w:sz="0" w:space="0" w:color="auto"/>
            <w:right w:val="none" w:sz="0" w:space="0" w:color="auto"/>
          </w:divBdr>
        </w:div>
        <w:div w:id="1673070662">
          <w:marLeft w:val="0"/>
          <w:marRight w:val="0"/>
          <w:marTop w:val="0"/>
          <w:marBottom w:val="0"/>
          <w:divBdr>
            <w:top w:val="none" w:sz="0" w:space="0" w:color="auto"/>
            <w:left w:val="none" w:sz="0" w:space="0" w:color="auto"/>
            <w:bottom w:val="none" w:sz="0" w:space="0" w:color="auto"/>
            <w:right w:val="none" w:sz="0" w:space="0" w:color="auto"/>
          </w:divBdr>
        </w:div>
        <w:div w:id="1698462628">
          <w:marLeft w:val="0"/>
          <w:marRight w:val="0"/>
          <w:marTop w:val="0"/>
          <w:marBottom w:val="0"/>
          <w:divBdr>
            <w:top w:val="none" w:sz="0" w:space="0" w:color="auto"/>
            <w:left w:val="none" w:sz="0" w:space="0" w:color="auto"/>
            <w:bottom w:val="none" w:sz="0" w:space="0" w:color="auto"/>
            <w:right w:val="none" w:sz="0" w:space="0" w:color="auto"/>
          </w:divBdr>
        </w:div>
        <w:div w:id="1704744382">
          <w:marLeft w:val="0"/>
          <w:marRight w:val="0"/>
          <w:marTop w:val="0"/>
          <w:marBottom w:val="0"/>
          <w:divBdr>
            <w:top w:val="none" w:sz="0" w:space="0" w:color="auto"/>
            <w:left w:val="none" w:sz="0" w:space="0" w:color="auto"/>
            <w:bottom w:val="none" w:sz="0" w:space="0" w:color="auto"/>
            <w:right w:val="none" w:sz="0" w:space="0" w:color="auto"/>
          </w:divBdr>
        </w:div>
        <w:div w:id="1713074214">
          <w:marLeft w:val="0"/>
          <w:marRight w:val="0"/>
          <w:marTop w:val="0"/>
          <w:marBottom w:val="0"/>
          <w:divBdr>
            <w:top w:val="none" w:sz="0" w:space="0" w:color="auto"/>
            <w:left w:val="none" w:sz="0" w:space="0" w:color="auto"/>
            <w:bottom w:val="none" w:sz="0" w:space="0" w:color="auto"/>
            <w:right w:val="none" w:sz="0" w:space="0" w:color="auto"/>
          </w:divBdr>
        </w:div>
        <w:div w:id="1719934087">
          <w:marLeft w:val="0"/>
          <w:marRight w:val="0"/>
          <w:marTop w:val="0"/>
          <w:marBottom w:val="0"/>
          <w:divBdr>
            <w:top w:val="none" w:sz="0" w:space="0" w:color="auto"/>
            <w:left w:val="none" w:sz="0" w:space="0" w:color="auto"/>
            <w:bottom w:val="none" w:sz="0" w:space="0" w:color="auto"/>
            <w:right w:val="none" w:sz="0" w:space="0" w:color="auto"/>
          </w:divBdr>
        </w:div>
        <w:div w:id="1729650686">
          <w:marLeft w:val="0"/>
          <w:marRight w:val="0"/>
          <w:marTop w:val="0"/>
          <w:marBottom w:val="0"/>
          <w:divBdr>
            <w:top w:val="none" w:sz="0" w:space="0" w:color="auto"/>
            <w:left w:val="none" w:sz="0" w:space="0" w:color="auto"/>
            <w:bottom w:val="none" w:sz="0" w:space="0" w:color="auto"/>
            <w:right w:val="none" w:sz="0" w:space="0" w:color="auto"/>
          </w:divBdr>
        </w:div>
        <w:div w:id="1745831673">
          <w:marLeft w:val="0"/>
          <w:marRight w:val="0"/>
          <w:marTop w:val="0"/>
          <w:marBottom w:val="0"/>
          <w:divBdr>
            <w:top w:val="none" w:sz="0" w:space="0" w:color="auto"/>
            <w:left w:val="none" w:sz="0" w:space="0" w:color="auto"/>
            <w:bottom w:val="none" w:sz="0" w:space="0" w:color="auto"/>
            <w:right w:val="none" w:sz="0" w:space="0" w:color="auto"/>
          </w:divBdr>
        </w:div>
        <w:div w:id="1761753396">
          <w:marLeft w:val="0"/>
          <w:marRight w:val="0"/>
          <w:marTop w:val="0"/>
          <w:marBottom w:val="0"/>
          <w:divBdr>
            <w:top w:val="none" w:sz="0" w:space="0" w:color="auto"/>
            <w:left w:val="none" w:sz="0" w:space="0" w:color="auto"/>
            <w:bottom w:val="none" w:sz="0" w:space="0" w:color="auto"/>
            <w:right w:val="none" w:sz="0" w:space="0" w:color="auto"/>
          </w:divBdr>
        </w:div>
        <w:div w:id="1763330964">
          <w:marLeft w:val="0"/>
          <w:marRight w:val="0"/>
          <w:marTop w:val="0"/>
          <w:marBottom w:val="0"/>
          <w:divBdr>
            <w:top w:val="none" w:sz="0" w:space="0" w:color="auto"/>
            <w:left w:val="none" w:sz="0" w:space="0" w:color="auto"/>
            <w:bottom w:val="none" w:sz="0" w:space="0" w:color="auto"/>
            <w:right w:val="none" w:sz="0" w:space="0" w:color="auto"/>
          </w:divBdr>
        </w:div>
        <w:div w:id="1764061796">
          <w:marLeft w:val="0"/>
          <w:marRight w:val="0"/>
          <w:marTop w:val="0"/>
          <w:marBottom w:val="0"/>
          <w:divBdr>
            <w:top w:val="none" w:sz="0" w:space="0" w:color="auto"/>
            <w:left w:val="none" w:sz="0" w:space="0" w:color="auto"/>
            <w:bottom w:val="none" w:sz="0" w:space="0" w:color="auto"/>
            <w:right w:val="none" w:sz="0" w:space="0" w:color="auto"/>
          </w:divBdr>
        </w:div>
        <w:div w:id="1764103644">
          <w:marLeft w:val="0"/>
          <w:marRight w:val="0"/>
          <w:marTop w:val="0"/>
          <w:marBottom w:val="0"/>
          <w:divBdr>
            <w:top w:val="none" w:sz="0" w:space="0" w:color="auto"/>
            <w:left w:val="none" w:sz="0" w:space="0" w:color="auto"/>
            <w:bottom w:val="none" w:sz="0" w:space="0" w:color="auto"/>
            <w:right w:val="none" w:sz="0" w:space="0" w:color="auto"/>
          </w:divBdr>
        </w:div>
        <w:div w:id="1766726433">
          <w:marLeft w:val="0"/>
          <w:marRight w:val="0"/>
          <w:marTop w:val="0"/>
          <w:marBottom w:val="0"/>
          <w:divBdr>
            <w:top w:val="none" w:sz="0" w:space="0" w:color="auto"/>
            <w:left w:val="none" w:sz="0" w:space="0" w:color="auto"/>
            <w:bottom w:val="none" w:sz="0" w:space="0" w:color="auto"/>
            <w:right w:val="none" w:sz="0" w:space="0" w:color="auto"/>
          </w:divBdr>
        </w:div>
        <w:div w:id="1795518288">
          <w:marLeft w:val="0"/>
          <w:marRight w:val="0"/>
          <w:marTop w:val="0"/>
          <w:marBottom w:val="0"/>
          <w:divBdr>
            <w:top w:val="none" w:sz="0" w:space="0" w:color="auto"/>
            <w:left w:val="none" w:sz="0" w:space="0" w:color="auto"/>
            <w:bottom w:val="none" w:sz="0" w:space="0" w:color="auto"/>
            <w:right w:val="none" w:sz="0" w:space="0" w:color="auto"/>
          </w:divBdr>
        </w:div>
        <w:div w:id="1796217176">
          <w:marLeft w:val="0"/>
          <w:marRight w:val="0"/>
          <w:marTop w:val="0"/>
          <w:marBottom w:val="0"/>
          <w:divBdr>
            <w:top w:val="none" w:sz="0" w:space="0" w:color="auto"/>
            <w:left w:val="none" w:sz="0" w:space="0" w:color="auto"/>
            <w:bottom w:val="none" w:sz="0" w:space="0" w:color="auto"/>
            <w:right w:val="none" w:sz="0" w:space="0" w:color="auto"/>
          </w:divBdr>
        </w:div>
        <w:div w:id="1797019716">
          <w:marLeft w:val="0"/>
          <w:marRight w:val="0"/>
          <w:marTop w:val="0"/>
          <w:marBottom w:val="0"/>
          <w:divBdr>
            <w:top w:val="none" w:sz="0" w:space="0" w:color="auto"/>
            <w:left w:val="none" w:sz="0" w:space="0" w:color="auto"/>
            <w:bottom w:val="none" w:sz="0" w:space="0" w:color="auto"/>
            <w:right w:val="none" w:sz="0" w:space="0" w:color="auto"/>
          </w:divBdr>
        </w:div>
        <w:div w:id="1801916025">
          <w:marLeft w:val="0"/>
          <w:marRight w:val="0"/>
          <w:marTop w:val="0"/>
          <w:marBottom w:val="0"/>
          <w:divBdr>
            <w:top w:val="none" w:sz="0" w:space="0" w:color="auto"/>
            <w:left w:val="none" w:sz="0" w:space="0" w:color="auto"/>
            <w:bottom w:val="none" w:sz="0" w:space="0" w:color="auto"/>
            <w:right w:val="none" w:sz="0" w:space="0" w:color="auto"/>
          </w:divBdr>
        </w:div>
        <w:div w:id="1814980425">
          <w:marLeft w:val="0"/>
          <w:marRight w:val="0"/>
          <w:marTop w:val="0"/>
          <w:marBottom w:val="0"/>
          <w:divBdr>
            <w:top w:val="none" w:sz="0" w:space="0" w:color="auto"/>
            <w:left w:val="none" w:sz="0" w:space="0" w:color="auto"/>
            <w:bottom w:val="none" w:sz="0" w:space="0" w:color="auto"/>
            <w:right w:val="none" w:sz="0" w:space="0" w:color="auto"/>
          </w:divBdr>
        </w:div>
        <w:div w:id="1822384675">
          <w:marLeft w:val="0"/>
          <w:marRight w:val="0"/>
          <w:marTop w:val="0"/>
          <w:marBottom w:val="0"/>
          <w:divBdr>
            <w:top w:val="none" w:sz="0" w:space="0" w:color="auto"/>
            <w:left w:val="none" w:sz="0" w:space="0" w:color="auto"/>
            <w:bottom w:val="none" w:sz="0" w:space="0" w:color="auto"/>
            <w:right w:val="none" w:sz="0" w:space="0" w:color="auto"/>
          </w:divBdr>
        </w:div>
        <w:div w:id="1822501070">
          <w:marLeft w:val="0"/>
          <w:marRight w:val="0"/>
          <w:marTop w:val="0"/>
          <w:marBottom w:val="0"/>
          <w:divBdr>
            <w:top w:val="none" w:sz="0" w:space="0" w:color="auto"/>
            <w:left w:val="none" w:sz="0" w:space="0" w:color="auto"/>
            <w:bottom w:val="none" w:sz="0" w:space="0" w:color="auto"/>
            <w:right w:val="none" w:sz="0" w:space="0" w:color="auto"/>
          </w:divBdr>
        </w:div>
        <w:div w:id="1848784142">
          <w:marLeft w:val="0"/>
          <w:marRight w:val="0"/>
          <w:marTop w:val="0"/>
          <w:marBottom w:val="0"/>
          <w:divBdr>
            <w:top w:val="none" w:sz="0" w:space="0" w:color="auto"/>
            <w:left w:val="none" w:sz="0" w:space="0" w:color="auto"/>
            <w:bottom w:val="none" w:sz="0" w:space="0" w:color="auto"/>
            <w:right w:val="none" w:sz="0" w:space="0" w:color="auto"/>
          </w:divBdr>
        </w:div>
        <w:div w:id="1855149048">
          <w:marLeft w:val="0"/>
          <w:marRight w:val="0"/>
          <w:marTop w:val="0"/>
          <w:marBottom w:val="0"/>
          <w:divBdr>
            <w:top w:val="none" w:sz="0" w:space="0" w:color="auto"/>
            <w:left w:val="none" w:sz="0" w:space="0" w:color="auto"/>
            <w:bottom w:val="none" w:sz="0" w:space="0" w:color="auto"/>
            <w:right w:val="none" w:sz="0" w:space="0" w:color="auto"/>
          </w:divBdr>
        </w:div>
        <w:div w:id="1855339524">
          <w:marLeft w:val="0"/>
          <w:marRight w:val="0"/>
          <w:marTop w:val="0"/>
          <w:marBottom w:val="0"/>
          <w:divBdr>
            <w:top w:val="none" w:sz="0" w:space="0" w:color="auto"/>
            <w:left w:val="none" w:sz="0" w:space="0" w:color="auto"/>
            <w:bottom w:val="none" w:sz="0" w:space="0" w:color="auto"/>
            <w:right w:val="none" w:sz="0" w:space="0" w:color="auto"/>
          </w:divBdr>
        </w:div>
        <w:div w:id="1856570870">
          <w:marLeft w:val="0"/>
          <w:marRight w:val="0"/>
          <w:marTop w:val="0"/>
          <w:marBottom w:val="0"/>
          <w:divBdr>
            <w:top w:val="none" w:sz="0" w:space="0" w:color="auto"/>
            <w:left w:val="none" w:sz="0" w:space="0" w:color="auto"/>
            <w:bottom w:val="none" w:sz="0" w:space="0" w:color="auto"/>
            <w:right w:val="none" w:sz="0" w:space="0" w:color="auto"/>
          </w:divBdr>
        </w:div>
        <w:div w:id="1857424742">
          <w:marLeft w:val="0"/>
          <w:marRight w:val="0"/>
          <w:marTop w:val="0"/>
          <w:marBottom w:val="0"/>
          <w:divBdr>
            <w:top w:val="none" w:sz="0" w:space="0" w:color="auto"/>
            <w:left w:val="none" w:sz="0" w:space="0" w:color="auto"/>
            <w:bottom w:val="none" w:sz="0" w:space="0" w:color="auto"/>
            <w:right w:val="none" w:sz="0" w:space="0" w:color="auto"/>
          </w:divBdr>
        </w:div>
        <w:div w:id="1865358079">
          <w:marLeft w:val="0"/>
          <w:marRight w:val="0"/>
          <w:marTop w:val="0"/>
          <w:marBottom w:val="0"/>
          <w:divBdr>
            <w:top w:val="none" w:sz="0" w:space="0" w:color="auto"/>
            <w:left w:val="none" w:sz="0" w:space="0" w:color="auto"/>
            <w:bottom w:val="none" w:sz="0" w:space="0" w:color="auto"/>
            <w:right w:val="none" w:sz="0" w:space="0" w:color="auto"/>
          </w:divBdr>
        </w:div>
        <w:div w:id="1877232180">
          <w:marLeft w:val="0"/>
          <w:marRight w:val="0"/>
          <w:marTop w:val="0"/>
          <w:marBottom w:val="0"/>
          <w:divBdr>
            <w:top w:val="none" w:sz="0" w:space="0" w:color="auto"/>
            <w:left w:val="none" w:sz="0" w:space="0" w:color="auto"/>
            <w:bottom w:val="none" w:sz="0" w:space="0" w:color="auto"/>
            <w:right w:val="none" w:sz="0" w:space="0" w:color="auto"/>
          </w:divBdr>
        </w:div>
        <w:div w:id="1877500611">
          <w:marLeft w:val="0"/>
          <w:marRight w:val="0"/>
          <w:marTop w:val="0"/>
          <w:marBottom w:val="0"/>
          <w:divBdr>
            <w:top w:val="none" w:sz="0" w:space="0" w:color="auto"/>
            <w:left w:val="none" w:sz="0" w:space="0" w:color="auto"/>
            <w:bottom w:val="none" w:sz="0" w:space="0" w:color="auto"/>
            <w:right w:val="none" w:sz="0" w:space="0" w:color="auto"/>
          </w:divBdr>
        </w:div>
        <w:div w:id="1883318966">
          <w:marLeft w:val="0"/>
          <w:marRight w:val="0"/>
          <w:marTop w:val="0"/>
          <w:marBottom w:val="0"/>
          <w:divBdr>
            <w:top w:val="none" w:sz="0" w:space="0" w:color="auto"/>
            <w:left w:val="none" w:sz="0" w:space="0" w:color="auto"/>
            <w:bottom w:val="none" w:sz="0" w:space="0" w:color="auto"/>
            <w:right w:val="none" w:sz="0" w:space="0" w:color="auto"/>
          </w:divBdr>
        </w:div>
        <w:div w:id="1886141496">
          <w:marLeft w:val="0"/>
          <w:marRight w:val="0"/>
          <w:marTop w:val="0"/>
          <w:marBottom w:val="0"/>
          <w:divBdr>
            <w:top w:val="none" w:sz="0" w:space="0" w:color="auto"/>
            <w:left w:val="none" w:sz="0" w:space="0" w:color="auto"/>
            <w:bottom w:val="none" w:sz="0" w:space="0" w:color="auto"/>
            <w:right w:val="none" w:sz="0" w:space="0" w:color="auto"/>
          </w:divBdr>
        </w:div>
        <w:div w:id="1898012204">
          <w:marLeft w:val="0"/>
          <w:marRight w:val="0"/>
          <w:marTop w:val="0"/>
          <w:marBottom w:val="0"/>
          <w:divBdr>
            <w:top w:val="none" w:sz="0" w:space="0" w:color="auto"/>
            <w:left w:val="none" w:sz="0" w:space="0" w:color="auto"/>
            <w:bottom w:val="none" w:sz="0" w:space="0" w:color="auto"/>
            <w:right w:val="none" w:sz="0" w:space="0" w:color="auto"/>
          </w:divBdr>
        </w:div>
        <w:div w:id="1902012659">
          <w:marLeft w:val="0"/>
          <w:marRight w:val="0"/>
          <w:marTop w:val="0"/>
          <w:marBottom w:val="0"/>
          <w:divBdr>
            <w:top w:val="none" w:sz="0" w:space="0" w:color="auto"/>
            <w:left w:val="none" w:sz="0" w:space="0" w:color="auto"/>
            <w:bottom w:val="none" w:sz="0" w:space="0" w:color="auto"/>
            <w:right w:val="none" w:sz="0" w:space="0" w:color="auto"/>
          </w:divBdr>
        </w:div>
        <w:div w:id="1902789768">
          <w:marLeft w:val="0"/>
          <w:marRight w:val="0"/>
          <w:marTop w:val="0"/>
          <w:marBottom w:val="0"/>
          <w:divBdr>
            <w:top w:val="none" w:sz="0" w:space="0" w:color="auto"/>
            <w:left w:val="none" w:sz="0" w:space="0" w:color="auto"/>
            <w:bottom w:val="none" w:sz="0" w:space="0" w:color="auto"/>
            <w:right w:val="none" w:sz="0" w:space="0" w:color="auto"/>
          </w:divBdr>
        </w:div>
        <w:div w:id="1904755888">
          <w:marLeft w:val="0"/>
          <w:marRight w:val="0"/>
          <w:marTop w:val="0"/>
          <w:marBottom w:val="0"/>
          <w:divBdr>
            <w:top w:val="none" w:sz="0" w:space="0" w:color="auto"/>
            <w:left w:val="none" w:sz="0" w:space="0" w:color="auto"/>
            <w:bottom w:val="none" w:sz="0" w:space="0" w:color="auto"/>
            <w:right w:val="none" w:sz="0" w:space="0" w:color="auto"/>
          </w:divBdr>
        </w:div>
        <w:div w:id="1911958951">
          <w:marLeft w:val="0"/>
          <w:marRight w:val="0"/>
          <w:marTop w:val="0"/>
          <w:marBottom w:val="0"/>
          <w:divBdr>
            <w:top w:val="none" w:sz="0" w:space="0" w:color="auto"/>
            <w:left w:val="none" w:sz="0" w:space="0" w:color="auto"/>
            <w:bottom w:val="none" w:sz="0" w:space="0" w:color="auto"/>
            <w:right w:val="none" w:sz="0" w:space="0" w:color="auto"/>
          </w:divBdr>
        </w:div>
        <w:div w:id="1919048651">
          <w:marLeft w:val="0"/>
          <w:marRight w:val="0"/>
          <w:marTop w:val="0"/>
          <w:marBottom w:val="0"/>
          <w:divBdr>
            <w:top w:val="none" w:sz="0" w:space="0" w:color="auto"/>
            <w:left w:val="none" w:sz="0" w:space="0" w:color="auto"/>
            <w:bottom w:val="none" w:sz="0" w:space="0" w:color="auto"/>
            <w:right w:val="none" w:sz="0" w:space="0" w:color="auto"/>
          </w:divBdr>
        </w:div>
        <w:div w:id="1922785830">
          <w:marLeft w:val="0"/>
          <w:marRight w:val="0"/>
          <w:marTop w:val="0"/>
          <w:marBottom w:val="0"/>
          <w:divBdr>
            <w:top w:val="none" w:sz="0" w:space="0" w:color="auto"/>
            <w:left w:val="none" w:sz="0" w:space="0" w:color="auto"/>
            <w:bottom w:val="none" w:sz="0" w:space="0" w:color="auto"/>
            <w:right w:val="none" w:sz="0" w:space="0" w:color="auto"/>
          </w:divBdr>
        </w:div>
        <w:div w:id="1924990778">
          <w:marLeft w:val="0"/>
          <w:marRight w:val="0"/>
          <w:marTop w:val="0"/>
          <w:marBottom w:val="0"/>
          <w:divBdr>
            <w:top w:val="none" w:sz="0" w:space="0" w:color="auto"/>
            <w:left w:val="none" w:sz="0" w:space="0" w:color="auto"/>
            <w:bottom w:val="none" w:sz="0" w:space="0" w:color="auto"/>
            <w:right w:val="none" w:sz="0" w:space="0" w:color="auto"/>
          </w:divBdr>
        </w:div>
        <w:div w:id="1928273558">
          <w:marLeft w:val="0"/>
          <w:marRight w:val="0"/>
          <w:marTop w:val="0"/>
          <w:marBottom w:val="0"/>
          <w:divBdr>
            <w:top w:val="none" w:sz="0" w:space="0" w:color="auto"/>
            <w:left w:val="none" w:sz="0" w:space="0" w:color="auto"/>
            <w:bottom w:val="none" w:sz="0" w:space="0" w:color="auto"/>
            <w:right w:val="none" w:sz="0" w:space="0" w:color="auto"/>
          </w:divBdr>
        </w:div>
        <w:div w:id="1941908292">
          <w:marLeft w:val="0"/>
          <w:marRight w:val="0"/>
          <w:marTop w:val="0"/>
          <w:marBottom w:val="0"/>
          <w:divBdr>
            <w:top w:val="none" w:sz="0" w:space="0" w:color="auto"/>
            <w:left w:val="none" w:sz="0" w:space="0" w:color="auto"/>
            <w:bottom w:val="none" w:sz="0" w:space="0" w:color="auto"/>
            <w:right w:val="none" w:sz="0" w:space="0" w:color="auto"/>
          </w:divBdr>
        </w:div>
        <w:div w:id="1965651519">
          <w:marLeft w:val="0"/>
          <w:marRight w:val="0"/>
          <w:marTop w:val="0"/>
          <w:marBottom w:val="0"/>
          <w:divBdr>
            <w:top w:val="none" w:sz="0" w:space="0" w:color="auto"/>
            <w:left w:val="none" w:sz="0" w:space="0" w:color="auto"/>
            <w:bottom w:val="none" w:sz="0" w:space="0" w:color="auto"/>
            <w:right w:val="none" w:sz="0" w:space="0" w:color="auto"/>
          </w:divBdr>
        </w:div>
        <w:div w:id="1975016291">
          <w:marLeft w:val="0"/>
          <w:marRight w:val="0"/>
          <w:marTop w:val="0"/>
          <w:marBottom w:val="0"/>
          <w:divBdr>
            <w:top w:val="none" w:sz="0" w:space="0" w:color="auto"/>
            <w:left w:val="none" w:sz="0" w:space="0" w:color="auto"/>
            <w:bottom w:val="none" w:sz="0" w:space="0" w:color="auto"/>
            <w:right w:val="none" w:sz="0" w:space="0" w:color="auto"/>
          </w:divBdr>
        </w:div>
        <w:div w:id="1979875301">
          <w:marLeft w:val="0"/>
          <w:marRight w:val="0"/>
          <w:marTop w:val="0"/>
          <w:marBottom w:val="0"/>
          <w:divBdr>
            <w:top w:val="none" w:sz="0" w:space="0" w:color="auto"/>
            <w:left w:val="none" w:sz="0" w:space="0" w:color="auto"/>
            <w:bottom w:val="none" w:sz="0" w:space="0" w:color="auto"/>
            <w:right w:val="none" w:sz="0" w:space="0" w:color="auto"/>
          </w:divBdr>
        </w:div>
        <w:div w:id="1992833762">
          <w:marLeft w:val="0"/>
          <w:marRight w:val="0"/>
          <w:marTop w:val="0"/>
          <w:marBottom w:val="0"/>
          <w:divBdr>
            <w:top w:val="none" w:sz="0" w:space="0" w:color="auto"/>
            <w:left w:val="none" w:sz="0" w:space="0" w:color="auto"/>
            <w:bottom w:val="none" w:sz="0" w:space="0" w:color="auto"/>
            <w:right w:val="none" w:sz="0" w:space="0" w:color="auto"/>
          </w:divBdr>
        </w:div>
        <w:div w:id="1995715451">
          <w:marLeft w:val="0"/>
          <w:marRight w:val="0"/>
          <w:marTop w:val="0"/>
          <w:marBottom w:val="0"/>
          <w:divBdr>
            <w:top w:val="none" w:sz="0" w:space="0" w:color="auto"/>
            <w:left w:val="none" w:sz="0" w:space="0" w:color="auto"/>
            <w:bottom w:val="none" w:sz="0" w:space="0" w:color="auto"/>
            <w:right w:val="none" w:sz="0" w:space="0" w:color="auto"/>
          </w:divBdr>
        </w:div>
        <w:div w:id="2000579008">
          <w:marLeft w:val="0"/>
          <w:marRight w:val="0"/>
          <w:marTop w:val="0"/>
          <w:marBottom w:val="0"/>
          <w:divBdr>
            <w:top w:val="none" w:sz="0" w:space="0" w:color="auto"/>
            <w:left w:val="none" w:sz="0" w:space="0" w:color="auto"/>
            <w:bottom w:val="none" w:sz="0" w:space="0" w:color="auto"/>
            <w:right w:val="none" w:sz="0" w:space="0" w:color="auto"/>
          </w:divBdr>
        </w:div>
        <w:div w:id="2008052407">
          <w:marLeft w:val="0"/>
          <w:marRight w:val="0"/>
          <w:marTop w:val="0"/>
          <w:marBottom w:val="0"/>
          <w:divBdr>
            <w:top w:val="none" w:sz="0" w:space="0" w:color="auto"/>
            <w:left w:val="none" w:sz="0" w:space="0" w:color="auto"/>
            <w:bottom w:val="none" w:sz="0" w:space="0" w:color="auto"/>
            <w:right w:val="none" w:sz="0" w:space="0" w:color="auto"/>
          </w:divBdr>
        </w:div>
        <w:div w:id="2019188873">
          <w:marLeft w:val="0"/>
          <w:marRight w:val="0"/>
          <w:marTop w:val="0"/>
          <w:marBottom w:val="0"/>
          <w:divBdr>
            <w:top w:val="none" w:sz="0" w:space="0" w:color="auto"/>
            <w:left w:val="none" w:sz="0" w:space="0" w:color="auto"/>
            <w:bottom w:val="none" w:sz="0" w:space="0" w:color="auto"/>
            <w:right w:val="none" w:sz="0" w:space="0" w:color="auto"/>
          </w:divBdr>
        </w:div>
        <w:div w:id="2019767423">
          <w:marLeft w:val="0"/>
          <w:marRight w:val="0"/>
          <w:marTop w:val="0"/>
          <w:marBottom w:val="0"/>
          <w:divBdr>
            <w:top w:val="none" w:sz="0" w:space="0" w:color="auto"/>
            <w:left w:val="none" w:sz="0" w:space="0" w:color="auto"/>
            <w:bottom w:val="none" w:sz="0" w:space="0" w:color="auto"/>
            <w:right w:val="none" w:sz="0" w:space="0" w:color="auto"/>
          </w:divBdr>
        </w:div>
        <w:div w:id="2031638211">
          <w:marLeft w:val="0"/>
          <w:marRight w:val="0"/>
          <w:marTop w:val="0"/>
          <w:marBottom w:val="0"/>
          <w:divBdr>
            <w:top w:val="none" w:sz="0" w:space="0" w:color="auto"/>
            <w:left w:val="none" w:sz="0" w:space="0" w:color="auto"/>
            <w:bottom w:val="none" w:sz="0" w:space="0" w:color="auto"/>
            <w:right w:val="none" w:sz="0" w:space="0" w:color="auto"/>
          </w:divBdr>
        </w:div>
        <w:div w:id="2031880991">
          <w:marLeft w:val="0"/>
          <w:marRight w:val="0"/>
          <w:marTop w:val="0"/>
          <w:marBottom w:val="0"/>
          <w:divBdr>
            <w:top w:val="none" w:sz="0" w:space="0" w:color="auto"/>
            <w:left w:val="none" w:sz="0" w:space="0" w:color="auto"/>
            <w:bottom w:val="none" w:sz="0" w:space="0" w:color="auto"/>
            <w:right w:val="none" w:sz="0" w:space="0" w:color="auto"/>
          </w:divBdr>
        </w:div>
        <w:div w:id="2047437639">
          <w:marLeft w:val="0"/>
          <w:marRight w:val="0"/>
          <w:marTop w:val="0"/>
          <w:marBottom w:val="0"/>
          <w:divBdr>
            <w:top w:val="none" w:sz="0" w:space="0" w:color="auto"/>
            <w:left w:val="none" w:sz="0" w:space="0" w:color="auto"/>
            <w:bottom w:val="none" w:sz="0" w:space="0" w:color="auto"/>
            <w:right w:val="none" w:sz="0" w:space="0" w:color="auto"/>
          </w:divBdr>
        </w:div>
        <w:div w:id="2055620557">
          <w:marLeft w:val="0"/>
          <w:marRight w:val="0"/>
          <w:marTop w:val="0"/>
          <w:marBottom w:val="0"/>
          <w:divBdr>
            <w:top w:val="none" w:sz="0" w:space="0" w:color="auto"/>
            <w:left w:val="none" w:sz="0" w:space="0" w:color="auto"/>
            <w:bottom w:val="none" w:sz="0" w:space="0" w:color="auto"/>
            <w:right w:val="none" w:sz="0" w:space="0" w:color="auto"/>
          </w:divBdr>
        </w:div>
        <w:div w:id="2070222747">
          <w:marLeft w:val="0"/>
          <w:marRight w:val="0"/>
          <w:marTop w:val="0"/>
          <w:marBottom w:val="0"/>
          <w:divBdr>
            <w:top w:val="none" w:sz="0" w:space="0" w:color="auto"/>
            <w:left w:val="none" w:sz="0" w:space="0" w:color="auto"/>
            <w:bottom w:val="none" w:sz="0" w:space="0" w:color="auto"/>
            <w:right w:val="none" w:sz="0" w:space="0" w:color="auto"/>
          </w:divBdr>
        </w:div>
        <w:div w:id="2080207939">
          <w:marLeft w:val="0"/>
          <w:marRight w:val="0"/>
          <w:marTop w:val="0"/>
          <w:marBottom w:val="0"/>
          <w:divBdr>
            <w:top w:val="none" w:sz="0" w:space="0" w:color="auto"/>
            <w:left w:val="none" w:sz="0" w:space="0" w:color="auto"/>
            <w:bottom w:val="none" w:sz="0" w:space="0" w:color="auto"/>
            <w:right w:val="none" w:sz="0" w:space="0" w:color="auto"/>
          </w:divBdr>
        </w:div>
        <w:div w:id="2096632998">
          <w:marLeft w:val="0"/>
          <w:marRight w:val="0"/>
          <w:marTop w:val="0"/>
          <w:marBottom w:val="0"/>
          <w:divBdr>
            <w:top w:val="none" w:sz="0" w:space="0" w:color="auto"/>
            <w:left w:val="none" w:sz="0" w:space="0" w:color="auto"/>
            <w:bottom w:val="none" w:sz="0" w:space="0" w:color="auto"/>
            <w:right w:val="none" w:sz="0" w:space="0" w:color="auto"/>
          </w:divBdr>
        </w:div>
        <w:div w:id="2097363920">
          <w:marLeft w:val="0"/>
          <w:marRight w:val="0"/>
          <w:marTop w:val="0"/>
          <w:marBottom w:val="0"/>
          <w:divBdr>
            <w:top w:val="none" w:sz="0" w:space="0" w:color="auto"/>
            <w:left w:val="none" w:sz="0" w:space="0" w:color="auto"/>
            <w:bottom w:val="none" w:sz="0" w:space="0" w:color="auto"/>
            <w:right w:val="none" w:sz="0" w:space="0" w:color="auto"/>
          </w:divBdr>
        </w:div>
        <w:div w:id="2105803504">
          <w:marLeft w:val="0"/>
          <w:marRight w:val="0"/>
          <w:marTop w:val="0"/>
          <w:marBottom w:val="0"/>
          <w:divBdr>
            <w:top w:val="none" w:sz="0" w:space="0" w:color="auto"/>
            <w:left w:val="none" w:sz="0" w:space="0" w:color="auto"/>
            <w:bottom w:val="none" w:sz="0" w:space="0" w:color="auto"/>
            <w:right w:val="none" w:sz="0" w:space="0" w:color="auto"/>
          </w:divBdr>
        </w:div>
        <w:div w:id="2107342326">
          <w:marLeft w:val="0"/>
          <w:marRight w:val="0"/>
          <w:marTop w:val="0"/>
          <w:marBottom w:val="0"/>
          <w:divBdr>
            <w:top w:val="none" w:sz="0" w:space="0" w:color="auto"/>
            <w:left w:val="none" w:sz="0" w:space="0" w:color="auto"/>
            <w:bottom w:val="none" w:sz="0" w:space="0" w:color="auto"/>
            <w:right w:val="none" w:sz="0" w:space="0" w:color="auto"/>
          </w:divBdr>
        </w:div>
        <w:div w:id="2108038578">
          <w:marLeft w:val="0"/>
          <w:marRight w:val="0"/>
          <w:marTop w:val="0"/>
          <w:marBottom w:val="0"/>
          <w:divBdr>
            <w:top w:val="none" w:sz="0" w:space="0" w:color="auto"/>
            <w:left w:val="none" w:sz="0" w:space="0" w:color="auto"/>
            <w:bottom w:val="none" w:sz="0" w:space="0" w:color="auto"/>
            <w:right w:val="none" w:sz="0" w:space="0" w:color="auto"/>
          </w:divBdr>
        </w:div>
        <w:div w:id="2121022916">
          <w:marLeft w:val="0"/>
          <w:marRight w:val="0"/>
          <w:marTop w:val="0"/>
          <w:marBottom w:val="0"/>
          <w:divBdr>
            <w:top w:val="none" w:sz="0" w:space="0" w:color="auto"/>
            <w:left w:val="none" w:sz="0" w:space="0" w:color="auto"/>
            <w:bottom w:val="none" w:sz="0" w:space="0" w:color="auto"/>
            <w:right w:val="none" w:sz="0" w:space="0" w:color="auto"/>
          </w:divBdr>
        </w:div>
        <w:div w:id="2147116583">
          <w:marLeft w:val="0"/>
          <w:marRight w:val="0"/>
          <w:marTop w:val="0"/>
          <w:marBottom w:val="0"/>
          <w:divBdr>
            <w:top w:val="none" w:sz="0" w:space="0" w:color="auto"/>
            <w:left w:val="none" w:sz="0" w:space="0" w:color="auto"/>
            <w:bottom w:val="none" w:sz="0" w:space="0" w:color="auto"/>
            <w:right w:val="none" w:sz="0" w:space="0" w:color="auto"/>
          </w:divBdr>
        </w:div>
      </w:divsChild>
    </w:div>
    <w:div w:id="680817280">
      <w:bodyDiv w:val="1"/>
      <w:marLeft w:val="0"/>
      <w:marRight w:val="0"/>
      <w:marTop w:val="0"/>
      <w:marBottom w:val="0"/>
      <w:divBdr>
        <w:top w:val="none" w:sz="0" w:space="0" w:color="auto"/>
        <w:left w:val="none" w:sz="0" w:space="0" w:color="auto"/>
        <w:bottom w:val="none" w:sz="0" w:space="0" w:color="auto"/>
        <w:right w:val="none" w:sz="0" w:space="0" w:color="auto"/>
      </w:divBdr>
      <w:divsChild>
        <w:div w:id="1629701616">
          <w:marLeft w:val="547"/>
          <w:marRight w:val="0"/>
          <w:marTop w:val="60"/>
          <w:marBottom w:val="120"/>
          <w:divBdr>
            <w:top w:val="none" w:sz="0" w:space="0" w:color="auto"/>
            <w:left w:val="none" w:sz="0" w:space="0" w:color="auto"/>
            <w:bottom w:val="none" w:sz="0" w:space="0" w:color="auto"/>
            <w:right w:val="none" w:sz="0" w:space="0" w:color="auto"/>
          </w:divBdr>
        </w:div>
      </w:divsChild>
    </w:div>
    <w:div w:id="721641227">
      <w:bodyDiv w:val="1"/>
      <w:marLeft w:val="0"/>
      <w:marRight w:val="0"/>
      <w:marTop w:val="0"/>
      <w:marBottom w:val="0"/>
      <w:divBdr>
        <w:top w:val="none" w:sz="0" w:space="0" w:color="auto"/>
        <w:left w:val="none" w:sz="0" w:space="0" w:color="auto"/>
        <w:bottom w:val="none" w:sz="0" w:space="0" w:color="auto"/>
        <w:right w:val="none" w:sz="0" w:space="0" w:color="auto"/>
      </w:divBdr>
    </w:div>
    <w:div w:id="1010454360">
      <w:bodyDiv w:val="1"/>
      <w:marLeft w:val="0"/>
      <w:marRight w:val="0"/>
      <w:marTop w:val="0"/>
      <w:marBottom w:val="0"/>
      <w:divBdr>
        <w:top w:val="none" w:sz="0" w:space="0" w:color="auto"/>
        <w:left w:val="none" w:sz="0" w:space="0" w:color="auto"/>
        <w:bottom w:val="none" w:sz="0" w:space="0" w:color="auto"/>
        <w:right w:val="none" w:sz="0" w:space="0" w:color="auto"/>
      </w:divBdr>
    </w:div>
    <w:div w:id="1069813050">
      <w:bodyDiv w:val="1"/>
      <w:marLeft w:val="0"/>
      <w:marRight w:val="0"/>
      <w:marTop w:val="0"/>
      <w:marBottom w:val="0"/>
      <w:divBdr>
        <w:top w:val="none" w:sz="0" w:space="0" w:color="auto"/>
        <w:left w:val="none" w:sz="0" w:space="0" w:color="auto"/>
        <w:bottom w:val="none" w:sz="0" w:space="0" w:color="auto"/>
        <w:right w:val="none" w:sz="0" w:space="0" w:color="auto"/>
      </w:divBdr>
    </w:div>
    <w:div w:id="1080492348">
      <w:bodyDiv w:val="1"/>
      <w:marLeft w:val="0"/>
      <w:marRight w:val="0"/>
      <w:marTop w:val="0"/>
      <w:marBottom w:val="0"/>
      <w:divBdr>
        <w:top w:val="none" w:sz="0" w:space="0" w:color="auto"/>
        <w:left w:val="none" w:sz="0" w:space="0" w:color="auto"/>
        <w:bottom w:val="none" w:sz="0" w:space="0" w:color="auto"/>
        <w:right w:val="none" w:sz="0" w:space="0" w:color="auto"/>
      </w:divBdr>
    </w:div>
    <w:div w:id="1190410861">
      <w:bodyDiv w:val="1"/>
      <w:marLeft w:val="0"/>
      <w:marRight w:val="0"/>
      <w:marTop w:val="0"/>
      <w:marBottom w:val="0"/>
      <w:divBdr>
        <w:top w:val="none" w:sz="0" w:space="0" w:color="auto"/>
        <w:left w:val="none" w:sz="0" w:space="0" w:color="auto"/>
        <w:bottom w:val="none" w:sz="0" w:space="0" w:color="auto"/>
        <w:right w:val="none" w:sz="0" w:space="0" w:color="auto"/>
      </w:divBdr>
    </w:div>
    <w:div w:id="1195266276">
      <w:bodyDiv w:val="1"/>
      <w:marLeft w:val="0"/>
      <w:marRight w:val="0"/>
      <w:marTop w:val="0"/>
      <w:marBottom w:val="0"/>
      <w:divBdr>
        <w:top w:val="none" w:sz="0" w:space="0" w:color="auto"/>
        <w:left w:val="none" w:sz="0" w:space="0" w:color="auto"/>
        <w:bottom w:val="none" w:sz="0" w:space="0" w:color="auto"/>
        <w:right w:val="none" w:sz="0" w:space="0" w:color="auto"/>
      </w:divBdr>
      <w:divsChild>
        <w:div w:id="80416976">
          <w:marLeft w:val="0"/>
          <w:marRight w:val="0"/>
          <w:marTop w:val="0"/>
          <w:marBottom w:val="0"/>
          <w:divBdr>
            <w:top w:val="none" w:sz="0" w:space="0" w:color="auto"/>
            <w:left w:val="none" w:sz="0" w:space="0" w:color="auto"/>
            <w:bottom w:val="none" w:sz="0" w:space="0" w:color="auto"/>
            <w:right w:val="none" w:sz="0" w:space="0" w:color="auto"/>
          </w:divBdr>
        </w:div>
        <w:div w:id="260988013">
          <w:marLeft w:val="0"/>
          <w:marRight w:val="0"/>
          <w:marTop w:val="0"/>
          <w:marBottom w:val="0"/>
          <w:divBdr>
            <w:top w:val="none" w:sz="0" w:space="0" w:color="auto"/>
            <w:left w:val="none" w:sz="0" w:space="0" w:color="auto"/>
            <w:bottom w:val="none" w:sz="0" w:space="0" w:color="auto"/>
            <w:right w:val="none" w:sz="0" w:space="0" w:color="auto"/>
          </w:divBdr>
        </w:div>
        <w:div w:id="363289159">
          <w:marLeft w:val="0"/>
          <w:marRight w:val="0"/>
          <w:marTop w:val="0"/>
          <w:marBottom w:val="0"/>
          <w:divBdr>
            <w:top w:val="none" w:sz="0" w:space="0" w:color="auto"/>
            <w:left w:val="none" w:sz="0" w:space="0" w:color="auto"/>
            <w:bottom w:val="none" w:sz="0" w:space="0" w:color="auto"/>
            <w:right w:val="none" w:sz="0" w:space="0" w:color="auto"/>
          </w:divBdr>
        </w:div>
        <w:div w:id="485126878">
          <w:marLeft w:val="0"/>
          <w:marRight w:val="0"/>
          <w:marTop w:val="0"/>
          <w:marBottom w:val="0"/>
          <w:divBdr>
            <w:top w:val="none" w:sz="0" w:space="0" w:color="auto"/>
            <w:left w:val="none" w:sz="0" w:space="0" w:color="auto"/>
            <w:bottom w:val="none" w:sz="0" w:space="0" w:color="auto"/>
            <w:right w:val="none" w:sz="0" w:space="0" w:color="auto"/>
          </w:divBdr>
        </w:div>
        <w:div w:id="860320038">
          <w:marLeft w:val="0"/>
          <w:marRight w:val="0"/>
          <w:marTop w:val="0"/>
          <w:marBottom w:val="0"/>
          <w:divBdr>
            <w:top w:val="none" w:sz="0" w:space="0" w:color="auto"/>
            <w:left w:val="none" w:sz="0" w:space="0" w:color="auto"/>
            <w:bottom w:val="none" w:sz="0" w:space="0" w:color="auto"/>
            <w:right w:val="none" w:sz="0" w:space="0" w:color="auto"/>
          </w:divBdr>
        </w:div>
        <w:div w:id="1100835251">
          <w:marLeft w:val="0"/>
          <w:marRight w:val="0"/>
          <w:marTop w:val="0"/>
          <w:marBottom w:val="0"/>
          <w:divBdr>
            <w:top w:val="none" w:sz="0" w:space="0" w:color="auto"/>
            <w:left w:val="none" w:sz="0" w:space="0" w:color="auto"/>
            <w:bottom w:val="none" w:sz="0" w:space="0" w:color="auto"/>
            <w:right w:val="none" w:sz="0" w:space="0" w:color="auto"/>
          </w:divBdr>
        </w:div>
        <w:div w:id="1117412574">
          <w:marLeft w:val="0"/>
          <w:marRight w:val="0"/>
          <w:marTop w:val="0"/>
          <w:marBottom w:val="0"/>
          <w:divBdr>
            <w:top w:val="none" w:sz="0" w:space="0" w:color="auto"/>
            <w:left w:val="none" w:sz="0" w:space="0" w:color="auto"/>
            <w:bottom w:val="none" w:sz="0" w:space="0" w:color="auto"/>
            <w:right w:val="none" w:sz="0" w:space="0" w:color="auto"/>
          </w:divBdr>
        </w:div>
        <w:div w:id="1140807888">
          <w:marLeft w:val="0"/>
          <w:marRight w:val="0"/>
          <w:marTop w:val="0"/>
          <w:marBottom w:val="0"/>
          <w:divBdr>
            <w:top w:val="none" w:sz="0" w:space="0" w:color="auto"/>
            <w:left w:val="none" w:sz="0" w:space="0" w:color="auto"/>
            <w:bottom w:val="none" w:sz="0" w:space="0" w:color="auto"/>
            <w:right w:val="none" w:sz="0" w:space="0" w:color="auto"/>
          </w:divBdr>
        </w:div>
        <w:div w:id="1194074961">
          <w:marLeft w:val="0"/>
          <w:marRight w:val="0"/>
          <w:marTop w:val="0"/>
          <w:marBottom w:val="0"/>
          <w:divBdr>
            <w:top w:val="none" w:sz="0" w:space="0" w:color="auto"/>
            <w:left w:val="none" w:sz="0" w:space="0" w:color="auto"/>
            <w:bottom w:val="none" w:sz="0" w:space="0" w:color="auto"/>
            <w:right w:val="none" w:sz="0" w:space="0" w:color="auto"/>
          </w:divBdr>
        </w:div>
        <w:div w:id="1233393505">
          <w:marLeft w:val="0"/>
          <w:marRight w:val="0"/>
          <w:marTop w:val="0"/>
          <w:marBottom w:val="0"/>
          <w:divBdr>
            <w:top w:val="none" w:sz="0" w:space="0" w:color="auto"/>
            <w:left w:val="none" w:sz="0" w:space="0" w:color="auto"/>
            <w:bottom w:val="none" w:sz="0" w:space="0" w:color="auto"/>
            <w:right w:val="none" w:sz="0" w:space="0" w:color="auto"/>
          </w:divBdr>
        </w:div>
        <w:div w:id="1629509132">
          <w:marLeft w:val="0"/>
          <w:marRight w:val="0"/>
          <w:marTop w:val="0"/>
          <w:marBottom w:val="0"/>
          <w:divBdr>
            <w:top w:val="none" w:sz="0" w:space="0" w:color="auto"/>
            <w:left w:val="none" w:sz="0" w:space="0" w:color="auto"/>
            <w:bottom w:val="none" w:sz="0" w:space="0" w:color="auto"/>
            <w:right w:val="none" w:sz="0" w:space="0" w:color="auto"/>
          </w:divBdr>
        </w:div>
        <w:div w:id="1712339742">
          <w:marLeft w:val="0"/>
          <w:marRight w:val="0"/>
          <w:marTop w:val="0"/>
          <w:marBottom w:val="0"/>
          <w:divBdr>
            <w:top w:val="none" w:sz="0" w:space="0" w:color="auto"/>
            <w:left w:val="none" w:sz="0" w:space="0" w:color="auto"/>
            <w:bottom w:val="none" w:sz="0" w:space="0" w:color="auto"/>
            <w:right w:val="none" w:sz="0" w:space="0" w:color="auto"/>
          </w:divBdr>
        </w:div>
        <w:div w:id="1753700556">
          <w:marLeft w:val="0"/>
          <w:marRight w:val="0"/>
          <w:marTop w:val="0"/>
          <w:marBottom w:val="0"/>
          <w:divBdr>
            <w:top w:val="none" w:sz="0" w:space="0" w:color="auto"/>
            <w:left w:val="none" w:sz="0" w:space="0" w:color="auto"/>
            <w:bottom w:val="none" w:sz="0" w:space="0" w:color="auto"/>
            <w:right w:val="none" w:sz="0" w:space="0" w:color="auto"/>
          </w:divBdr>
        </w:div>
        <w:div w:id="1862738070">
          <w:marLeft w:val="0"/>
          <w:marRight w:val="0"/>
          <w:marTop w:val="0"/>
          <w:marBottom w:val="0"/>
          <w:divBdr>
            <w:top w:val="none" w:sz="0" w:space="0" w:color="auto"/>
            <w:left w:val="none" w:sz="0" w:space="0" w:color="auto"/>
            <w:bottom w:val="none" w:sz="0" w:space="0" w:color="auto"/>
            <w:right w:val="none" w:sz="0" w:space="0" w:color="auto"/>
          </w:divBdr>
        </w:div>
        <w:div w:id="1960795465">
          <w:marLeft w:val="0"/>
          <w:marRight w:val="0"/>
          <w:marTop w:val="0"/>
          <w:marBottom w:val="0"/>
          <w:divBdr>
            <w:top w:val="none" w:sz="0" w:space="0" w:color="auto"/>
            <w:left w:val="none" w:sz="0" w:space="0" w:color="auto"/>
            <w:bottom w:val="none" w:sz="0" w:space="0" w:color="auto"/>
            <w:right w:val="none" w:sz="0" w:space="0" w:color="auto"/>
          </w:divBdr>
        </w:div>
      </w:divsChild>
    </w:div>
    <w:div w:id="1387222034">
      <w:bodyDiv w:val="1"/>
      <w:marLeft w:val="0"/>
      <w:marRight w:val="0"/>
      <w:marTop w:val="0"/>
      <w:marBottom w:val="0"/>
      <w:divBdr>
        <w:top w:val="none" w:sz="0" w:space="0" w:color="auto"/>
        <w:left w:val="none" w:sz="0" w:space="0" w:color="auto"/>
        <w:bottom w:val="none" w:sz="0" w:space="0" w:color="auto"/>
        <w:right w:val="none" w:sz="0" w:space="0" w:color="auto"/>
      </w:divBdr>
    </w:div>
    <w:div w:id="1663119602">
      <w:bodyDiv w:val="1"/>
      <w:marLeft w:val="0"/>
      <w:marRight w:val="0"/>
      <w:marTop w:val="0"/>
      <w:marBottom w:val="0"/>
      <w:divBdr>
        <w:top w:val="none" w:sz="0" w:space="0" w:color="auto"/>
        <w:left w:val="none" w:sz="0" w:space="0" w:color="auto"/>
        <w:bottom w:val="none" w:sz="0" w:space="0" w:color="auto"/>
        <w:right w:val="none" w:sz="0" w:space="0" w:color="auto"/>
      </w:divBdr>
    </w:div>
    <w:div w:id="1696996703">
      <w:bodyDiv w:val="1"/>
      <w:marLeft w:val="0"/>
      <w:marRight w:val="0"/>
      <w:marTop w:val="0"/>
      <w:marBottom w:val="0"/>
      <w:divBdr>
        <w:top w:val="none" w:sz="0" w:space="0" w:color="auto"/>
        <w:left w:val="none" w:sz="0" w:space="0" w:color="auto"/>
        <w:bottom w:val="none" w:sz="0" w:space="0" w:color="auto"/>
        <w:right w:val="none" w:sz="0" w:space="0" w:color="auto"/>
      </w:divBdr>
    </w:div>
    <w:div w:id="1707025513">
      <w:bodyDiv w:val="1"/>
      <w:marLeft w:val="0"/>
      <w:marRight w:val="0"/>
      <w:marTop w:val="0"/>
      <w:marBottom w:val="0"/>
      <w:divBdr>
        <w:top w:val="none" w:sz="0" w:space="0" w:color="auto"/>
        <w:left w:val="none" w:sz="0" w:space="0" w:color="auto"/>
        <w:bottom w:val="none" w:sz="0" w:space="0" w:color="auto"/>
        <w:right w:val="none" w:sz="0" w:space="0" w:color="auto"/>
      </w:divBdr>
    </w:div>
    <w:div w:id="1874727192">
      <w:bodyDiv w:val="1"/>
      <w:marLeft w:val="0"/>
      <w:marRight w:val="0"/>
      <w:marTop w:val="0"/>
      <w:marBottom w:val="0"/>
      <w:divBdr>
        <w:top w:val="none" w:sz="0" w:space="0" w:color="auto"/>
        <w:left w:val="none" w:sz="0" w:space="0" w:color="auto"/>
        <w:bottom w:val="none" w:sz="0" w:space="0" w:color="auto"/>
        <w:right w:val="none" w:sz="0" w:space="0" w:color="auto"/>
      </w:divBdr>
    </w:div>
    <w:div w:id="1912808822">
      <w:bodyDiv w:val="1"/>
      <w:marLeft w:val="0"/>
      <w:marRight w:val="0"/>
      <w:marTop w:val="0"/>
      <w:marBottom w:val="0"/>
      <w:divBdr>
        <w:top w:val="none" w:sz="0" w:space="0" w:color="auto"/>
        <w:left w:val="none" w:sz="0" w:space="0" w:color="auto"/>
        <w:bottom w:val="none" w:sz="0" w:space="0" w:color="auto"/>
        <w:right w:val="none" w:sz="0" w:space="0" w:color="auto"/>
      </w:divBdr>
      <w:divsChild>
        <w:div w:id="1513570">
          <w:marLeft w:val="0"/>
          <w:marRight w:val="0"/>
          <w:marTop w:val="0"/>
          <w:marBottom w:val="0"/>
          <w:divBdr>
            <w:top w:val="none" w:sz="0" w:space="0" w:color="auto"/>
            <w:left w:val="none" w:sz="0" w:space="0" w:color="auto"/>
            <w:bottom w:val="none" w:sz="0" w:space="0" w:color="auto"/>
            <w:right w:val="none" w:sz="0" w:space="0" w:color="auto"/>
          </w:divBdr>
        </w:div>
        <w:div w:id="5206673">
          <w:marLeft w:val="0"/>
          <w:marRight w:val="0"/>
          <w:marTop w:val="0"/>
          <w:marBottom w:val="0"/>
          <w:divBdr>
            <w:top w:val="none" w:sz="0" w:space="0" w:color="auto"/>
            <w:left w:val="none" w:sz="0" w:space="0" w:color="auto"/>
            <w:bottom w:val="none" w:sz="0" w:space="0" w:color="auto"/>
            <w:right w:val="none" w:sz="0" w:space="0" w:color="auto"/>
          </w:divBdr>
        </w:div>
        <w:div w:id="8993840">
          <w:marLeft w:val="0"/>
          <w:marRight w:val="0"/>
          <w:marTop w:val="0"/>
          <w:marBottom w:val="0"/>
          <w:divBdr>
            <w:top w:val="none" w:sz="0" w:space="0" w:color="auto"/>
            <w:left w:val="none" w:sz="0" w:space="0" w:color="auto"/>
            <w:bottom w:val="none" w:sz="0" w:space="0" w:color="auto"/>
            <w:right w:val="none" w:sz="0" w:space="0" w:color="auto"/>
          </w:divBdr>
        </w:div>
        <w:div w:id="16465175">
          <w:marLeft w:val="0"/>
          <w:marRight w:val="0"/>
          <w:marTop w:val="0"/>
          <w:marBottom w:val="0"/>
          <w:divBdr>
            <w:top w:val="none" w:sz="0" w:space="0" w:color="auto"/>
            <w:left w:val="none" w:sz="0" w:space="0" w:color="auto"/>
            <w:bottom w:val="none" w:sz="0" w:space="0" w:color="auto"/>
            <w:right w:val="none" w:sz="0" w:space="0" w:color="auto"/>
          </w:divBdr>
        </w:div>
        <w:div w:id="22413429">
          <w:marLeft w:val="0"/>
          <w:marRight w:val="0"/>
          <w:marTop w:val="0"/>
          <w:marBottom w:val="0"/>
          <w:divBdr>
            <w:top w:val="none" w:sz="0" w:space="0" w:color="auto"/>
            <w:left w:val="none" w:sz="0" w:space="0" w:color="auto"/>
            <w:bottom w:val="none" w:sz="0" w:space="0" w:color="auto"/>
            <w:right w:val="none" w:sz="0" w:space="0" w:color="auto"/>
          </w:divBdr>
        </w:div>
        <w:div w:id="51344116">
          <w:marLeft w:val="0"/>
          <w:marRight w:val="0"/>
          <w:marTop w:val="0"/>
          <w:marBottom w:val="0"/>
          <w:divBdr>
            <w:top w:val="none" w:sz="0" w:space="0" w:color="auto"/>
            <w:left w:val="none" w:sz="0" w:space="0" w:color="auto"/>
            <w:bottom w:val="none" w:sz="0" w:space="0" w:color="auto"/>
            <w:right w:val="none" w:sz="0" w:space="0" w:color="auto"/>
          </w:divBdr>
        </w:div>
        <w:div w:id="62342356">
          <w:marLeft w:val="0"/>
          <w:marRight w:val="0"/>
          <w:marTop w:val="0"/>
          <w:marBottom w:val="0"/>
          <w:divBdr>
            <w:top w:val="none" w:sz="0" w:space="0" w:color="auto"/>
            <w:left w:val="none" w:sz="0" w:space="0" w:color="auto"/>
            <w:bottom w:val="none" w:sz="0" w:space="0" w:color="auto"/>
            <w:right w:val="none" w:sz="0" w:space="0" w:color="auto"/>
          </w:divBdr>
        </w:div>
        <w:div w:id="90972403">
          <w:marLeft w:val="0"/>
          <w:marRight w:val="0"/>
          <w:marTop w:val="0"/>
          <w:marBottom w:val="0"/>
          <w:divBdr>
            <w:top w:val="none" w:sz="0" w:space="0" w:color="auto"/>
            <w:left w:val="none" w:sz="0" w:space="0" w:color="auto"/>
            <w:bottom w:val="none" w:sz="0" w:space="0" w:color="auto"/>
            <w:right w:val="none" w:sz="0" w:space="0" w:color="auto"/>
          </w:divBdr>
        </w:div>
        <w:div w:id="100151344">
          <w:marLeft w:val="0"/>
          <w:marRight w:val="0"/>
          <w:marTop w:val="0"/>
          <w:marBottom w:val="0"/>
          <w:divBdr>
            <w:top w:val="none" w:sz="0" w:space="0" w:color="auto"/>
            <w:left w:val="none" w:sz="0" w:space="0" w:color="auto"/>
            <w:bottom w:val="none" w:sz="0" w:space="0" w:color="auto"/>
            <w:right w:val="none" w:sz="0" w:space="0" w:color="auto"/>
          </w:divBdr>
        </w:div>
        <w:div w:id="140973747">
          <w:marLeft w:val="0"/>
          <w:marRight w:val="0"/>
          <w:marTop w:val="0"/>
          <w:marBottom w:val="0"/>
          <w:divBdr>
            <w:top w:val="none" w:sz="0" w:space="0" w:color="auto"/>
            <w:left w:val="none" w:sz="0" w:space="0" w:color="auto"/>
            <w:bottom w:val="none" w:sz="0" w:space="0" w:color="auto"/>
            <w:right w:val="none" w:sz="0" w:space="0" w:color="auto"/>
          </w:divBdr>
        </w:div>
        <w:div w:id="163788633">
          <w:marLeft w:val="0"/>
          <w:marRight w:val="0"/>
          <w:marTop w:val="0"/>
          <w:marBottom w:val="0"/>
          <w:divBdr>
            <w:top w:val="none" w:sz="0" w:space="0" w:color="auto"/>
            <w:left w:val="none" w:sz="0" w:space="0" w:color="auto"/>
            <w:bottom w:val="none" w:sz="0" w:space="0" w:color="auto"/>
            <w:right w:val="none" w:sz="0" w:space="0" w:color="auto"/>
          </w:divBdr>
        </w:div>
        <w:div w:id="165562518">
          <w:marLeft w:val="0"/>
          <w:marRight w:val="0"/>
          <w:marTop w:val="0"/>
          <w:marBottom w:val="0"/>
          <w:divBdr>
            <w:top w:val="none" w:sz="0" w:space="0" w:color="auto"/>
            <w:left w:val="none" w:sz="0" w:space="0" w:color="auto"/>
            <w:bottom w:val="none" w:sz="0" w:space="0" w:color="auto"/>
            <w:right w:val="none" w:sz="0" w:space="0" w:color="auto"/>
          </w:divBdr>
        </w:div>
        <w:div w:id="178812707">
          <w:marLeft w:val="0"/>
          <w:marRight w:val="0"/>
          <w:marTop w:val="0"/>
          <w:marBottom w:val="0"/>
          <w:divBdr>
            <w:top w:val="none" w:sz="0" w:space="0" w:color="auto"/>
            <w:left w:val="none" w:sz="0" w:space="0" w:color="auto"/>
            <w:bottom w:val="none" w:sz="0" w:space="0" w:color="auto"/>
            <w:right w:val="none" w:sz="0" w:space="0" w:color="auto"/>
          </w:divBdr>
        </w:div>
        <w:div w:id="179853814">
          <w:marLeft w:val="0"/>
          <w:marRight w:val="0"/>
          <w:marTop w:val="0"/>
          <w:marBottom w:val="0"/>
          <w:divBdr>
            <w:top w:val="none" w:sz="0" w:space="0" w:color="auto"/>
            <w:left w:val="none" w:sz="0" w:space="0" w:color="auto"/>
            <w:bottom w:val="none" w:sz="0" w:space="0" w:color="auto"/>
            <w:right w:val="none" w:sz="0" w:space="0" w:color="auto"/>
          </w:divBdr>
        </w:div>
        <w:div w:id="203903799">
          <w:marLeft w:val="0"/>
          <w:marRight w:val="0"/>
          <w:marTop w:val="0"/>
          <w:marBottom w:val="0"/>
          <w:divBdr>
            <w:top w:val="none" w:sz="0" w:space="0" w:color="auto"/>
            <w:left w:val="none" w:sz="0" w:space="0" w:color="auto"/>
            <w:bottom w:val="none" w:sz="0" w:space="0" w:color="auto"/>
            <w:right w:val="none" w:sz="0" w:space="0" w:color="auto"/>
          </w:divBdr>
        </w:div>
        <w:div w:id="205063556">
          <w:marLeft w:val="0"/>
          <w:marRight w:val="0"/>
          <w:marTop w:val="0"/>
          <w:marBottom w:val="0"/>
          <w:divBdr>
            <w:top w:val="none" w:sz="0" w:space="0" w:color="auto"/>
            <w:left w:val="none" w:sz="0" w:space="0" w:color="auto"/>
            <w:bottom w:val="none" w:sz="0" w:space="0" w:color="auto"/>
            <w:right w:val="none" w:sz="0" w:space="0" w:color="auto"/>
          </w:divBdr>
        </w:div>
        <w:div w:id="206067327">
          <w:marLeft w:val="0"/>
          <w:marRight w:val="0"/>
          <w:marTop w:val="0"/>
          <w:marBottom w:val="0"/>
          <w:divBdr>
            <w:top w:val="none" w:sz="0" w:space="0" w:color="auto"/>
            <w:left w:val="none" w:sz="0" w:space="0" w:color="auto"/>
            <w:bottom w:val="none" w:sz="0" w:space="0" w:color="auto"/>
            <w:right w:val="none" w:sz="0" w:space="0" w:color="auto"/>
          </w:divBdr>
        </w:div>
        <w:div w:id="209584611">
          <w:marLeft w:val="0"/>
          <w:marRight w:val="0"/>
          <w:marTop w:val="0"/>
          <w:marBottom w:val="0"/>
          <w:divBdr>
            <w:top w:val="none" w:sz="0" w:space="0" w:color="auto"/>
            <w:left w:val="none" w:sz="0" w:space="0" w:color="auto"/>
            <w:bottom w:val="none" w:sz="0" w:space="0" w:color="auto"/>
            <w:right w:val="none" w:sz="0" w:space="0" w:color="auto"/>
          </w:divBdr>
        </w:div>
        <w:div w:id="224882079">
          <w:marLeft w:val="0"/>
          <w:marRight w:val="0"/>
          <w:marTop w:val="0"/>
          <w:marBottom w:val="0"/>
          <w:divBdr>
            <w:top w:val="none" w:sz="0" w:space="0" w:color="auto"/>
            <w:left w:val="none" w:sz="0" w:space="0" w:color="auto"/>
            <w:bottom w:val="none" w:sz="0" w:space="0" w:color="auto"/>
            <w:right w:val="none" w:sz="0" w:space="0" w:color="auto"/>
          </w:divBdr>
        </w:div>
        <w:div w:id="225606082">
          <w:marLeft w:val="0"/>
          <w:marRight w:val="0"/>
          <w:marTop w:val="0"/>
          <w:marBottom w:val="0"/>
          <w:divBdr>
            <w:top w:val="none" w:sz="0" w:space="0" w:color="auto"/>
            <w:left w:val="none" w:sz="0" w:space="0" w:color="auto"/>
            <w:bottom w:val="none" w:sz="0" w:space="0" w:color="auto"/>
            <w:right w:val="none" w:sz="0" w:space="0" w:color="auto"/>
          </w:divBdr>
        </w:div>
        <w:div w:id="244265057">
          <w:marLeft w:val="0"/>
          <w:marRight w:val="0"/>
          <w:marTop w:val="0"/>
          <w:marBottom w:val="0"/>
          <w:divBdr>
            <w:top w:val="none" w:sz="0" w:space="0" w:color="auto"/>
            <w:left w:val="none" w:sz="0" w:space="0" w:color="auto"/>
            <w:bottom w:val="none" w:sz="0" w:space="0" w:color="auto"/>
            <w:right w:val="none" w:sz="0" w:space="0" w:color="auto"/>
          </w:divBdr>
        </w:div>
        <w:div w:id="274560273">
          <w:marLeft w:val="0"/>
          <w:marRight w:val="0"/>
          <w:marTop w:val="0"/>
          <w:marBottom w:val="0"/>
          <w:divBdr>
            <w:top w:val="none" w:sz="0" w:space="0" w:color="auto"/>
            <w:left w:val="none" w:sz="0" w:space="0" w:color="auto"/>
            <w:bottom w:val="none" w:sz="0" w:space="0" w:color="auto"/>
            <w:right w:val="none" w:sz="0" w:space="0" w:color="auto"/>
          </w:divBdr>
        </w:div>
        <w:div w:id="286394156">
          <w:marLeft w:val="0"/>
          <w:marRight w:val="0"/>
          <w:marTop w:val="0"/>
          <w:marBottom w:val="0"/>
          <w:divBdr>
            <w:top w:val="none" w:sz="0" w:space="0" w:color="auto"/>
            <w:left w:val="none" w:sz="0" w:space="0" w:color="auto"/>
            <w:bottom w:val="none" w:sz="0" w:space="0" w:color="auto"/>
            <w:right w:val="none" w:sz="0" w:space="0" w:color="auto"/>
          </w:divBdr>
        </w:div>
        <w:div w:id="320819200">
          <w:marLeft w:val="0"/>
          <w:marRight w:val="0"/>
          <w:marTop w:val="0"/>
          <w:marBottom w:val="0"/>
          <w:divBdr>
            <w:top w:val="none" w:sz="0" w:space="0" w:color="auto"/>
            <w:left w:val="none" w:sz="0" w:space="0" w:color="auto"/>
            <w:bottom w:val="none" w:sz="0" w:space="0" w:color="auto"/>
            <w:right w:val="none" w:sz="0" w:space="0" w:color="auto"/>
          </w:divBdr>
        </w:div>
        <w:div w:id="321856802">
          <w:marLeft w:val="0"/>
          <w:marRight w:val="0"/>
          <w:marTop w:val="0"/>
          <w:marBottom w:val="0"/>
          <w:divBdr>
            <w:top w:val="none" w:sz="0" w:space="0" w:color="auto"/>
            <w:left w:val="none" w:sz="0" w:space="0" w:color="auto"/>
            <w:bottom w:val="none" w:sz="0" w:space="0" w:color="auto"/>
            <w:right w:val="none" w:sz="0" w:space="0" w:color="auto"/>
          </w:divBdr>
        </w:div>
        <w:div w:id="329675386">
          <w:marLeft w:val="0"/>
          <w:marRight w:val="0"/>
          <w:marTop w:val="0"/>
          <w:marBottom w:val="0"/>
          <w:divBdr>
            <w:top w:val="none" w:sz="0" w:space="0" w:color="auto"/>
            <w:left w:val="none" w:sz="0" w:space="0" w:color="auto"/>
            <w:bottom w:val="none" w:sz="0" w:space="0" w:color="auto"/>
            <w:right w:val="none" w:sz="0" w:space="0" w:color="auto"/>
          </w:divBdr>
        </w:div>
        <w:div w:id="343938610">
          <w:marLeft w:val="0"/>
          <w:marRight w:val="0"/>
          <w:marTop w:val="0"/>
          <w:marBottom w:val="0"/>
          <w:divBdr>
            <w:top w:val="none" w:sz="0" w:space="0" w:color="auto"/>
            <w:left w:val="none" w:sz="0" w:space="0" w:color="auto"/>
            <w:bottom w:val="none" w:sz="0" w:space="0" w:color="auto"/>
            <w:right w:val="none" w:sz="0" w:space="0" w:color="auto"/>
          </w:divBdr>
        </w:div>
        <w:div w:id="345718231">
          <w:marLeft w:val="0"/>
          <w:marRight w:val="0"/>
          <w:marTop w:val="0"/>
          <w:marBottom w:val="0"/>
          <w:divBdr>
            <w:top w:val="none" w:sz="0" w:space="0" w:color="auto"/>
            <w:left w:val="none" w:sz="0" w:space="0" w:color="auto"/>
            <w:bottom w:val="none" w:sz="0" w:space="0" w:color="auto"/>
            <w:right w:val="none" w:sz="0" w:space="0" w:color="auto"/>
          </w:divBdr>
        </w:div>
        <w:div w:id="347416137">
          <w:marLeft w:val="0"/>
          <w:marRight w:val="0"/>
          <w:marTop w:val="0"/>
          <w:marBottom w:val="0"/>
          <w:divBdr>
            <w:top w:val="none" w:sz="0" w:space="0" w:color="auto"/>
            <w:left w:val="none" w:sz="0" w:space="0" w:color="auto"/>
            <w:bottom w:val="none" w:sz="0" w:space="0" w:color="auto"/>
            <w:right w:val="none" w:sz="0" w:space="0" w:color="auto"/>
          </w:divBdr>
        </w:div>
        <w:div w:id="371421828">
          <w:marLeft w:val="0"/>
          <w:marRight w:val="0"/>
          <w:marTop w:val="0"/>
          <w:marBottom w:val="0"/>
          <w:divBdr>
            <w:top w:val="none" w:sz="0" w:space="0" w:color="auto"/>
            <w:left w:val="none" w:sz="0" w:space="0" w:color="auto"/>
            <w:bottom w:val="none" w:sz="0" w:space="0" w:color="auto"/>
            <w:right w:val="none" w:sz="0" w:space="0" w:color="auto"/>
          </w:divBdr>
        </w:div>
        <w:div w:id="382871085">
          <w:marLeft w:val="0"/>
          <w:marRight w:val="0"/>
          <w:marTop w:val="0"/>
          <w:marBottom w:val="0"/>
          <w:divBdr>
            <w:top w:val="none" w:sz="0" w:space="0" w:color="auto"/>
            <w:left w:val="none" w:sz="0" w:space="0" w:color="auto"/>
            <w:bottom w:val="none" w:sz="0" w:space="0" w:color="auto"/>
            <w:right w:val="none" w:sz="0" w:space="0" w:color="auto"/>
          </w:divBdr>
        </w:div>
        <w:div w:id="392850754">
          <w:marLeft w:val="0"/>
          <w:marRight w:val="0"/>
          <w:marTop w:val="0"/>
          <w:marBottom w:val="0"/>
          <w:divBdr>
            <w:top w:val="none" w:sz="0" w:space="0" w:color="auto"/>
            <w:left w:val="none" w:sz="0" w:space="0" w:color="auto"/>
            <w:bottom w:val="none" w:sz="0" w:space="0" w:color="auto"/>
            <w:right w:val="none" w:sz="0" w:space="0" w:color="auto"/>
          </w:divBdr>
        </w:div>
        <w:div w:id="394398500">
          <w:marLeft w:val="0"/>
          <w:marRight w:val="0"/>
          <w:marTop w:val="0"/>
          <w:marBottom w:val="0"/>
          <w:divBdr>
            <w:top w:val="none" w:sz="0" w:space="0" w:color="auto"/>
            <w:left w:val="none" w:sz="0" w:space="0" w:color="auto"/>
            <w:bottom w:val="none" w:sz="0" w:space="0" w:color="auto"/>
            <w:right w:val="none" w:sz="0" w:space="0" w:color="auto"/>
          </w:divBdr>
        </w:div>
        <w:div w:id="402291150">
          <w:marLeft w:val="0"/>
          <w:marRight w:val="0"/>
          <w:marTop w:val="0"/>
          <w:marBottom w:val="0"/>
          <w:divBdr>
            <w:top w:val="none" w:sz="0" w:space="0" w:color="auto"/>
            <w:left w:val="none" w:sz="0" w:space="0" w:color="auto"/>
            <w:bottom w:val="none" w:sz="0" w:space="0" w:color="auto"/>
            <w:right w:val="none" w:sz="0" w:space="0" w:color="auto"/>
          </w:divBdr>
        </w:div>
        <w:div w:id="409154346">
          <w:marLeft w:val="0"/>
          <w:marRight w:val="0"/>
          <w:marTop w:val="0"/>
          <w:marBottom w:val="0"/>
          <w:divBdr>
            <w:top w:val="none" w:sz="0" w:space="0" w:color="auto"/>
            <w:left w:val="none" w:sz="0" w:space="0" w:color="auto"/>
            <w:bottom w:val="none" w:sz="0" w:space="0" w:color="auto"/>
            <w:right w:val="none" w:sz="0" w:space="0" w:color="auto"/>
          </w:divBdr>
        </w:div>
        <w:div w:id="449058940">
          <w:marLeft w:val="0"/>
          <w:marRight w:val="0"/>
          <w:marTop w:val="0"/>
          <w:marBottom w:val="0"/>
          <w:divBdr>
            <w:top w:val="none" w:sz="0" w:space="0" w:color="auto"/>
            <w:left w:val="none" w:sz="0" w:space="0" w:color="auto"/>
            <w:bottom w:val="none" w:sz="0" w:space="0" w:color="auto"/>
            <w:right w:val="none" w:sz="0" w:space="0" w:color="auto"/>
          </w:divBdr>
        </w:div>
        <w:div w:id="499539309">
          <w:marLeft w:val="0"/>
          <w:marRight w:val="0"/>
          <w:marTop w:val="0"/>
          <w:marBottom w:val="0"/>
          <w:divBdr>
            <w:top w:val="none" w:sz="0" w:space="0" w:color="auto"/>
            <w:left w:val="none" w:sz="0" w:space="0" w:color="auto"/>
            <w:bottom w:val="none" w:sz="0" w:space="0" w:color="auto"/>
            <w:right w:val="none" w:sz="0" w:space="0" w:color="auto"/>
          </w:divBdr>
        </w:div>
        <w:div w:id="504173536">
          <w:marLeft w:val="0"/>
          <w:marRight w:val="0"/>
          <w:marTop w:val="0"/>
          <w:marBottom w:val="0"/>
          <w:divBdr>
            <w:top w:val="none" w:sz="0" w:space="0" w:color="auto"/>
            <w:left w:val="none" w:sz="0" w:space="0" w:color="auto"/>
            <w:bottom w:val="none" w:sz="0" w:space="0" w:color="auto"/>
            <w:right w:val="none" w:sz="0" w:space="0" w:color="auto"/>
          </w:divBdr>
        </w:div>
        <w:div w:id="516385870">
          <w:marLeft w:val="0"/>
          <w:marRight w:val="0"/>
          <w:marTop w:val="0"/>
          <w:marBottom w:val="0"/>
          <w:divBdr>
            <w:top w:val="none" w:sz="0" w:space="0" w:color="auto"/>
            <w:left w:val="none" w:sz="0" w:space="0" w:color="auto"/>
            <w:bottom w:val="none" w:sz="0" w:space="0" w:color="auto"/>
            <w:right w:val="none" w:sz="0" w:space="0" w:color="auto"/>
          </w:divBdr>
        </w:div>
        <w:div w:id="534124939">
          <w:marLeft w:val="0"/>
          <w:marRight w:val="0"/>
          <w:marTop w:val="0"/>
          <w:marBottom w:val="0"/>
          <w:divBdr>
            <w:top w:val="none" w:sz="0" w:space="0" w:color="auto"/>
            <w:left w:val="none" w:sz="0" w:space="0" w:color="auto"/>
            <w:bottom w:val="none" w:sz="0" w:space="0" w:color="auto"/>
            <w:right w:val="none" w:sz="0" w:space="0" w:color="auto"/>
          </w:divBdr>
        </w:div>
        <w:div w:id="560750291">
          <w:marLeft w:val="0"/>
          <w:marRight w:val="0"/>
          <w:marTop w:val="0"/>
          <w:marBottom w:val="0"/>
          <w:divBdr>
            <w:top w:val="none" w:sz="0" w:space="0" w:color="auto"/>
            <w:left w:val="none" w:sz="0" w:space="0" w:color="auto"/>
            <w:bottom w:val="none" w:sz="0" w:space="0" w:color="auto"/>
            <w:right w:val="none" w:sz="0" w:space="0" w:color="auto"/>
          </w:divBdr>
        </w:div>
        <w:div w:id="565721238">
          <w:marLeft w:val="0"/>
          <w:marRight w:val="0"/>
          <w:marTop w:val="0"/>
          <w:marBottom w:val="0"/>
          <w:divBdr>
            <w:top w:val="none" w:sz="0" w:space="0" w:color="auto"/>
            <w:left w:val="none" w:sz="0" w:space="0" w:color="auto"/>
            <w:bottom w:val="none" w:sz="0" w:space="0" w:color="auto"/>
            <w:right w:val="none" w:sz="0" w:space="0" w:color="auto"/>
          </w:divBdr>
        </w:div>
        <w:div w:id="581717723">
          <w:marLeft w:val="0"/>
          <w:marRight w:val="0"/>
          <w:marTop w:val="0"/>
          <w:marBottom w:val="0"/>
          <w:divBdr>
            <w:top w:val="none" w:sz="0" w:space="0" w:color="auto"/>
            <w:left w:val="none" w:sz="0" w:space="0" w:color="auto"/>
            <w:bottom w:val="none" w:sz="0" w:space="0" w:color="auto"/>
            <w:right w:val="none" w:sz="0" w:space="0" w:color="auto"/>
          </w:divBdr>
        </w:div>
        <w:div w:id="584536483">
          <w:marLeft w:val="0"/>
          <w:marRight w:val="0"/>
          <w:marTop w:val="0"/>
          <w:marBottom w:val="0"/>
          <w:divBdr>
            <w:top w:val="none" w:sz="0" w:space="0" w:color="auto"/>
            <w:left w:val="none" w:sz="0" w:space="0" w:color="auto"/>
            <w:bottom w:val="none" w:sz="0" w:space="0" w:color="auto"/>
            <w:right w:val="none" w:sz="0" w:space="0" w:color="auto"/>
          </w:divBdr>
        </w:div>
        <w:div w:id="585766281">
          <w:marLeft w:val="0"/>
          <w:marRight w:val="0"/>
          <w:marTop w:val="0"/>
          <w:marBottom w:val="0"/>
          <w:divBdr>
            <w:top w:val="none" w:sz="0" w:space="0" w:color="auto"/>
            <w:left w:val="none" w:sz="0" w:space="0" w:color="auto"/>
            <w:bottom w:val="none" w:sz="0" w:space="0" w:color="auto"/>
            <w:right w:val="none" w:sz="0" w:space="0" w:color="auto"/>
          </w:divBdr>
        </w:div>
        <w:div w:id="586157483">
          <w:marLeft w:val="0"/>
          <w:marRight w:val="0"/>
          <w:marTop w:val="0"/>
          <w:marBottom w:val="0"/>
          <w:divBdr>
            <w:top w:val="none" w:sz="0" w:space="0" w:color="auto"/>
            <w:left w:val="none" w:sz="0" w:space="0" w:color="auto"/>
            <w:bottom w:val="none" w:sz="0" w:space="0" w:color="auto"/>
            <w:right w:val="none" w:sz="0" w:space="0" w:color="auto"/>
          </w:divBdr>
        </w:div>
        <w:div w:id="634599995">
          <w:marLeft w:val="0"/>
          <w:marRight w:val="0"/>
          <w:marTop w:val="0"/>
          <w:marBottom w:val="0"/>
          <w:divBdr>
            <w:top w:val="none" w:sz="0" w:space="0" w:color="auto"/>
            <w:left w:val="none" w:sz="0" w:space="0" w:color="auto"/>
            <w:bottom w:val="none" w:sz="0" w:space="0" w:color="auto"/>
            <w:right w:val="none" w:sz="0" w:space="0" w:color="auto"/>
          </w:divBdr>
        </w:div>
        <w:div w:id="663168285">
          <w:marLeft w:val="0"/>
          <w:marRight w:val="0"/>
          <w:marTop w:val="0"/>
          <w:marBottom w:val="0"/>
          <w:divBdr>
            <w:top w:val="none" w:sz="0" w:space="0" w:color="auto"/>
            <w:left w:val="none" w:sz="0" w:space="0" w:color="auto"/>
            <w:bottom w:val="none" w:sz="0" w:space="0" w:color="auto"/>
            <w:right w:val="none" w:sz="0" w:space="0" w:color="auto"/>
          </w:divBdr>
        </w:div>
        <w:div w:id="704404113">
          <w:marLeft w:val="0"/>
          <w:marRight w:val="0"/>
          <w:marTop w:val="0"/>
          <w:marBottom w:val="0"/>
          <w:divBdr>
            <w:top w:val="none" w:sz="0" w:space="0" w:color="auto"/>
            <w:left w:val="none" w:sz="0" w:space="0" w:color="auto"/>
            <w:bottom w:val="none" w:sz="0" w:space="0" w:color="auto"/>
            <w:right w:val="none" w:sz="0" w:space="0" w:color="auto"/>
          </w:divBdr>
        </w:div>
        <w:div w:id="715662618">
          <w:marLeft w:val="0"/>
          <w:marRight w:val="0"/>
          <w:marTop w:val="0"/>
          <w:marBottom w:val="0"/>
          <w:divBdr>
            <w:top w:val="none" w:sz="0" w:space="0" w:color="auto"/>
            <w:left w:val="none" w:sz="0" w:space="0" w:color="auto"/>
            <w:bottom w:val="none" w:sz="0" w:space="0" w:color="auto"/>
            <w:right w:val="none" w:sz="0" w:space="0" w:color="auto"/>
          </w:divBdr>
        </w:div>
        <w:div w:id="720250992">
          <w:marLeft w:val="0"/>
          <w:marRight w:val="0"/>
          <w:marTop w:val="0"/>
          <w:marBottom w:val="0"/>
          <w:divBdr>
            <w:top w:val="none" w:sz="0" w:space="0" w:color="auto"/>
            <w:left w:val="none" w:sz="0" w:space="0" w:color="auto"/>
            <w:bottom w:val="none" w:sz="0" w:space="0" w:color="auto"/>
            <w:right w:val="none" w:sz="0" w:space="0" w:color="auto"/>
          </w:divBdr>
        </w:div>
        <w:div w:id="722408317">
          <w:marLeft w:val="0"/>
          <w:marRight w:val="0"/>
          <w:marTop w:val="0"/>
          <w:marBottom w:val="0"/>
          <w:divBdr>
            <w:top w:val="none" w:sz="0" w:space="0" w:color="auto"/>
            <w:left w:val="none" w:sz="0" w:space="0" w:color="auto"/>
            <w:bottom w:val="none" w:sz="0" w:space="0" w:color="auto"/>
            <w:right w:val="none" w:sz="0" w:space="0" w:color="auto"/>
          </w:divBdr>
        </w:div>
        <w:div w:id="727802915">
          <w:marLeft w:val="0"/>
          <w:marRight w:val="0"/>
          <w:marTop w:val="0"/>
          <w:marBottom w:val="0"/>
          <w:divBdr>
            <w:top w:val="none" w:sz="0" w:space="0" w:color="auto"/>
            <w:left w:val="none" w:sz="0" w:space="0" w:color="auto"/>
            <w:bottom w:val="none" w:sz="0" w:space="0" w:color="auto"/>
            <w:right w:val="none" w:sz="0" w:space="0" w:color="auto"/>
          </w:divBdr>
        </w:div>
        <w:div w:id="731079566">
          <w:marLeft w:val="0"/>
          <w:marRight w:val="0"/>
          <w:marTop w:val="0"/>
          <w:marBottom w:val="0"/>
          <w:divBdr>
            <w:top w:val="none" w:sz="0" w:space="0" w:color="auto"/>
            <w:left w:val="none" w:sz="0" w:space="0" w:color="auto"/>
            <w:bottom w:val="none" w:sz="0" w:space="0" w:color="auto"/>
            <w:right w:val="none" w:sz="0" w:space="0" w:color="auto"/>
          </w:divBdr>
        </w:div>
        <w:div w:id="741608131">
          <w:marLeft w:val="0"/>
          <w:marRight w:val="0"/>
          <w:marTop w:val="0"/>
          <w:marBottom w:val="0"/>
          <w:divBdr>
            <w:top w:val="none" w:sz="0" w:space="0" w:color="auto"/>
            <w:left w:val="none" w:sz="0" w:space="0" w:color="auto"/>
            <w:bottom w:val="none" w:sz="0" w:space="0" w:color="auto"/>
            <w:right w:val="none" w:sz="0" w:space="0" w:color="auto"/>
          </w:divBdr>
        </w:div>
        <w:div w:id="773094654">
          <w:marLeft w:val="0"/>
          <w:marRight w:val="0"/>
          <w:marTop w:val="0"/>
          <w:marBottom w:val="0"/>
          <w:divBdr>
            <w:top w:val="none" w:sz="0" w:space="0" w:color="auto"/>
            <w:left w:val="none" w:sz="0" w:space="0" w:color="auto"/>
            <w:bottom w:val="none" w:sz="0" w:space="0" w:color="auto"/>
            <w:right w:val="none" w:sz="0" w:space="0" w:color="auto"/>
          </w:divBdr>
        </w:div>
        <w:div w:id="775832595">
          <w:marLeft w:val="0"/>
          <w:marRight w:val="0"/>
          <w:marTop w:val="0"/>
          <w:marBottom w:val="0"/>
          <w:divBdr>
            <w:top w:val="none" w:sz="0" w:space="0" w:color="auto"/>
            <w:left w:val="none" w:sz="0" w:space="0" w:color="auto"/>
            <w:bottom w:val="none" w:sz="0" w:space="0" w:color="auto"/>
            <w:right w:val="none" w:sz="0" w:space="0" w:color="auto"/>
          </w:divBdr>
        </w:div>
        <w:div w:id="788549839">
          <w:marLeft w:val="0"/>
          <w:marRight w:val="0"/>
          <w:marTop w:val="0"/>
          <w:marBottom w:val="0"/>
          <w:divBdr>
            <w:top w:val="none" w:sz="0" w:space="0" w:color="auto"/>
            <w:left w:val="none" w:sz="0" w:space="0" w:color="auto"/>
            <w:bottom w:val="none" w:sz="0" w:space="0" w:color="auto"/>
            <w:right w:val="none" w:sz="0" w:space="0" w:color="auto"/>
          </w:divBdr>
        </w:div>
        <w:div w:id="796029730">
          <w:marLeft w:val="0"/>
          <w:marRight w:val="0"/>
          <w:marTop w:val="0"/>
          <w:marBottom w:val="0"/>
          <w:divBdr>
            <w:top w:val="none" w:sz="0" w:space="0" w:color="auto"/>
            <w:left w:val="none" w:sz="0" w:space="0" w:color="auto"/>
            <w:bottom w:val="none" w:sz="0" w:space="0" w:color="auto"/>
            <w:right w:val="none" w:sz="0" w:space="0" w:color="auto"/>
          </w:divBdr>
        </w:div>
        <w:div w:id="805779674">
          <w:marLeft w:val="0"/>
          <w:marRight w:val="0"/>
          <w:marTop w:val="0"/>
          <w:marBottom w:val="0"/>
          <w:divBdr>
            <w:top w:val="none" w:sz="0" w:space="0" w:color="auto"/>
            <w:left w:val="none" w:sz="0" w:space="0" w:color="auto"/>
            <w:bottom w:val="none" w:sz="0" w:space="0" w:color="auto"/>
            <w:right w:val="none" w:sz="0" w:space="0" w:color="auto"/>
          </w:divBdr>
        </w:div>
        <w:div w:id="824011669">
          <w:marLeft w:val="0"/>
          <w:marRight w:val="0"/>
          <w:marTop w:val="0"/>
          <w:marBottom w:val="0"/>
          <w:divBdr>
            <w:top w:val="none" w:sz="0" w:space="0" w:color="auto"/>
            <w:left w:val="none" w:sz="0" w:space="0" w:color="auto"/>
            <w:bottom w:val="none" w:sz="0" w:space="0" w:color="auto"/>
            <w:right w:val="none" w:sz="0" w:space="0" w:color="auto"/>
          </w:divBdr>
        </w:div>
        <w:div w:id="833643521">
          <w:marLeft w:val="0"/>
          <w:marRight w:val="0"/>
          <w:marTop w:val="0"/>
          <w:marBottom w:val="0"/>
          <w:divBdr>
            <w:top w:val="none" w:sz="0" w:space="0" w:color="auto"/>
            <w:left w:val="none" w:sz="0" w:space="0" w:color="auto"/>
            <w:bottom w:val="none" w:sz="0" w:space="0" w:color="auto"/>
            <w:right w:val="none" w:sz="0" w:space="0" w:color="auto"/>
          </w:divBdr>
        </w:div>
        <w:div w:id="848720496">
          <w:marLeft w:val="0"/>
          <w:marRight w:val="0"/>
          <w:marTop w:val="0"/>
          <w:marBottom w:val="0"/>
          <w:divBdr>
            <w:top w:val="none" w:sz="0" w:space="0" w:color="auto"/>
            <w:left w:val="none" w:sz="0" w:space="0" w:color="auto"/>
            <w:bottom w:val="none" w:sz="0" w:space="0" w:color="auto"/>
            <w:right w:val="none" w:sz="0" w:space="0" w:color="auto"/>
          </w:divBdr>
        </w:div>
        <w:div w:id="855654276">
          <w:marLeft w:val="0"/>
          <w:marRight w:val="0"/>
          <w:marTop w:val="0"/>
          <w:marBottom w:val="0"/>
          <w:divBdr>
            <w:top w:val="none" w:sz="0" w:space="0" w:color="auto"/>
            <w:left w:val="none" w:sz="0" w:space="0" w:color="auto"/>
            <w:bottom w:val="none" w:sz="0" w:space="0" w:color="auto"/>
            <w:right w:val="none" w:sz="0" w:space="0" w:color="auto"/>
          </w:divBdr>
        </w:div>
        <w:div w:id="887835134">
          <w:marLeft w:val="0"/>
          <w:marRight w:val="0"/>
          <w:marTop w:val="0"/>
          <w:marBottom w:val="0"/>
          <w:divBdr>
            <w:top w:val="none" w:sz="0" w:space="0" w:color="auto"/>
            <w:left w:val="none" w:sz="0" w:space="0" w:color="auto"/>
            <w:bottom w:val="none" w:sz="0" w:space="0" w:color="auto"/>
            <w:right w:val="none" w:sz="0" w:space="0" w:color="auto"/>
          </w:divBdr>
        </w:div>
        <w:div w:id="908461912">
          <w:marLeft w:val="0"/>
          <w:marRight w:val="0"/>
          <w:marTop w:val="0"/>
          <w:marBottom w:val="0"/>
          <w:divBdr>
            <w:top w:val="none" w:sz="0" w:space="0" w:color="auto"/>
            <w:left w:val="none" w:sz="0" w:space="0" w:color="auto"/>
            <w:bottom w:val="none" w:sz="0" w:space="0" w:color="auto"/>
            <w:right w:val="none" w:sz="0" w:space="0" w:color="auto"/>
          </w:divBdr>
        </w:div>
        <w:div w:id="915167406">
          <w:marLeft w:val="0"/>
          <w:marRight w:val="0"/>
          <w:marTop w:val="0"/>
          <w:marBottom w:val="0"/>
          <w:divBdr>
            <w:top w:val="none" w:sz="0" w:space="0" w:color="auto"/>
            <w:left w:val="none" w:sz="0" w:space="0" w:color="auto"/>
            <w:bottom w:val="none" w:sz="0" w:space="0" w:color="auto"/>
            <w:right w:val="none" w:sz="0" w:space="0" w:color="auto"/>
          </w:divBdr>
        </w:div>
        <w:div w:id="919825795">
          <w:marLeft w:val="0"/>
          <w:marRight w:val="0"/>
          <w:marTop w:val="0"/>
          <w:marBottom w:val="0"/>
          <w:divBdr>
            <w:top w:val="none" w:sz="0" w:space="0" w:color="auto"/>
            <w:left w:val="none" w:sz="0" w:space="0" w:color="auto"/>
            <w:bottom w:val="none" w:sz="0" w:space="0" w:color="auto"/>
            <w:right w:val="none" w:sz="0" w:space="0" w:color="auto"/>
          </w:divBdr>
        </w:div>
        <w:div w:id="922300560">
          <w:marLeft w:val="0"/>
          <w:marRight w:val="0"/>
          <w:marTop w:val="0"/>
          <w:marBottom w:val="0"/>
          <w:divBdr>
            <w:top w:val="none" w:sz="0" w:space="0" w:color="auto"/>
            <w:left w:val="none" w:sz="0" w:space="0" w:color="auto"/>
            <w:bottom w:val="none" w:sz="0" w:space="0" w:color="auto"/>
            <w:right w:val="none" w:sz="0" w:space="0" w:color="auto"/>
          </w:divBdr>
        </w:div>
        <w:div w:id="923421096">
          <w:marLeft w:val="0"/>
          <w:marRight w:val="0"/>
          <w:marTop w:val="0"/>
          <w:marBottom w:val="0"/>
          <w:divBdr>
            <w:top w:val="none" w:sz="0" w:space="0" w:color="auto"/>
            <w:left w:val="none" w:sz="0" w:space="0" w:color="auto"/>
            <w:bottom w:val="none" w:sz="0" w:space="0" w:color="auto"/>
            <w:right w:val="none" w:sz="0" w:space="0" w:color="auto"/>
          </w:divBdr>
        </w:div>
        <w:div w:id="941297842">
          <w:marLeft w:val="0"/>
          <w:marRight w:val="0"/>
          <w:marTop w:val="0"/>
          <w:marBottom w:val="0"/>
          <w:divBdr>
            <w:top w:val="none" w:sz="0" w:space="0" w:color="auto"/>
            <w:left w:val="none" w:sz="0" w:space="0" w:color="auto"/>
            <w:bottom w:val="none" w:sz="0" w:space="0" w:color="auto"/>
            <w:right w:val="none" w:sz="0" w:space="0" w:color="auto"/>
          </w:divBdr>
        </w:div>
        <w:div w:id="945308190">
          <w:marLeft w:val="0"/>
          <w:marRight w:val="0"/>
          <w:marTop w:val="0"/>
          <w:marBottom w:val="0"/>
          <w:divBdr>
            <w:top w:val="none" w:sz="0" w:space="0" w:color="auto"/>
            <w:left w:val="none" w:sz="0" w:space="0" w:color="auto"/>
            <w:bottom w:val="none" w:sz="0" w:space="0" w:color="auto"/>
            <w:right w:val="none" w:sz="0" w:space="0" w:color="auto"/>
          </w:divBdr>
        </w:div>
        <w:div w:id="946814801">
          <w:marLeft w:val="0"/>
          <w:marRight w:val="0"/>
          <w:marTop w:val="0"/>
          <w:marBottom w:val="0"/>
          <w:divBdr>
            <w:top w:val="none" w:sz="0" w:space="0" w:color="auto"/>
            <w:left w:val="none" w:sz="0" w:space="0" w:color="auto"/>
            <w:bottom w:val="none" w:sz="0" w:space="0" w:color="auto"/>
            <w:right w:val="none" w:sz="0" w:space="0" w:color="auto"/>
          </w:divBdr>
        </w:div>
        <w:div w:id="974794227">
          <w:marLeft w:val="0"/>
          <w:marRight w:val="0"/>
          <w:marTop w:val="0"/>
          <w:marBottom w:val="0"/>
          <w:divBdr>
            <w:top w:val="none" w:sz="0" w:space="0" w:color="auto"/>
            <w:left w:val="none" w:sz="0" w:space="0" w:color="auto"/>
            <w:bottom w:val="none" w:sz="0" w:space="0" w:color="auto"/>
            <w:right w:val="none" w:sz="0" w:space="0" w:color="auto"/>
          </w:divBdr>
        </w:div>
        <w:div w:id="1009411545">
          <w:marLeft w:val="0"/>
          <w:marRight w:val="0"/>
          <w:marTop w:val="0"/>
          <w:marBottom w:val="0"/>
          <w:divBdr>
            <w:top w:val="none" w:sz="0" w:space="0" w:color="auto"/>
            <w:left w:val="none" w:sz="0" w:space="0" w:color="auto"/>
            <w:bottom w:val="none" w:sz="0" w:space="0" w:color="auto"/>
            <w:right w:val="none" w:sz="0" w:space="0" w:color="auto"/>
          </w:divBdr>
        </w:div>
        <w:div w:id="1022323122">
          <w:marLeft w:val="0"/>
          <w:marRight w:val="0"/>
          <w:marTop w:val="0"/>
          <w:marBottom w:val="0"/>
          <w:divBdr>
            <w:top w:val="none" w:sz="0" w:space="0" w:color="auto"/>
            <w:left w:val="none" w:sz="0" w:space="0" w:color="auto"/>
            <w:bottom w:val="none" w:sz="0" w:space="0" w:color="auto"/>
            <w:right w:val="none" w:sz="0" w:space="0" w:color="auto"/>
          </w:divBdr>
        </w:div>
        <w:div w:id="1023551315">
          <w:marLeft w:val="0"/>
          <w:marRight w:val="0"/>
          <w:marTop w:val="0"/>
          <w:marBottom w:val="0"/>
          <w:divBdr>
            <w:top w:val="none" w:sz="0" w:space="0" w:color="auto"/>
            <w:left w:val="none" w:sz="0" w:space="0" w:color="auto"/>
            <w:bottom w:val="none" w:sz="0" w:space="0" w:color="auto"/>
            <w:right w:val="none" w:sz="0" w:space="0" w:color="auto"/>
          </w:divBdr>
        </w:div>
        <w:div w:id="1048913617">
          <w:marLeft w:val="0"/>
          <w:marRight w:val="0"/>
          <w:marTop w:val="0"/>
          <w:marBottom w:val="0"/>
          <w:divBdr>
            <w:top w:val="none" w:sz="0" w:space="0" w:color="auto"/>
            <w:left w:val="none" w:sz="0" w:space="0" w:color="auto"/>
            <w:bottom w:val="none" w:sz="0" w:space="0" w:color="auto"/>
            <w:right w:val="none" w:sz="0" w:space="0" w:color="auto"/>
          </w:divBdr>
        </w:div>
        <w:div w:id="1077678634">
          <w:marLeft w:val="0"/>
          <w:marRight w:val="0"/>
          <w:marTop w:val="0"/>
          <w:marBottom w:val="0"/>
          <w:divBdr>
            <w:top w:val="none" w:sz="0" w:space="0" w:color="auto"/>
            <w:left w:val="none" w:sz="0" w:space="0" w:color="auto"/>
            <w:bottom w:val="none" w:sz="0" w:space="0" w:color="auto"/>
            <w:right w:val="none" w:sz="0" w:space="0" w:color="auto"/>
          </w:divBdr>
          <w:divsChild>
            <w:div w:id="122621220">
              <w:marLeft w:val="0"/>
              <w:marRight w:val="0"/>
              <w:marTop w:val="0"/>
              <w:marBottom w:val="0"/>
              <w:divBdr>
                <w:top w:val="none" w:sz="0" w:space="0" w:color="auto"/>
                <w:left w:val="none" w:sz="0" w:space="0" w:color="auto"/>
                <w:bottom w:val="none" w:sz="0" w:space="0" w:color="auto"/>
                <w:right w:val="none" w:sz="0" w:space="0" w:color="auto"/>
              </w:divBdr>
            </w:div>
            <w:div w:id="182785157">
              <w:marLeft w:val="0"/>
              <w:marRight w:val="0"/>
              <w:marTop w:val="0"/>
              <w:marBottom w:val="0"/>
              <w:divBdr>
                <w:top w:val="none" w:sz="0" w:space="0" w:color="auto"/>
                <w:left w:val="none" w:sz="0" w:space="0" w:color="auto"/>
                <w:bottom w:val="none" w:sz="0" w:space="0" w:color="auto"/>
                <w:right w:val="none" w:sz="0" w:space="0" w:color="auto"/>
              </w:divBdr>
            </w:div>
            <w:div w:id="287511867">
              <w:marLeft w:val="0"/>
              <w:marRight w:val="0"/>
              <w:marTop w:val="0"/>
              <w:marBottom w:val="0"/>
              <w:divBdr>
                <w:top w:val="none" w:sz="0" w:space="0" w:color="auto"/>
                <w:left w:val="none" w:sz="0" w:space="0" w:color="auto"/>
                <w:bottom w:val="none" w:sz="0" w:space="0" w:color="auto"/>
                <w:right w:val="none" w:sz="0" w:space="0" w:color="auto"/>
              </w:divBdr>
            </w:div>
            <w:div w:id="323818498">
              <w:marLeft w:val="0"/>
              <w:marRight w:val="0"/>
              <w:marTop w:val="0"/>
              <w:marBottom w:val="0"/>
              <w:divBdr>
                <w:top w:val="none" w:sz="0" w:space="0" w:color="auto"/>
                <w:left w:val="none" w:sz="0" w:space="0" w:color="auto"/>
                <w:bottom w:val="none" w:sz="0" w:space="0" w:color="auto"/>
                <w:right w:val="none" w:sz="0" w:space="0" w:color="auto"/>
              </w:divBdr>
            </w:div>
            <w:div w:id="552237759">
              <w:marLeft w:val="0"/>
              <w:marRight w:val="0"/>
              <w:marTop w:val="0"/>
              <w:marBottom w:val="0"/>
              <w:divBdr>
                <w:top w:val="none" w:sz="0" w:space="0" w:color="auto"/>
                <w:left w:val="none" w:sz="0" w:space="0" w:color="auto"/>
                <w:bottom w:val="none" w:sz="0" w:space="0" w:color="auto"/>
                <w:right w:val="none" w:sz="0" w:space="0" w:color="auto"/>
              </w:divBdr>
            </w:div>
            <w:div w:id="568461085">
              <w:marLeft w:val="0"/>
              <w:marRight w:val="0"/>
              <w:marTop w:val="0"/>
              <w:marBottom w:val="0"/>
              <w:divBdr>
                <w:top w:val="none" w:sz="0" w:space="0" w:color="auto"/>
                <w:left w:val="none" w:sz="0" w:space="0" w:color="auto"/>
                <w:bottom w:val="none" w:sz="0" w:space="0" w:color="auto"/>
                <w:right w:val="none" w:sz="0" w:space="0" w:color="auto"/>
              </w:divBdr>
            </w:div>
            <w:div w:id="669286265">
              <w:marLeft w:val="0"/>
              <w:marRight w:val="0"/>
              <w:marTop w:val="0"/>
              <w:marBottom w:val="0"/>
              <w:divBdr>
                <w:top w:val="none" w:sz="0" w:space="0" w:color="auto"/>
                <w:left w:val="none" w:sz="0" w:space="0" w:color="auto"/>
                <w:bottom w:val="none" w:sz="0" w:space="0" w:color="auto"/>
                <w:right w:val="none" w:sz="0" w:space="0" w:color="auto"/>
              </w:divBdr>
            </w:div>
            <w:div w:id="1045058791">
              <w:marLeft w:val="0"/>
              <w:marRight w:val="0"/>
              <w:marTop w:val="0"/>
              <w:marBottom w:val="0"/>
              <w:divBdr>
                <w:top w:val="none" w:sz="0" w:space="0" w:color="auto"/>
                <w:left w:val="none" w:sz="0" w:space="0" w:color="auto"/>
                <w:bottom w:val="none" w:sz="0" w:space="0" w:color="auto"/>
                <w:right w:val="none" w:sz="0" w:space="0" w:color="auto"/>
              </w:divBdr>
            </w:div>
            <w:div w:id="1192649718">
              <w:marLeft w:val="0"/>
              <w:marRight w:val="0"/>
              <w:marTop w:val="0"/>
              <w:marBottom w:val="0"/>
              <w:divBdr>
                <w:top w:val="none" w:sz="0" w:space="0" w:color="auto"/>
                <w:left w:val="none" w:sz="0" w:space="0" w:color="auto"/>
                <w:bottom w:val="none" w:sz="0" w:space="0" w:color="auto"/>
                <w:right w:val="none" w:sz="0" w:space="0" w:color="auto"/>
              </w:divBdr>
            </w:div>
            <w:div w:id="1358196756">
              <w:marLeft w:val="0"/>
              <w:marRight w:val="0"/>
              <w:marTop w:val="0"/>
              <w:marBottom w:val="0"/>
              <w:divBdr>
                <w:top w:val="none" w:sz="0" w:space="0" w:color="auto"/>
                <w:left w:val="none" w:sz="0" w:space="0" w:color="auto"/>
                <w:bottom w:val="none" w:sz="0" w:space="0" w:color="auto"/>
                <w:right w:val="none" w:sz="0" w:space="0" w:color="auto"/>
              </w:divBdr>
            </w:div>
            <w:div w:id="1432319286">
              <w:marLeft w:val="0"/>
              <w:marRight w:val="0"/>
              <w:marTop w:val="0"/>
              <w:marBottom w:val="0"/>
              <w:divBdr>
                <w:top w:val="none" w:sz="0" w:space="0" w:color="auto"/>
                <w:left w:val="none" w:sz="0" w:space="0" w:color="auto"/>
                <w:bottom w:val="none" w:sz="0" w:space="0" w:color="auto"/>
                <w:right w:val="none" w:sz="0" w:space="0" w:color="auto"/>
              </w:divBdr>
            </w:div>
            <w:div w:id="1767187272">
              <w:marLeft w:val="0"/>
              <w:marRight w:val="0"/>
              <w:marTop w:val="0"/>
              <w:marBottom w:val="0"/>
              <w:divBdr>
                <w:top w:val="none" w:sz="0" w:space="0" w:color="auto"/>
                <w:left w:val="none" w:sz="0" w:space="0" w:color="auto"/>
                <w:bottom w:val="none" w:sz="0" w:space="0" w:color="auto"/>
                <w:right w:val="none" w:sz="0" w:space="0" w:color="auto"/>
              </w:divBdr>
            </w:div>
            <w:div w:id="1802917304">
              <w:marLeft w:val="0"/>
              <w:marRight w:val="0"/>
              <w:marTop w:val="0"/>
              <w:marBottom w:val="0"/>
              <w:divBdr>
                <w:top w:val="none" w:sz="0" w:space="0" w:color="auto"/>
                <w:left w:val="none" w:sz="0" w:space="0" w:color="auto"/>
                <w:bottom w:val="none" w:sz="0" w:space="0" w:color="auto"/>
                <w:right w:val="none" w:sz="0" w:space="0" w:color="auto"/>
              </w:divBdr>
            </w:div>
            <w:div w:id="2055306049">
              <w:marLeft w:val="0"/>
              <w:marRight w:val="0"/>
              <w:marTop w:val="0"/>
              <w:marBottom w:val="0"/>
              <w:divBdr>
                <w:top w:val="none" w:sz="0" w:space="0" w:color="auto"/>
                <w:left w:val="none" w:sz="0" w:space="0" w:color="auto"/>
                <w:bottom w:val="none" w:sz="0" w:space="0" w:color="auto"/>
                <w:right w:val="none" w:sz="0" w:space="0" w:color="auto"/>
              </w:divBdr>
            </w:div>
            <w:div w:id="2072193094">
              <w:marLeft w:val="0"/>
              <w:marRight w:val="0"/>
              <w:marTop w:val="0"/>
              <w:marBottom w:val="0"/>
              <w:divBdr>
                <w:top w:val="none" w:sz="0" w:space="0" w:color="auto"/>
                <w:left w:val="none" w:sz="0" w:space="0" w:color="auto"/>
                <w:bottom w:val="none" w:sz="0" w:space="0" w:color="auto"/>
                <w:right w:val="none" w:sz="0" w:space="0" w:color="auto"/>
              </w:divBdr>
            </w:div>
            <w:div w:id="2129154926">
              <w:marLeft w:val="0"/>
              <w:marRight w:val="0"/>
              <w:marTop w:val="0"/>
              <w:marBottom w:val="0"/>
              <w:divBdr>
                <w:top w:val="none" w:sz="0" w:space="0" w:color="auto"/>
                <w:left w:val="none" w:sz="0" w:space="0" w:color="auto"/>
                <w:bottom w:val="none" w:sz="0" w:space="0" w:color="auto"/>
                <w:right w:val="none" w:sz="0" w:space="0" w:color="auto"/>
              </w:divBdr>
            </w:div>
          </w:divsChild>
        </w:div>
        <w:div w:id="1079407445">
          <w:marLeft w:val="0"/>
          <w:marRight w:val="0"/>
          <w:marTop w:val="0"/>
          <w:marBottom w:val="0"/>
          <w:divBdr>
            <w:top w:val="none" w:sz="0" w:space="0" w:color="auto"/>
            <w:left w:val="none" w:sz="0" w:space="0" w:color="auto"/>
            <w:bottom w:val="none" w:sz="0" w:space="0" w:color="auto"/>
            <w:right w:val="none" w:sz="0" w:space="0" w:color="auto"/>
          </w:divBdr>
        </w:div>
        <w:div w:id="1104568770">
          <w:marLeft w:val="0"/>
          <w:marRight w:val="0"/>
          <w:marTop w:val="0"/>
          <w:marBottom w:val="0"/>
          <w:divBdr>
            <w:top w:val="none" w:sz="0" w:space="0" w:color="auto"/>
            <w:left w:val="none" w:sz="0" w:space="0" w:color="auto"/>
            <w:bottom w:val="none" w:sz="0" w:space="0" w:color="auto"/>
            <w:right w:val="none" w:sz="0" w:space="0" w:color="auto"/>
          </w:divBdr>
        </w:div>
        <w:div w:id="1119571717">
          <w:marLeft w:val="0"/>
          <w:marRight w:val="0"/>
          <w:marTop w:val="0"/>
          <w:marBottom w:val="0"/>
          <w:divBdr>
            <w:top w:val="none" w:sz="0" w:space="0" w:color="auto"/>
            <w:left w:val="none" w:sz="0" w:space="0" w:color="auto"/>
            <w:bottom w:val="none" w:sz="0" w:space="0" w:color="auto"/>
            <w:right w:val="none" w:sz="0" w:space="0" w:color="auto"/>
          </w:divBdr>
        </w:div>
        <w:div w:id="1128890147">
          <w:marLeft w:val="0"/>
          <w:marRight w:val="0"/>
          <w:marTop w:val="0"/>
          <w:marBottom w:val="0"/>
          <w:divBdr>
            <w:top w:val="none" w:sz="0" w:space="0" w:color="auto"/>
            <w:left w:val="none" w:sz="0" w:space="0" w:color="auto"/>
            <w:bottom w:val="none" w:sz="0" w:space="0" w:color="auto"/>
            <w:right w:val="none" w:sz="0" w:space="0" w:color="auto"/>
          </w:divBdr>
        </w:div>
        <w:div w:id="1133255629">
          <w:marLeft w:val="0"/>
          <w:marRight w:val="0"/>
          <w:marTop w:val="0"/>
          <w:marBottom w:val="0"/>
          <w:divBdr>
            <w:top w:val="none" w:sz="0" w:space="0" w:color="auto"/>
            <w:left w:val="none" w:sz="0" w:space="0" w:color="auto"/>
            <w:bottom w:val="none" w:sz="0" w:space="0" w:color="auto"/>
            <w:right w:val="none" w:sz="0" w:space="0" w:color="auto"/>
          </w:divBdr>
        </w:div>
        <w:div w:id="1204562911">
          <w:marLeft w:val="0"/>
          <w:marRight w:val="0"/>
          <w:marTop w:val="0"/>
          <w:marBottom w:val="0"/>
          <w:divBdr>
            <w:top w:val="none" w:sz="0" w:space="0" w:color="auto"/>
            <w:left w:val="none" w:sz="0" w:space="0" w:color="auto"/>
            <w:bottom w:val="none" w:sz="0" w:space="0" w:color="auto"/>
            <w:right w:val="none" w:sz="0" w:space="0" w:color="auto"/>
          </w:divBdr>
        </w:div>
        <w:div w:id="1221132867">
          <w:marLeft w:val="0"/>
          <w:marRight w:val="0"/>
          <w:marTop w:val="0"/>
          <w:marBottom w:val="0"/>
          <w:divBdr>
            <w:top w:val="none" w:sz="0" w:space="0" w:color="auto"/>
            <w:left w:val="none" w:sz="0" w:space="0" w:color="auto"/>
            <w:bottom w:val="none" w:sz="0" w:space="0" w:color="auto"/>
            <w:right w:val="none" w:sz="0" w:space="0" w:color="auto"/>
          </w:divBdr>
        </w:div>
        <w:div w:id="1251960846">
          <w:marLeft w:val="0"/>
          <w:marRight w:val="0"/>
          <w:marTop w:val="0"/>
          <w:marBottom w:val="0"/>
          <w:divBdr>
            <w:top w:val="none" w:sz="0" w:space="0" w:color="auto"/>
            <w:left w:val="none" w:sz="0" w:space="0" w:color="auto"/>
            <w:bottom w:val="none" w:sz="0" w:space="0" w:color="auto"/>
            <w:right w:val="none" w:sz="0" w:space="0" w:color="auto"/>
          </w:divBdr>
        </w:div>
        <w:div w:id="1310134702">
          <w:marLeft w:val="0"/>
          <w:marRight w:val="0"/>
          <w:marTop w:val="0"/>
          <w:marBottom w:val="0"/>
          <w:divBdr>
            <w:top w:val="none" w:sz="0" w:space="0" w:color="auto"/>
            <w:left w:val="none" w:sz="0" w:space="0" w:color="auto"/>
            <w:bottom w:val="none" w:sz="0" w:space="0" w:color="auto"/>
            <w:right w:val="none" w:sz="0" w:space="0" w:color="auto"/>
          </w:divBdr>
        </w:div>
        <w:div w:id="1317953791">
          <w:marLeft w:val="0"/>
          <w:marRight w:val="0"/>
          <w:marTop w:val="0"/>
          <w:marBottom w:val="0"/>
          <w:divBdr>
            <w:top w:val="none" w:sz="0" w:space="0" w:color="auto"/>
            <w:left w:val="none" w:sz="0" w:space="0" w:color="auto"/>
            <w:bottom w:val="none" w:sz="0" w:space="0" w:color="auto"/>
            <w:right w:val="none" w:sz="0" w:space="0" w:color="auto"/>
          </w:divBdr>
        </w:div>
        <w:div w:id="1334916409">
          <w:marLeft w:val="0"/>
          <w:marRight w:val="0"/>
          <w:marTop w:val="0"/>
          <w:marBottom w:val="0"/>
          <w:divBdr>
            <w:top w:val="none" w:sz="0" w:space="0" w:color="auto"/>
            <w:left w:val="none" w:sz="0" w:space="0" w:color="auto"/>
            <w:bottom w:val="none" w:sz="0" w:space="0" w:color="auto"/>
            <w:right w:val="none" w:sz="0" w:space="0" w:color="auto"/>
          </w:divBdr>
        </w:div>
        <w:div w:id="1371034716">
          <w:marLeft w:val="0"/>
          <w:marRight w:val="0"/>
          <w:marTop w:val="0"/>
          <w:marBottom w:val="0"/>
          <w:divBdr>
            <w:top w:val="none" w:sz="0" w:space="0" w:color="auto"/>
            <w:left w:val="none" w:sz="0" w:space="0" w:color="auto"/>
            <w:bottom w:val="none" w:sz="0" w:space="0" w:color="auto"/>
            <w:right w:val="none" w:sz="0" w:space="0" w:color="auto"/>
          </w:divBdr>
          <w:divsChild>
            <w:div w:id="108135091">
              <w:marLeft w:val="0"/>
              <w:marRight w:val="0"/>
              <w:marTop w:val="0"/>
              <w:marBottom w:val="0"/>
              <w:divBdr>
                <w:top w:val="none" w:sz="0" w:space="0" w:color="auto"/>
                <w:left w:val="none" w:sz="0" w:space="0" w:color="auto"/>
                <w:bottom w:val="none" w:sz="0" w:space="0" w:color="auto"/>
                <w:right w:val="none" w:sz="0" w:space="0" w:color="auto"/>
              </w:divBdr>
            </w:div>
            <w:div w:id="410664442">
              <w:marLeft w:val="0"/>
              <w:marRight w:val="0"/>
              <w:marTop w:val="0"/>
              <w:marBottom w:val="0"/>
              <w:divBdr>
                <w:top w:val="none" w:sz="0" w:space="0" w:color="auto"/>
                <w:left w:val="none" w:sz="0" w:space="0" w:color="auto"/>
                <w:bottom w:val="none" w:sz="0" w:space="0" w:color="auto"/>
                <w:right w:val="none" w:sz="0" w:space="0" w:color="auto"/>
              </w:divBdr>
            </w:div>
            <w:div w:id="482769893">
              <w:marLeft w:val="0"/>
              <w:marRight w:val="0"/>
              <w:marTop w:val="0"/>
              <w:marBottom w:val="0"/>
              <w:divBdr>
                <w:top w:val="none" w:sz="0" w:space="0" w:color="auto"/>
                <w:left w:val="none" w:sz="0" w:space="0" w:color="auto"/>
                <w:bottom w:val="none" w:sz="0" w:space="0" w:color="auto"/>
                <w:right w:val="none" w:sz="0" w:space="0" w:color="auto"/>
              </w:divBdr>
            </w:div>
            <w:div w:id="557401455">
              <w:marLeft w:val="0"/>
              <w:marRight w:val="0"/>
              <w:marTop w:val="0"/>
              <w:marBottom w:val="0"/>
              <w:divBdr>
                <w:top w:val="none" w:sz="0" w:space="0" w:color="auto"/>
                <w:left w:val="none" w:sz="0" w:space="0" w:color="auto"/>
                <w:bottom w:val="none" w:sz="0" w:space="0" w:color="auto"/>
                <w:right w:val="none" w:sz="0" w:space="0" w:color="auto"/>
              </w:divBdr>
            </w:div>
            <w:div w:id="626817567">
              <w:marLeft w:val="0"/>
              <w:marRight w:val="0"/>
              <w:marTop w:val="0"/>
              <w:marBottom w:val="0"/>
              <w:divBdr>
                <w:top w:val="none" w:sz="0" w:space="0" w:color="auto"/>
                <w:left w:val="none" w:sz="0" w:space="0" w:color="auto"/>
                <w:bottom w:val="none" w:sz="0" w:space="0" w:color="auto"/>
                <w:right w:val="none" w:sz="0" w:space="0" w:color="auto"/>
              </w:divBdr>
            </w:div>
            <w:div w:id="651374059">
              <w:marLeft w:val="0"/>
              <w:marRight w:val="0"/>
              <w:marTop w:val="0"/>
              <w:marBottom w:val="0"/>
              <w:divBdr>
                <w:top w:val="none" w:sz="0" w:space="0" w:color="auto"/>
                <w:left w:val="none" w:sz="0" w:space="0" w:color="auto"/>
                <w:bottom w:val="none" w:sz="0" w:space="0" w:color="auto"/>
                <w:right w:val="none" w:sz="0" w:space="0" w:color="auto"/>
              </w:divBdr>
            </w:div>
            <w:div w:id="718437070">
              <w:marLeft w:val="0"/>
              <w:marRight w:val="0"/>
              <w:marTop w:val="0"/>
              <w:marBottom w:val="0"/>
              <w:divBdr>
                <w:top w:val="none" w:sz="0" w:space="0" w:color="auto"/>
                <w:left w:val="none" w:sz="0" w:space="0" w:color="auto"/>
                <w:bottom w:val="none" w:sz="0" w:space="0" w:color="auto"/>
                <w:right w:val="none" w:sz="0" w:space="0" w:color="auto"/>
              </w:divBdr>
            </w:div>
            <w:div w:id="849953091">
              <w:marLeft w:val="0"/>
              <w:marRight w:val="0"/>
              <w:marTop w:val="0"/>
              <w:marBottom w:val="0"/>
              <w:divBdr>
                <w:top w:val="none" w:sz="0" w:space="0" w:color="auto"/>
                <w:left w:val="none" w:sz="0" w:space="0" w:color="auto"/>
                <w:bottom w:val="none" w:sz="0" w:space="0" w:color="auto"/>
                <w:right w:val="none" w:sz="0" w:space="0" w:color="auto"/>
              </w:divBdr>
            </w:div>
            <w:div w:id="868025434">
              <w:marLeft w:val="0"/>
              <w:marRight w:val="0"/>
              <w:marTop w:val="0"/>
              <w:marBottom w:val="0"/>
              <w:divBdr>
                <w:top w:val="none" w:sz="0" w:space="0" w:color="auto"/>
                <w:left w:val="none" w:sz="0" w:space="0" w:color="auto"/>
                <w:bottom w:val="none" w:sz="0" w:space="0" w:color="auto"/>
                <w:right w:val="none" w:sz="0" w:space="0" w:color="auto"/>
              </w:divBdr>
            </w:div>
            <w:div w:id="873813388">
              <w:marLeft w:val="0"/>
              <w:marRight w:val="0"/>
              <w:marTop w:val="0"/>
              <w:marBottom w:val="0"/>
              <w:divBdr>
                <w:top w:val="none" w:sz="0" w:space="0" w:color="auto"/>
                <w:left w:val="none" w:sz="0" w:space="0" w:color="auto"/>
                <w:bottom w:val="none" w:sz="0" w:space="0" w:color="auto"/>
                <w:right w:val="none" w:sz="0" w:space="0" w:color="auto"/>
              </w:divBdr>
            </w:div>
            <w:div w:id="924874429">
              <w:marLeft w:val="0"/>
              <w:marRight w:val="0"/>
              <w:marTop w:val="0"/>
              <w:marBottom w:val="0"/>
              <w:divBdr>
                <w:top w:val="none" w:sz="0" w:space="0" w:color="auto"/>
                <w:left w:val="none" w:sz="0" w:space="0" w:color="auto"/>
                <w:bottom w:val="none" w:sz="0" w:space="0" w:color="auto"/>
                <w:right w:val="none" w:sz="0" w:space="0" w:color="auto"/>
              </w:divBdr>
            </w:div>
            <w:div w:id="1183083455">
              <w:marLeft w:val="0"/>
              <w:marRight w:val="0"/>
              <w:marTop w:val="0"/>
              <w:marBottom w:val="0"/>
              <w:divBdr>
                <w:top w:val="none" w:sz="0" w:space="0" w:color="auto"/>
                <w:left w:val="none" w:sz="0" w:space="0" w:color="auto"/>
                <w:bottom w:val="none" w:sz="0" w:space="0" w:color="auto"/>
                <w:right w:val="none" w:sz="0" w:space="0" w:color="auto"/>
              </w:divBdr>
            </w:div>
            <w:div w:id="1188524721">
              <w:marLeft w:val="0"/>
              <w:marRight w:val="0"/>
              <w:marTop w:val="0"/>
              <w:marBottom w:val="0"/>
              <w:divBdr>
                <w:top w:val="none" w:sz="0" w:space="0" w:color="auto"/>
                <w:left w:val="none" w:sz="0" w:space="0" w:color="auto"/>
                <w:bottom w:val="none" w:sz="0" w:space="0" w:color="auto"/>
                <w:right w:val="none" w:sz="0" w:space="0" w:color="auto"/>
              </w:divBdr>
            </w:div>
            <w:div w:id="1285692648">
              <w:marLeft w:val="0"/>
              <w:marRight w:val="0"/>
              <w:marTop w:val="0"/>
              <w:marBottom w:val="0"/>
              <w:divBdr>
                <w:top w:val="none" w:sz="0" w:space="0" w:color="auto"/>
                <w:left w:val="none" w:sz="0" w:space="0" w:color="auto"/>
                <w:bottom w:val="none" w:sz="0" w:space="0" w:color="auto"/>
                <w:right w:val="none" w:sz="0" w:space="0" w:color="auto"/>
              </w:divBdr>
            </w:div>
            <w:div w:id="1645507628">
              <w:marLeft w:val="0"/>
              <w:marRight w:val="0"/>
              <w:marTop w:val="0"/>
              <w:marBottom w:val="0"/>
              <w:divBdr>
                <w:top w:val="none" w:sz="0" w:space="0" w:color="auto"/>
                <w:left w:val="none" w:sz="0" w:space="0" w:color="auto"/>
                <w:bottom w:val="none" w:sz="0" w:space="0" w:color="auto"/>
                <w:right w:val="none" w:sz="0" w:space="0" w:color="auto"/>
              </w:divBdr>
            </w:div>
            <w:div w:id="1743986822">
              <w:marLeft w:val="0"/>
              <w:marRight w:val="0"/>
              <w:marTop w:val="0"/>
              <w:marBottom w:val="0"/>
              <w:divBdr>
                <w:top w:val="none" w:sz="0" w:space="0" w:color="auto"/>
                <w:left w:val="none" w:sz="0" w:space="0" w:color="auto"/>
                <w:bottom w:val="none" w:sz="0" w:space="0" w:color="auto"/>
                <w:right w:val="none" w:sz="0" w:space="0" w:color="auto"/>
              </w:divBdr>
            </w:div>
            <w:div w:id="1770463772">
              <w:marLeft w:val="0"/>
              <w:marRight w:val="0"/>
              <w:marTop w:val="0"/>
              <w:marBottom w:val="0"/>
              <w:divBdr>
                <w:top w:val="none" w:sz="0" w:space="0" w:color="auto"/>
                <w:left w:val="none" w:sz="0" w:space="0" w:color="auto"/>
                <w:bottom w:val="none" w:sz="0" w:space="0" w:color="auto"/>
                <w:right w:val="none" w:sz="0" w:space="0" w:color="auto"/>
              </w:divBdr>
            </w:div>
            <w:div w:id="1953514021">
              <w:marLeft w:val="0"/>
              <w:marRight w:val="0"/>
              <w:marTop w:val="0"/>
              <w:marBottom w:val="0"/>
              <w:divBdr>
                <w:top w:val="none" w:sz="0" w:space="0" w:color="auto"/>
                <w:left w:val="none" w:sz="0" w:space="0" w:color="auto"/>
                <w:bottom w:val="none" w:sz="0" w:space="0" w:color="auto"/>
                <w:right w:val="none" w:sz="0" w:space="0" w:color="auto"/>
              </w:divBdr>
            </w:div>
            <w:div w:id="1969356907">
              <w:marLeft w:val="0"/>
              <w:marRight w:val="0"/>
              <w:marTop w:val="0"/>
              <w:marBottom w:val="0"/>
              <w:divBdr>
                <w:top w:val="none" w:sz="0" w:space="0" w:color="auto"/>
                <w:left w:val="none" w:sz="0" w:space="0" w:color="auto"/>
                <w:bottom w:val="none" w:sz="0" w:space="0" w:color="auto"/>
                <w:right w:val="none" w:sz="0" w:space="0" w:color="auto"/>
              </w:divBdr>
            </w:div>
            <w:div w:id="2110347585">
              <w:marLeft w:val="0"/>
              <w:marRight w:val="0"/>
              <w:marTop w:val="0"/>
              <w:marBottom w:val="0"/>
              <w:divBdr>
                <w:top w:val="none" w:sz="0" w:space="0" w:color="auto"/>
                <w:left w:val="none" w:sz="0" w:space="0" w:color="auto"/>
                <w:bottom w:val="none" w:sz="0" w:space="0" w:color="auto"/>
                <w:right w:val="none" w:sz="0" w:space="0" w:color="auto"/>
              </w:divBdr>
            </w:div>
          </w:divsChild>
        </w:div>
        <w:div w:id="1386837486">
          <w:marLeft w:val="0"/>
          <w:marRight w:val="0"/>
          <w:marTop w:val="0"/>
          <w:marBottom w:val="0"/>
          <w:divBdr>
            <w:top w:val="none" w:sz="0" w:space="0" w:color="auto"/>
            <w:left w:val="none" w:sz="0" w:space="0" w:color="auto"/>
            <w:bottom w:val="none" w:sz="0" w:space="0" w:color="auto"/>
            <w:right w:val="none" w:sz="0" w:space="0" w:color="auto"/>
          </w:divBdr>
        </w:div>
        <w:div w:id="1394936446">
          <w:marLeft w:val="0"/>
          <w:marRight w:val="0"/>
          <w:marTop w:val="0"/>
          <w:marBottom w:val="0"/>
          <w:divBdr>
            <w:top w:val="none" w:sz="0" w:space="0" w:color="auto"/>
            <w:left w:val="none" w:sz="0" w:space="0" w:color="auto"/>
            <w:bottom w:val="none" w:sz="0" w:space="0" w:color="auto"/>
            <w:right w:val="none" w:sz="0" w:space="0" w:color="auto"/>
          </w:divBdr>
        </w:div>
        <w:div w:id="1397430641">
          <w:marLeft w:val="0"/>
          <w:marRight w:val="0"/>
          <w:marTop w:val="0"/>
          <w:marBottom w:val="0"/>
          <w:divBdr>
            <w:top w:val="none" w:sz="0" w:space="0" w:color="auto"/>
            <w:left w:val="none" w:sz="0" w:space="0" w:color="auto"/>
            <w:bottom w:val="none" w:sz="0" w:space="0" w:color="auto"/>
            <w:right w:val="none" w:sz="0" w:space="0" w:color="auto"/>
          </w:divBdr>
        </w:div>
        <w:div w:id="1438718328">
          <w:marLeft w:val="0"/>
          <w:marRight w:val="0"/>
          <w:marTop w:val="0"/>
          <w:marBottom w:val="0"/>
          <w:divBdr>
            <w:top w:val="none" w:sz="0" w:space="0" w:color="auto"/>
            <w:left w:val="none" w:sz="0" w:space="0" w:color="auto"/>
            <w:bottom w:val="none" w:sz="0" w:space="0" w:color="auto"/>
            <w:right w:val="none" w:sz="0" w:space="0" w:color="auto"/>
          </w:divBdr>
        </w:div>
        <w:div w:id="1447116001">
          <w:marLeft w:val="0"/>
          <w:marRight w:val="0"/>
          <w:marTop w:val="0"/>
          <w:marBottom w:val="0"/>
          <w:divBdr>
            <w:top w:val="none" w:sz="0" w:space="0" w:color="auto"/>
            <w:left w:val="none" w:sz="0" w:space="0" w:color="auto"/>
            <w:bottom w:val="none" w:sz="0" w:space="0" w:color="auto"/>
            <w:right w:val="none" w:sz="0" w:space="0" w:color="auto"/>
          </w:divBdr>
        </w:div>
        <w:div w:id="1452047061">
          <w:marLeft w:val="0"/>
          <w:marRight w:val="0"/>
          <w:marTop w:val="0"/>
          <w:marBottom w:val="0"/>
          <w:divBdr>
            <w:top w:val="none" w:sz="0" w:space="0" w:color="auto"/>
            <w:left w:val="none" w:sz="0" w:space="0" w:color="auto"/>
            <w:bottom w:val="none" w:sz="0" w:space="0" w:color="auto"/>
            <w:right w:val="none" w:sz="0" w:space="0" w:color="auto"/>
          </w:divBdr>
        </w:div>
        <w:div w:id="1461649634">
          <w:marLeft w:val="0"/>
          <w:marRight w:val="0"/>
          <w:marTop w:val="0"/>
          <w:marBottom w:val="0"/>
          <w:divBdr>
            <w:top w:val="none" w:sz="0" w:space="0" w:color="auto"/>
            <w:left w:val="none" w:sz="0" w:space="0" w:color="auto"/>
            <w:bottom w:val="none" w:sz="0" w:space="0" w:color="auto"/>
            <w:right w:val="none" w:sz="0" w:space="0" w:color="auto"/>
          </w:divBdr>
        </w:div>
        <w:div w:id="1464957151">
          <w:marLeft w:val="0"/>
          <w:marRight w:val="0"/>
          <w:marTop w:val="0"/>
          <w:marBottom w:val="0"/>
          <w:divBdr>
            <w:top w:val="none" w:sz="0" w:space="0" w:color="auto"/>
            <w:left w:val="none" w:sz="0" w:space="0" w:color="auto"/>
            <w:bottom w:val="none" w:sz="0" w:space="0" w:color="auto"/>
            <w:right w:val="none" w:sz="0" w:space="0" w:color="auto"/>
          </w:divBdr>
        </w:div>
        <w:div w:id="1481455633">
          <w:marLeft w:val="0"/>
          <w:marRight w:val="0"/>
          <w:marTop w:val="0"/>
          <w:marBottom w:val="0"/>
          <w:divBdr>
            <w:top w:val="none" w:sz="0" w:space="0" w:color="auto"/>
            <w:left w:val="none" w:sz="0" w:space="0" w:color="auto"/>
            <w:bottom w:val="none" w:sz="0" w:space="0" w:color="auto"/>
            <w:right w:val="none" w:sz="0" w:space="0" w:color="auto"/>
          </w:divBdr>
        </w:div>
        <w:div w:id="1489244440">
          <w:marLeft w:val="0"/>
          <w:marRight w:val="0"/>
          <w:marTop w:val="0"/>
          <w:marBottom w:val="0"/>
          <w:divBdr>
            <w:top w:val="none" w:sz="0" w:space="0" w:color="auto"/>
            <w:left w:val="none" w:sz="0" w:space="0" w:color="auto"/>
            <w:bottom w:val="none" w:sz="0" w:space="0" w:color="auto"/>
            <w:right w:val="none" w:sz="0" w:space="0" w:color="auto"/>
          </w:divBdr>
        </w:div>
        <w:div w:id="1492716575">
          <w:marLeft w:val="0"/>
          <w:marRight w:val="0"/>
          <w:marTop w:val="0"/>
          <w:marBottom w:val="0"/>
          <w:divBdr>
            <w:top w:val="none" w:sz="0" w:space="0" w:color="auto"/>
            <w:left w:val="none" w:sz="0" w:space="0" w:color="auto"/>
            <w:bottom w:val="none" w:sz="0" w:space="0" w:color="auto"/>
            <w:right w:val="none" w:sz="0" w:space="0" w:color="auto"/>
          </w:divBdr>
        </w:div>
        <w:div w:id="1496218053">
          <w:marLeft w:val="0"/>
          <w:marRight w:val="0"/>
          <w:marTop w:val="0"/>
          <w:marBottom w:val="0"/>
          <w:divBdr>
            <w:top w:val="none" w:sz="0" w:space="0" w:color="auto"/>
            <w:left w:val="none" w:sz="0" w:space="0" w:color="auto"/>
            <w:bottom w:val="none" w:sz="0" w:space="0" w:color="auto"/>
            <w:right w:val="none" w:sz="0" w:space="0" w:color="auto"/>
          </w:divBdr>
        </w:div>
        <w:div w:id="1507787386">
          <w:marLeft w:val="0"/>
          <w:marRight w:val="0"/>
          <w:marTop w:val="0"/>
          <w:marBottom w:val="0"/>
          <w:divBdr>
            <w:top w:val="none" w:sz="0" w:space="0" w:color="auto"/>
            <w:left w:val="none" w:sz="0" w:space="0" w:color="auto"/>
            <w:bottom w:val="none" w:sz="0" w:space="0" w:color="auto"/>
            <w:right w:val="none" w:sz="0" w:space="0" w:color="auto"/>
          </w:divBdr>
        </w:div>
        <w:div w:id="1514537991">
          <w:marLeft w:val="0"/>
          <w:marRight w:val="0"/>
          <w:marTop w:val="0"/>
          <w:marBottom w:val="0"/>
          <w:divBdr>
            <w:top w:val="none" w:sz="0" w:space="0" w:color="auto"/>
            <w:left w:val="none" w:sz="0" w:space="0" w:color="auto"/>
            <w:bottom w:val="none" w:sz="0" w:space="0" w:color="auto"/>
            <w:right w:val="none" w:sz="0" w:space="0" w:color="auto"/>
          </w:divBdr>
        </w:div>
        <w:div w:id="1531068026">
          <w:marLeft w:val="0"/>
          <w:marRight w:val="0"/>
          <w:marTop w:val="0"/>
          <w:marBottom w:val="0"/>
          <w:divBdr>
            <w:top w:val="none" w:sz="0" w:space="0" w:color="auto"/>
            <w:left w:val="none" w:sz="0" w:space="0" w:color="auto"/>
            <w:bottom w:val="none" w:sz="0" w:space="0" w:color="auto"/>
            <w:right w:val="none" w:sz="0" w:space="0" w:color="auto"/>
          </w:divBdr>
        </w:div>
        <w:div w:id="1544293298">
          <w:marLeft w:val="0"/>
          <w:marRight w:val="0"/>
          <w:marTop w:val="0"/>
          <w:marBottom w:val="0"/>
          <w:divBdr>
            <w:top w:val="none" w:sz="0" w:space="0" w:color="auto"/>
            <w:left w:val="none" w:sz="0" w:space="0" w:color="auto"/>
            <w:bottom w:val="none" w:sz="0" w:space="0" w:color="auto"/>
            <w:right w:val="none" w:sz="0" w:space="0" w:color="auto"/>
          </w:divBdr>
        </w:div>
        <w:div w:id="1544637662">
          <w:marLeft w:val="0"/>
          <w:marRight w:val="0"/>
          <w:marTop w:val="0"/>
          <w:marBottom w:val="0"/>
          <w:divBdr>
            <w:top w:val="none" w:sz="0" w:space="0" w:color="auto"/>
            <w:left w:val="none" w:sz="0" w:space="0" w:color="auto"/>
            <w:bottom w:val="none" w:sz="0" w:space="0" w:color="auto"/>
            <w:right w:val="none" w:sz="0" w:space="0" w:color="auto"/>
          </w:divBdr>
        </w:div>
        <w:div w:id="1563785636">
          <w:marLeft w:val="0"/>
          <w:marRight w:val="0"/>
          <w:marTop w:val="0"/>
          <w:marBottom w:val="0"/>
          <w:divBdr>
            <w:top w:val="none" w:sz="0" w:space="0" w:color="auto"/>
            <w:left w:val="none" w:sz="0" w:space="0" w:color="auto"/>
            <w:bottom w:val="none" w:sz="0" w:space="0" w:color="auto"/>
            <w:right w:val="none" w:sz="0" w:space="0" w:color="auto"/>
          </w:divBdr>
        </w:div>
        <w:div w:id="1570842102">
          <w:marLeft w:val="0"/>
          <w:marRight w:val="0"/>
          <w:marTop w:val="0"/>
          <w:marBottom w:val="0"/>
          <w:divBdr>
            <w:top w:val="none" w:sz="0" w:space="0" w:color="auto"/>
            <w:left w:val="none" w:sz="0" w:space="0" w:color="auto"/>
            <w:bottom w:val="none" w:sz="0" w:space="0" w:color="auto"/>
            <w:right w:val="none" w:sz="0" w:space="0" w:color="auto"/>
          </w:divBdr>
        </w:div>
        <w:div w:id="1586719266">
          <w:marLeft w:val="0"/>
          <w:marRight w:val="0"/>
          <w:marTop w:val="0"/>
          <w:marBottom w:val="0"/>
          <w:divBdr>
            <w:top w:val="none" w:sz="0" w:space="0" w:color="auto"/>
            <w:left w:val="none" w:sz="0" w:space="0" w:color="auto"/>
            <w:bottom w:val="none" w:sz="0" w:space="0" w:color="auto"/>
            <w:right w:val="none" w:sz="0" w:space="0" w:color="auto"/>
          </w:divBdr>
        </w:div>
        <w:div w:id="1590582456">
          <w:marLeft w:val="0"/>
          <w:marRight w:val="0"/>
          <w:marTop w:val="0"/>
          <w:marBottom w:val="0"/>
          <w:divBdr>
            <w:top w:val="none" w:sz="0" w:space="0" w:color="auto"/>
            <w:left w:val="none" w:sz="0" w:space="0" w:color="auto"/>
            <w:bottom w:val="none" w:sz="0" w:space="0" w:color="auto"/>
            <w:right w:val="none" w:sz="0" w:space="0" w:color="auto"/>
          </w:divBdr>
        </w:div>
        <w:div w:id="1592162747">
          <w:marLeft w:val="0"/>
          <w:marRight w:val="0"/>
          <w:marTop w:val="0"/>
          <w:marBottom w:val="0"/>
          <w:divBdr>
            <w:top w:val="none" w:sz="0" w:space="0" w:color="auto"/>
            <w:left w:val="none" w:sz="0" w:space="0" w:color="auto"/>
            <w:bottom w:val="none" w:sz="0" w:space="0" w:color="auto"/>
            <w:right w:val="none" w:sz="0" w:space="0" w:color="auto"/>
          </w:divBdr>
        </w:div>
        <w:div w:id="1615401793">
          <w:marLeft w:val="0"/>
          <w:marRight w:val="0"/>
          <w:marTop w:val="0"/>
          <w:marBottom w:val="0"/>
          <w:divBdr>
            <w:top w:val="none" w:sz="0" w:space="0" w:color="auto"/>
            <w:left w:val="none" w:sz="0" w:space="0" w:color="auto"/>
            <w:bottom w:val="none" w:sz="0" w:space="0" w:color="auto"/>
            <w:right w:val="none" w:sz="0" w:space="0" w:color="auto"/>
          </w:divBdr>
        </w:div>
        <w:div w:id="1634435047">
          <w:marLeft w:val="0"/>
          <w:marRight w:val="0"/>
          <w:marTop w:val="0"/>
          <w:marBottom w:val="0"/>
          <w:divBdr>
            <w:top w:val="none" w:sz="0" w:space="0" w:color="auto"/>
            <w:left w:val="none" w:sz="0" w:space="0" w:color="auto"/>
            <w:bottom w:val="none" w:sz="0" w:space="0" w:color="auto"/>
            <w:right w:val="none" w:sz="0" w:space="0" w:color="auto"/>
          </w:divBdr>
        </w:div>
        <w:div w:id="1642222508">
          <w:marLeft w:val="0"/>
          <w:marRight w:val="0"/>
          <w:marTop w:val="0"/>
          <w:marBottom w:val="0"/>
          <w:divBdr>
            <w:top w:val="none" w:sz="0" w:space="0" w:color="auto"/>
            <w:left w:val="none" w:sz="0" w:space="0" w:color="auto"/>
            <w:bottom w:val="none" w:sz="0" w:space="0" w:color="auto"/>
            <w:right w:val="none" w:sz="0" w:space="0" w:color="auto"/>
          </w:divBdr>
        </w:div>
        <w:div w:id="1642736562">
          <w:marLeft w:val="0"/>
          <w:marRight w:val="0"/>
          <w:marTop w:val="0"/>
          <w:marBottom w:val="0"/>
          <w:divBdr>
            <w:top w:val="none" w:sz="0" w:space="0" w:color="auto"/>
            <w:left w:val="none" w:sz="0" w:space="0" w:color="auto"/>
            <w:bottom w:val="none" w:sz="0" w:space="0" w:color="auto"/>
            <w:right w:val="none" w:sz="0" w:space="0" w:color="auto"/>
          </w:divBdr>
        </w:div>
        <w:div w:id="1662074532">
          <w:marLeft w:val="0"/>
          <w:marRight w:val="0"/>
          <w:marTop w:val="0"/>
          <w:marBottom w:val="0"/>
          <w:divBdr>
            <w:top w:val="none" w:sz="0" w:space="0" w:color="auto"/>
            <w:left w:val="none" w:sz="0" w:space="0" w:color="auto"/>
            <w:bottom w:val="none" w:sz="0" w:space="0" w:color="auto"/>
            <w:right w:val="none" w:sz="0" w:space="0" w:color="auto"/>
          </w:divBdr>
        </w:div>
        <w:div w:id="1699773096">
          <w:marLeft w:val="0"/>
          <w:marRight w:val="0"/>
          <w:marTop w:val="0"/>
          <w:marBottom w:val="0"/>
          <w:divBdr>
            <w:top w:val="none" w:sz="0" w:space="0" w:color="auto"/>
            <w:left w:val="none" w:sz="0" w:space="0" w:color="auto"/>
            <w:bottom w:val="none" w:sz="0" w:space="0" w:color="auto"/>
            <w:right w:val="none" w:sz="0" w:space="0" w:color="auto"/>
          </w:divBdr>
        </w:div>
        <w:div w:id="1700467356">
          <w:marLeft w:val="0"/>
          <w:marRight w:val="0"/>
          <w:marTop w:val="0"/>
          <w:marBottom w:val="0"/>
          <w:divBdr>
            <w:top w:val="none" w:sz="0" w:space="0" w:color="auto"/>
            <w:left w:val="none" w:sz="0" w:space="0" w:color="auto"/>
            <w:bottom w:val="none" w:sz="0" w:space="0" w:color="auto"/>
            <w:right w:val="none" w:sz="0" w:space="0" w:color="auto"/>
          </w:divBdr>
        </w:div>
        <w:div w:id="1704209316">
          <w:marLeft w:val="0"/>
          <w:marRight w:val="0"/>
          <w:marTop w:val="0"/>
          <w:marBottom w:val="0"/>
          <w:divBdr>
            <w:top w:val="none" w:sz="0" w:space="0" w:color="auto"/>
            <w:left w:val="none" w:sz="0" w:space="0" w:color="auto"/>
            <w:bottom w:val="none" w:sz="0" w:space="0" w:color="auto"/>
            <w:right w:val="none" w:sz="0" w:space="0" w:color="auto"/>
          </w:divBdr>
        </w:div>
        <w:div w:id="1705137052">
          <w:marLeft w:val="0"/>
          <w:marRight w:val="0"/>
          <w:marTop w:val="0"/>
          <w:marBottom w:val="0"/>
          <w:divBdr>
            <w:top w:val="none" w:sz="0" w:space="0" w:color="auto"/>
            <w:left w:val="none" w:sz="0" w:space="0" w:color="auto"/>
            <w:bottom w:val="none" w:sz="0" w:space="0" w:color="auto"/>
            <w:right w:val="none" w:sz="0" w:space="0" w:color="auto"/>
          </w:divBdr>
        </w:div>
        <w:div w:id="1729264571">
          <w:marLeft w:val="0"/>
          <w:marRight w:val="0"/>
          <w:marTop w:val="0"/>
          <w:marBottom w:val="0"/>
          <w:divBdr>
            <w:top w:val="none" w:sz="0" w:space="0" w:color="auto"/>
            <w:left w:val="none" w:sz="0" w:space="0" w:color="auto"/>
            <w:bottom w:val="none" w:sz="0" w:space="0" w:color="auto"/>
            <w:right w:val="none" w:sz="0" w:space="0" w:color="auto"/>
          </w:divBdr>
        </w:div>
        <w:div w:id="1737119287">
          <w:marLeft w:val="0"/>
          <w:marRight w:val="0"/>
          <w:marTop w:val="0"/>
          <w:marBottom w:val="0"/>
          <w:divBdr>
            <w:top w:val="none" w:sz="0" w:space="0" w:color="auto"/>
            <w:left w:val="none" w:sz="0" w:space="0" w:color="auto"/>
            <w:bottom w:val="none" w:sz="0" w:space="0" w:color="auto"/>
            <w:right w:val="none" w:sz="0" w:space="0" w:color="auto"/>
          </w:divBdr>
        </w:div>
        <w:div w:id="1742866521">
          <w:marLeft w:val="0"/>
          <w:marRight w:val="0"/>
          <w:marTop w:val="0"/>
          <w:marBottom w:val="0"/>
          <w:divBdr>
            <w:top w:val="none" w:sz="0" w:space="0" w:color="auto"/>
            <w:left w:val="none" w:sz="0" w:space="0" w:color="auto"/>
            <w:bottom w:val="none" w:sz="0" w:space="0" w:color="auto"/>
            <w:right w:val="none" w:sz="0" w:space="0" w:color="auto"/>
          </w:divBdr>
        </w:div>
        <w:div w:id="1777167854">
          <w:marLeft w:val="0"/>
          <w:marRight w:val="0"/>
          <w:marTop w:val="0"/>
          <w:marBottom w:val="0"/>
          <w:divBdr>
            <w:top w:val="none" w:sz="0" w:space="0" w:color="auto"/>
            <w:left w:val="none" w:sz="0" w:space="0" w:color="auto"/>
            <w:bottom w:val="none" w:sz="0" w:space="0" w:color="auto"/>
            <w:right w:val="none" w:sz="0" w:space="0" w:color="auto"/>
          </w:divBdr>
        </w:div>
        <w:div w:id="1780416792">
          <w:marLeft w:val="0"/>
          <w:marRight w:val="0"/>
          <w:marTop w:val="0"/>
          <w:marBottom w:val="0"/>
          <w:divBdr>
            <w:top w:val="none" w:sz="0" w:space="0" w:color="auto"/>
            <w:left w:val="none" w:sz="0" w:space="0" w:color="auto"/>
            <w:bottom w:val="none" w:sz="0" w:space="0" w:color="auto"/>
            <w:right w:val="none" w:sz="0" w:space="0" w:color="auto"/>
          </w:divBdr>
        </w:div>
        <w:div w:id="1834025052">
          <w:marLeft w:val="0"/>
          <w:marRight w:val="0"/>
          <w:marTop w:val="0"/>
          <w:marBottom w:val="0"/>
          <w:divBdr>
            <w:top w:val="none" w:sz="0" w:space="0" w:color="auto"/>
            <w:left w:val="none" w:sz="0" w:space="0" w:color="auto"/>
            <w:bottom w:val="none" w:sz="0" w:space="0" w:color="auto"/>
            <w:right w:val="none" w:sz="0" w:space="0" w:color="auto"/>
          </w:divBdr>
        </w:div>
        <w:div w:id="1837766189">
          <w:marLeft w:val="0"/>
          <w:marRight w:val="0"/>
          <w:marTop w:val="0"/>
          <w:marBottom w:val="0"/>
          <w:divBdr>
            <w:top w:val="none" w:sz="0" w:space="0" w:color="auto"/>
            <w:left w:val="none" w:sz="0" w:space="0" w:color="auto"/>
            <w:bottom w:val="none" w:sz="0" w:space="0" w:color="auto"/>
            <w:right w:val="none" w:sz="0" w:space="0" w:color="auto"/>
          </w:divBdr>
        </w:div>
        <w:div w:id="1838417595">
          <w:marLeft w:val="0"/>
          <w:marRight w:val="0"/>
          <w:marTop w:val="0"/>
          <w:marBottom w:val="0"/>
          <w:divBdr>
            <w:top w:val="none" w:sz="0" w:space="0" w:color="auto"/>
            <w:left w:val="none" w:sz="0" w:space="0" w:color="auto"/>
            <w:bottom w:val="none" w:sz="0" w:space="0" w:color="auto"/>
            <w:right w:val="none" w:sz="0" w:space="0" w:color="auto"/>
          </w:divBdr>
        </w:div>
        <w:div w:id="1884755322">
          <w:marLeft w:val="0"/>
          <w:marRight w:val="0"/>
          <w:marTop w:val="0"/>
          <w:marBottom w:val="0"/>
          <w:divBdr>
            <w:top w:val="none" w:sz="0" w:space="0" w:color="auto"/>
            <w:left w:val="none" w:sz="0" w:space="0" w:color="auto"/>
            <w:bottom w:val="none" w:sz="0" w:space="0" w:color="auto"/>
            <w:right w:val="none" w:sz="0" w:space="0" w:color="auto"/>
          </w:divBdr>
        </w:div>
        <w:div w:id="1894807295">
          <w:marLeft w:val="0"/>
          <w:marRight w:val="0"/>
          <w:marTop w:val="0"/>
          <w:marBottom w:val="0"/>
          <w:divBdr>
            <w:top w:val="none" w:sz="0" w:space="0" w:color="auto"/>
            <w:left w:val="none" w:sz="0" w:space="0" w:color="auto"/>
            <w:bottom w:val="none" w:sz="0" w:space="0" w:color="auto"/>
            <w:right w:val="none" w:sz="0" w:space="0" w:color="auto"/>
          </w:divBdr>
        </w:div>
        <w:div w:id="1901743391">
          <w:marLeft w:val="0"/>
          <w:marRight w:val="0"/>
          <w:marTop w:val="0"/>
          <w:marBottom w:val="0"/>
          <w:divBdr>
            <w:top w:val="none" w:sz="0" w:space="0" w:color="auto"/>
            <w:left w:val="none" w:sz="0" w:space="0" w:color="auto"/>
            <w:bottom w:val="none" w:sz="0" w:space="0" w:color="auto"/>
            <w:right w:val="none" w:sz="0" w:space="0" w:color="auto"/>
          </w:divBdr>
        </w:div>
        <w:div w:id="1958641084">
          <w:marLeft w:val="0"/>
          <w:marRight w:val="0"/>
          <w:marTop w:val="0"/>
          <w:marBottom w:val="0"/>
          <w:divBdr>
            <w:top w:val="none" w:sz="0" w:space="0" w:color="auto"/>
            <w:left w:val="none" w:sz="0" w:space="0" w:color="auto"/>
            <w:bottom w:val="none" w:sz="0" w:space="0" w:color="auto"/>
            <w:right w:val="none" w:sz="0" w:space="0" w:color="auto"/>
          </w:divBdr>
        </w:div>
        <w:div w:id="1963074198">
          <w:marLeft w:val="0"/>
          <w:marRight w:val="0"/>
          <w:marTop w:val="0"/>
          <w:marBottom w:val="0"/>
          <w:divBdr>
            <w:top w:val="none" w:sz="0" w:space="0" w:color="auto"/>
            <w:left w:val="none" w:sz="0" w:space="0" w:color="auto"/>
            <w:bottom w:val="none" w:sz="0" w:space="0" w:color="auto"/>
            <w:right w:val="none" w:sz="0" w:space="0" w:color="auto"/>
          </w:divBdr>
        </w:div>
        <w:div w:id="1966305442">
          <w:marLeft w:val="0"/>
          <w:marRight w:val="0"/>
          <w:marTop w:val="0"/>
          <w:marBottom w:val="0"/>
          <w:divBdr>
            <w:top w:val="none" w:sz="0" w:space="0" w:color="auto"/>
            <w:left w:val="none" w:sz="0" w:space="0" w:color="auto"/>
            <w:bottom w:val="none" w:sz="0" w:space="0" w:color="auto"/>
            <w:right w:val="none" w:sz="0" w:space="0" w:color="auto"/>
          </w:divBdr>
        </w:div>
        <w:div w:id="1975940093">
          <w:marLeft w:val="0"/>
          <w:marRight w:val="0"/>
          <w:marTop w:val="0"/>
          <w:marBottom w:val="0"/>
          <w:divBdr>
            <w:top w:val="none" w:sz="0" w:space="0" w:color="auto"/>
            <w:left w:val="none" w:sz="0" w:space="0" w:color="auto"/>
            <w:bottom w:val="none" w:sz="0" w:space="0" w:color="auto"/>
            <w:right w:val="none" w:sz="0" w:space="0" w:color="auto"/>
          </w:divBdr>
        </w:div>
        <w:div w:id="1992252835">
          <w:marLeft w:val="0"/>
          <w:marRight w:val="0"/>
          <w:marTop w:val="0"/>
          <w:marBottom w:val="0"/>
          <w:divBdr>
            <w:top w:val="none" w:sz="0" w:space="0" w:color="auto"/>
            <w:left w:val="none" w:sz="0" w:space="0" w:color="auto"/>
            <w:bottom w:val="none" w:sz="0" w:space="0" w:color="auto"/>
            <w:right w:val="none" w:sz="0" w:space="0" w:color="auto"/>
          </w:divBdr>
        </w:div>
        <w:div w:id="2001960335">
          <w:marLeft w:val="0"/>
          <w:marRight w:val="0"/>
          <w:marTop w:val="0"/>
          <w:marBottom w:val="0"/>
          <w:divBdr>
            <w:top w:val="none" w:sz="0" w:space="0" w:color="auto"/>
            <w:left w:val="none" w:sz="0" w:space="0" w:color="auto"/>
            <w:bottom w:val="none" w:sz="0" w:space="0" w:color="auto"/>
            <w:right w:val="none" w:sz="0" w:space="0" w:color="auto"/>
          </w:divBdr>
        </w:div>
        <w:div w:id="2010017520">
          <w:marLeft w:val="0"/>
          <w:marRight w:val="0"/>
          <w:marTop w:val="0"/>
          <w:marBottom w:val="0"/>
          <w:divBdr>
            <w:top w:val="none" w:sz="0" w:space="0" w:color="auto"/>
            <w:left w:val="none" w:sz="0" w:space="0" w:color="auto"/>
            <w:bottom w:val="none" w:sz="0" w:space="0" w:color="auto"/>
            <w:right w:val="none" w:sz="0" w:space="0" w:color="auto"/>
          </w:divBdr>
        </w:div>
        <w:div w:id="2020152808">
          <w:marLeft w:val="0"/>
          <w:marRight w:val="0"/>
          <w:marTop w:val="0"/>
          <w:marBottom w:val="0"/>
          <w:divBdr>
            <w:top w:val="none" w:sz="0" w:space="0" w:color="auto"/>
            <w:left w:val="none" w:sz="0" w:space="0" w:color="auto"/>
            <w:bottom w:val="none" w:sz="0" w:space="0" w:color="auto"/>
            <w:right w:val="none" w:sz="0" w:space="0" w:color="auto"/>
          </w:divBdr>
        </w:div>
        <w:div w:id="2045251191">
          <w:marLeft w:val="0"/>
          <w:marRight w:val="0"/>
          <w:marTop w:val="0"/>
          <w:marBottom w:val="0"/>
          <w:divBdr>
            <w:top w:val="none" w:sz="0" w:space="0" w:color="auto"/>
            <w:left w:val="none" w:sz="0" w:space="0" w:color="auto"/>
            <w:bottom w:val="none" w:sz="0" w:space="0" w:color="auto"/>
            <w:right w:val="none" w:sz="0" w:space="0" w:color="auto"/>
          </w:divBdr>
        </w:div>
        <w:div w:id="2088382347">
          <w:marLeft w:val="0"/>
          <w:marRight w:val="0"/>
          <w:marTop w:val="0"/>
          <w:marBottom w:val="0"/>
          <w:divBdr>
            <w:top w:val="none" w:sz="0" w:space="0" w:color="auto"/>
            <w:left w:val="none" w:sz="0" w:space="0" w:color="auto"/>
            <w:bottom w:val="none" w:sz="0" w:space="0" w:color="auto"/>
            <w:right w:val="none" w:sz="0" w:space="0" w:color="auto"/>
          </w:divBdr>
        </w:div>
        <w:div w:id="2098820163">
          <w:marLeft w:val="0"/>
          <w:marRight w:val="0"/>
          <w:marTop w:val="0"/>
          <w:marBottom w:val="0"/>
          <w:divBdr>
            <w:top w:val="none" w:sz="0" w:space="0" w:color="auto"/>
            <w:left w:val="none" w:sz="0" w:space="0" w:color="auto"/>
            <w:bottom w:val="none" w:sz="0" w:space="0" w:color="auto"/>
            <w:right w:val="none" w:sz="0" w:space="0" w:color="auto"/>
          </w:divBdr>
        </w:div>
        <w:div w:id="2139882753">
          <w:marLeft w:val="0"/>
          <w:marRight w:val="0"/>
          <w:marTop w:val="0"/>
          <w:marBottom w:val="0"/>
          <w:divBdr>
            <w:top w:val="none" w:sz="0" w:space="0" w:color="auto"/>
            <w:left w:val="none" w:sz="0" w:space="0" w:color="auto"/>
            <w:bottom w:val="none" w:sz="0" w:space="0" w:color="auto"/>
            <w:right w:val="none" w:sz="0" w:space="0" w:color="auto"/>
          </w:divBdr>
        </w:div>
        <w:div w:id="2144617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doi.org/10.1007/s11135-018-0818-2" TargetMode="External"/><Relationship Id="rId39" Type="http://schemas.openxmlformats.org/officeDocument/2006/relationships/hyperlink" Target="https://doi.org/10.1177/0038038508101169" TargetMode="External"/><Relationship Id="rId21" Type="http://schemas.openxmlformats.org/officeDocument/2006/relationships/image" Target="media/image11.png"/><Relationship Id="rId34" Type="http://schemas.openxmlformats.org/officeDocument/2006/relationships/hyperlink" Target="https://doi.org/10.1007/s10734-017-0222-1" TargetMode="External"/><Relationship Id="rId42" Type="http://schemas.openxmlformats.org/officeDocument/2006/relationships/hyperlink" Target="https://doi.org/10.1007/978-981-10-0315-8" TargetMode="External"/><Relationship Id="rId47" Type="http://schemas.openxmlformats.org/officeDocument/2006/relationships/hyperlink" Target="https://doi.org/10.1007/s13384-024-00717-0" TargetMode="External"/><Relationship Id="rId50" Type="http://schemas.openxmlformats.org/officeDocument/2006/relationships/hyperlink" Target="https://doi.org/10.1007/978-3-031-34451-0" TargetMode="External"/><Relationship Id="rId55" Type="http://schemas.openxmlformats.org/officeDocument/2006/relationships/hyperlink" Target="https://doi.org/10.1080/00131911.2020.1740172" TargetMode="External"/><Relationship Id="rId63"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1080/026715201100374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ses.edu.au" TargetMode="External"/><Relationship Id="rId24" Type="http://schemas.openxmlformats.org/officeDocument/2006/relationships/hyperlink" Target="https://doi.org/10.1007/s11133-005-8366-1" TargetMode="External"/><Relationship Id="rId32" Type="http://schemas.openxmlformats.org/officeDocument/2006/relationships/hyperlink" Target="https://doi.org/10.1177/009155210503300102" TargetMode="External"/><Relationship Id="rId37" Type="http://schemas.openxmlformats.org/officeDocument/2006/relationships/hyperlink" Target="https://doi.org/10.1080/14616696.2016.1141306" TargetMode="External"/><Relationship Id="rId40" Type="http://schemas.openxmlformats.org/officeDocument/2006/relationships/hyperlink" Target="https://doi.org/10.2307/591365" TargetMode="External"/><Relationship Id="rId45" Type="http://schemas.openxmlformats.org/officeDocument/2006/relationships/hyperlink" Target="https://doi.org/10.1080/07294360.2017.1300138" TargetMode="External"/><Relationship Id="rId53" Type="http://schemas.openxmlformats.org/officeDocument/2006/relationships/hyperlink" Target="https://doi.org/10.1080/01425692.2019.1668746" TargetMode="External"/><Relationship Id="rId58" Type="http://schemas.openxmlformats.org/officeDocument/2006/relationships/hyperlink" Target="https://doi.org/10.1080/00131911.2023.2176468"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oi.org/10.1080/17508481003731042" TargetMode="External"/><Relationship Id="rId36" Type="http://schemas.openxmlformats.org/officeDocument/2006/relationships/hyperlink" Target="https://doi.org/10.2307/3090253" TargetMode="External"/><Relationship Id="rId49" Type="http://schemas.openxmlformats.org/officeDocument/2006/relationships/hyperlink" Target="https://doi.org/10.1080/01425690903101098" TargetMode="External"/><Relationship Id="rId57" Type="http://schemas.openxmlformats.org/officeDocument/2006/relationships/hyperlink" Target="https://doi.org/10.1080/09620214.2013.815441" TargetMode="External"/><Relationship Id="rId61" Type="http://schemas.openxmlformats.org/officeDocument/2006/relationships/hyperlink" Target="https://doi.org/10.1177/2332858418782195" TargetMode="External"/><Relationship Id="rId10" Type="http://schemas.openxmlformats.org/officeDocument/2006/relationships/hyperlink" Target="mailto:acses@curtin.edu.au" TargetMode="External"/><Relationship Id="rId19" Type="http://schemas.openxmlformats.org/officeDocument/2006/relationships/image" Target="media/image9.png"/><Relationship Id="rId31" Type="http://schemas.openxmlformats.org/officeDocument/2006/relationships/hyperlink" Target="https://doi.org/10.1080/14616696.2017.1329934" TargetMode="External"/><Relationship Id="rId44" Type="http://schemas.openxmlformats.org/officeDocument/2006/relationships/hyperlink" Target="https://doi.org/10.5204/intjfyhe.v2i2.89" TargetMode="External"/><Relationship Id="rId52" Type="http://schemas.openxmlformats.org/officeDocument/2006/relationships/hyperlink" Target="https://doi.org/10.1007/s10734-015-9938-y" TargetMode="External"/><Relationship Id="rId60" Type="http://schemas.openxmlformats.org/officeDocument/2006/relationships/hyperlink" Target="https://doi.org/10.1037/a0027143" TargetMode="External"/><Relationship Id="rId65"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doi.org/10.1016/j.alcr.2020.100338" TargetMode="External"/><Relationship Id="rId30" Type="http://schemas.openxmlformats.org/officeDocument/2006/relationships/hyperlink" Target="https://doi.org/10.1177/104346397009003002" TargetMode="External"/><Relationship Id="rId35" Type="http://schemas.openxmlformats.org/officeDocument/2006/relationships/hyperlink" Target="https://doi.org/10.1080/03075079.2015.1020777" TargetMode="External"/><Relationship Id="rId43" Type="http://schemas.openxmlformats.org/officeDocument/2006/relationships/hyperlink" Target="https://doi.org/10.1016/j.ssresearch.2006.11.003" TargetMode="External"/><Relationship Id="rId48" Type="http://schemas.openxmlformats.org/officeDocument/2006/relationships/hyperlink" Target="https://www.suttontrust.com/wp-content/uploads/2019/12/AccesstoAdvantage-2018.pdf" TargetMode="External"/><Relationship Id="rId56" Type="http://schemas.openxmlformats.org/officeDocument/2006/relationships/hyperlink" Target="https://doi.org/10.1177/0038038509345700" TargetMode="External"/><Relationship Id="rId64" Type="http://schemas.openxmlformats.org/officeDocument/2006/relationships/image" Target="media/image16.png"/><Relationship Id="rId8" Type="http://schemas.openxmlformats.org/officeDocument/2006/relationships/image" Target="media/image1.png"/><Relationship Id="rId51" Type="http://schemas.openxmlformats.org/officeDocument/2006/relationships/hyperlink" Target="https://doi.org/10.5204/intjfyhe.v5i1.186"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doi.org/10.1016/j.rssm.2024.100939" TargetMode="External"/><Relationship Id="rId33" Type="http://schemas.openxmlformats.org/officeDocument/2006/relationships/hyperlink" Target="https://doi.org/10.1007/s10734-007-9065-5" TargetMode="External"/><Relationship Id="rId38" Type="http://schemas.openxmlformats.org/officeDocument/2006/relationships/hyperlink" Target="https://doi.org/10.1016/j.rssm.2016.01.003" TargetMode="External"/><Relationship Id="rId46" Type="http://schemas.openxmlformats.org/officeDocument/2006/relationships/hyperlink" Target="https://doi.org/10.1080/09540253.2024.2308037" TargetMode="External"/><Relationship Id="rId59" Type="http://schemas.openxmlformats.org/officeDocument/2006/relationships/hyperlink" Target="https://doi.org/10.1177/0950017020922336" TargetMode="External"/><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doi.org/10.1111/j.1468-4446.2005.00046.x" TargetMode="External"/><Relationship Id="rId54" Type="http://schemas.openxmlformats.org/officeDocument/2006/relationships/hyperlink" Target="https://doi.org/10.1080/07294360.2020.1773766" TargetMode="External"/><Relationship Id="rId62" Type="http://schemas.openxmlformats.org/officeDocument/2006/relationships/image" Target="media/image14.png"/></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census/guide-census-data/census-dictionary/2021/variables-topic/population/sex-sexp" TargetMode="External"/><Relationship Id="rId1" Type="http://schemas.openxmlformats.org/officeDocument/2006/relationships/hyperlink" Target="https://www.abs.gov.au/census/guide-census-data/census-dictionary/2021/variables-topic/disability-and-carers/core-activity-need-assistance-assnp" TargetMode="External"/></Relationships>
</file>

<file path=word/theme/theme1.xml><?xml version="1.0" encoding="utf-8"?>
<a:theme xmlns:a="http://schemas.openxmlformats.org/drawingml/2006/main" name="ACSES brand colours and font">
  <a:themeElements>
    <a:clrScheme name="ACSES">
      <a:dk1>
        <a:srgbClr val="351C26"/>
      </a:dk1>
      <a:lt1>
        <a:srgbClr val="EDE8E0"/>
      </a:lt1>
      <a:dk2>
        <a:srgbClr val="351C26"/>
      </a:dk2>
      <a:lt2>
        <a:srgbClr val="EDE8E0"/>
      </a:lt2>
      <a:accent1>
        <a:srgbClr val="78DED9"/>
      </a:accent1>
      <a:accent2>
        <a:srgbClr val="6B3B57"/>
      </a:accent2>
      <a:accent3>
        <a:srgbClr val="FCAB63"/>
      </a:accent3>
      <a:accent4>
        <a:srgbClr val="D6D4D1"/>
      </a:accent4>
      <a:accent5>
        <a:srgbClr val="FCAB63"/>
      </a:accent5>
      <a:accent6>
        <a:srgbClr val="A8E3E0"/>
      </a:accent6>
      <a:hlink>
        <a:srgbClr val="73D1CC"/>
      </a:hlink>
      <a:folHlink>
        <a:srgbClr val="FCBF86"/>
      </a:folHlink>
    </a:clrScheme>
    <a:fontScheme name="ACSES Inter">
      <a:majorFont>
        <a:latin typeface="Inter Medium"/>
        <a:ea typeface=""/>
        <a:cs typeface=""/>
      </a:majorFont>
      <a:minorFont>
        <a:latin typeface="Inter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ACSES brand colours and font" id="{82D6DADB-4845-4A67-A33F-C81034E00A4B}" vid="{4D836865-521A-4B06-9379-4ACBF43542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FABCB-6D03-4106-A0B1-5A146B12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75</Pages>
  <Words>21963</Words>
  <Characters>138520</Characters>
  <Application>Microsoft Office Word</Application>
  <DocSecurity>0</DocSecurity>
  <Lines>5540</Lines>
  <Paragraphs>4457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156026</CharactersWithSpaces>
  <SharedDoc>false</SharedDoc>
  <HLinks>
    <vt:vector size="528" baseType="variant">
      <vt:variant>
        <vt:i4>1048656</vt:i4>
      </vt:variant>
      <vt:variant>
        <vt:i4>615</vt:i4>
      </vt:variant>
      <vt:variant>
        <vt:i4>0</vt:i4>
      </vt:variant>
      <vt:variant>
        <vt:i4>5</vt:i4>
      </vt:variant>
      <vt:variant>
        <vt:lpwstr>https://doi.org/10.1177/2332858418782195</vt:lpwstr>
      </vt:variant>
      <vt:variant>
        <vt:lpwstr/>
      </vt:variant>
      <vt:variant>
        <vt:i4>1048591</vt:i4>
      </vt:variant>
      <vt:variant>
        <vt:i4>612</vt:i4>
      </vt:variant>
      <vt:variant>
        <vt:i4>0</vt:i4>
      </vt:variant>
      <vt:variant>
        <vt:i4>5</vt:i4>
      </vt:variant>
      <vt:variant>
        <vt:lpwstr>https://doi.org/10.1037/a0027143</vt:lpwstr>
      </vt:variant>
      <vt:variant>
        <vt:lpwstr/>
      </vt:variant>
      <vt:variant>
        <vt:i4>1769556</vt:i4>
      </vt:variant>
      <vt:variant>
        <vt:i4>609</vt:i4>
      </vt:variant>
      <vt:variant>
        <vt:i4>0</vt:i4>
      </vt:variant>
      <vt:variant>
        <vt:i4>5</vt:i4>
      </vt:variant>
      <vt:variant>
        <vt:lpwstr>https://doi.org/10.1177/0950017020922336</vt:lpwstr>
      </vt:variant>
      <vt:variant>
        <vt:lpwstr/>
      </vt:variant>
      <vt:variant>
        <vt:i4>983111</vt:i4>
      </vt:variant>
      <vt:variant>
        <vt:i4>606</vt:i4>
      </vt:variant>
      <vt:variant>
        <vt:i4>0</vt:i4>
      </vt:variant>
      <vt:variant>
        <vt:i4>5</vt:i4>
      </vt:variant>
      <vt:variant>
        <vt:lpwstr>https://doi.org/10.1080/00131911.2023.2176468</vt:lpwstr>
      </vt:variant>
      <vt:variant>
        <vt:lpwstr/>
      </vt:variant>
      <vt:variant>
        <vt:i4>983113</vt:i4>
      </vt:variant>
      <vt:variant>
        <vt:i4>603</vt:i4>
      </vt:variant>
      <vt:variant>
        <vt:i4>0</vt:i4>
      </vt:variant>
      <vt:variant>
        <vt:i4>5</vt:i4>
      </vt:variant>
      <vt:variant>
        <vt:lpwstr>https://doi.org/10.1080/09620214.2013.815441</vt:lpwstr>
      </vt:variant>
      <vt:variant>
        <vt:lpwstr/>
      </vt:variant>
      <vt:variant>
        <vt:i4>1048657</vt:i4>
      </vt:variant>
      <vt:variant>
        <vt:i4>600</vt:i4>
      </vt:variant>
      <vt:variant>
        <vt:i4>0</vt:i4>
      </vt:variant>
      <vt:variant>
        <vt:i4>5</vt:i4>
      </vt:variant>
      <vt:variant>
        <vt:lpwstr>https://doi.org/10.1177/0038038509345700</vt:lpwstr>
      </vt:variant>
      <vt:variant>
        <vt:lpwstr/>
      </vt:variant>
      <vt:variant>
        <vt:i4>917569</vt:i4>
      </vt:variant>
      <vt:variant>
        <vt:i4>597</vt:i4>
      </vt:variant>
      <vt:variant>
        <vt:i4>0</vt:i4>
      </vt:variant>
      <vt:variant>
        <vt:i4>5</vt:i4>
      </vt:variant>
      <vt:variant>
        <vt:lpwstr>https://doi.org/10.1080/00131911.2020.1740172</vt:lpwstr>
      </vt:variant>
      <vt:variant>
        <vt:lpwstr/>
      </vt:variant>
      <vt:variant>
        <vt:i4>655429</vt:i4>
      </vt:variant>
      <vt:variant>
        <vt:i4>594</vt:i4>
      </vt:variant>
      <vt:variant>
        <vt:i4>0</vt:i4>
      </vt:variant>
      <vt:variant>
        <vt:i4>5</vt:i4>
      </vt:variant>
      <vt:variant>
        <vt:lpwstr>https://doi.org/10.1080/07294360.2020.1773766</vt:lpwstr>
      </vt:variant>
      <vt:variant>
        <vt:lpwstr/>
      </vt:variant>
      <vt:variant>
        <vt:i4>720965</vt:i4>
      </vt:variant>
      <vt:variant>
        <vt:i4>591</vt:i4>
      </vt:variant>
      <vt:variant>
        <vt:i4>0</vt:i4>
      </vt:variant>
      <vt:variant>
        <vt:i4>5</vt:i4>
      </vt:variant>
      <vt:variant>
        <vt:lpwstr>https://doi.org/10.1080/01425692.2019.1668746</vt:lpwstr>
      </vt:variant>
      <vt:variant>
        <vt:lpwstr/>
      </vt:variant>
      <vt:variant>
        <vt:i4>196637</vt:i4>
      </vt:variant>
      <vt:variant>
        <vt:i4>588</vt:i4>
      </vt:variant>
      <vt:variant>
        <vt:i4>0</vt:i4>
      </vt:variant>
      <vt:variant>
        <vt:i4>5</vt:i4>
      </vt:variant>
      <vt:variant>
        <vt:lpwstr>https://doi.org/10.1007/s10734-015-9938-y</vt:lpwstr>
      </vt:variant>
      <vt:variant>
        <vt:lpwstr/>
      </vt:variant>
      <vt:variant>
        <vt:i4>393300</vt:i4>
      </vt:variant>
      <vt:variant>
        <vt:i4>585</vt:i4>
      </vt:variant>
      <vt:variant>
        <vt:i4>0</vt:i4>
      </vt:variant>
      <vt:variant>
        <vt:i4>5</vt:i4>
      </vt:variant>
      <vt:variant>
        <vt:lpwstr>https://doi.org/10.5204/intjfyhe.v5i1.186</vt:lpwstr>
      </vt:variant>
      <vt:variant>
        <vt:lpwstr/>
      </vt:variant>
      <vt:variant>
        <vt:i4>1441880</vt:i4>
      </vt:variant>
      <vt:variant>
        <vt:i4>582</vt:i4>
      </vt:variant>
      <vt:variant>
        <vt:i4>0</vt:i4>
      </vt:variant>
      <vt:variant>
        <vt:i4>5</vt:i4>
      </vt:variant>
      <vt:variant>
        <vt:lpwstr>https://doi.org/10.1007/978-3-031-34451-0</vt:lpwstr>
      </vt:variant>
      <vt:variant>
        <vt:lpwstr/>
      </vt:variant>
      <vt:variant>
        <vt:i4>1507416</vt:i4>
      </vt:variant>
      <vt:variant>
        <vt:i4>579</vt:i4>
      </vt:variant>
      <vt:variant>
        <vt:i4>0</vt:i4>
      </vt:variant>
      <vt:variant>
        <vt:i4>5</vt:i4>
      </vt:variant>
      <vt:variant>
        <vt:lpwstr>https://doi.org/10.1080/01425690903101098</vt:lpwstr>
      </vt:variant>
      <vt:variant>
        <vt:lpwstr/>
      </vt:variant>
      <vt:variant>
        <vt:i4>73</vt:i4>
      </vt:variant>
      <vt:variant>
        <vt:i4>576</vt:i4>
      </vt:variant>
      <vt:variant>
        <vt:i4>0</vt:i4>
      </vt:variant>
      <vt:variant>
        <vt:i4>5</vt:i4>
      </vt:variant>
      <vt:variant>
        <vt:lpwstr>https://www.suttontrust.com/wp-content/uploads/2019/12/AccesstoAdvantage-2018.pdf</vt:lpwstr>
      </vt:variant>
      <vt:variant>
        <vt:lpwstr/>
      </vt:variant>
      <vt:variant>
        <vt:i4>2162747</vt:i4>
      </vt:variant>
      <vt:variant>
        <vt:i4>573</vt:i4>
      </vt:variant>
      <vt:variant>
        <vt:i4>0</vt:i4>
      </vt:variant>
      <vt:variant>
        <vt:i4>5</vt:i4>
      </vt:variant>
      <vt:variant>
        <vt:lpwstr>https://doi.org/10.1007/s13384-024-00717-0</vt:lpwstr>
      </vt:variant>
      <vt:variant>
        <vt:lpwstr/>
      </vt:variant>
      <vt:variant>
        <vt:i4>65602</vt:i4>
      </vt:variant>
      <vt:variant>
        <vt:i4>570</vt:i4>
      </vt:variant>
      <vt:variant>
        <vt:i4>0</vt:i4>
      </vt:variant>
      <vt:variant>
        <vt:i4>5</vt:i4>
      </vt:variant>
      <vt:variant>
        <vt:lpwstr>https://doi.org/10.1080/09540253.2024.2308037</vt:lpwstr>
      </vt:variant>
      <vt:variant>
        <vt:lpwstr/>
      </vt:variant>
      <vt:variant>
        <vt:i4>720963</vt:i4>
      </vt:variant>
      <vt:variant>
        <vt:i4>567</vt:i4>
      </vt:variant>
      <vt:variant>
        <vt:i4>0</vt:i4>
      </vt:variant>
      <vt:variant>
        <vt:i4>5</vt:i4>
      </vt:variant>
      <vt:variant>
        <vt:lpwstr>https://doi.org/10.1080/07294360.2017.1300138</vt:lpwstr>
      </vt:variant>
      <vt:variant>
        <vt:lpwstr/>
      </vt:variant>
      <vt:variant>
        <vt:i4>458841</vt:i4>
      </vt:variant>
      <vt:variant>
        <vt:i4>564</vt:i4>
      </vt:variant>
      <vt:variant>
        <vt:i4>0</vt:i4>
      </vt:variant>
      <vt:variant>
        <vt:i4>5</vt:i4>
      </vt:variant>
      <vt:variant>
        <vt:lpwstr>https://doi.org/10.5204/intjfyhe.v2i2.89</vt:lpwstr>
      </vt:variant>
      <vt:variant>
        <vt:lpwstr/>
      </vt:variant>
      <vt:variant>
        <vt:i4>4915265</vt:i4>
      </vt:variant>
      <vt:variant>
        <vt:i4>561</vt:i4>
      </vt:variant>
      <vt:variant>
        <vt:i4>0</vt:i4>
      </vt:variant>
      <vt:variant>
        <vt:i4>5</vt:i4>
      </vt:variant>
      <vt:variant>
        <vt:lpwstr>https://doi.org/10.1016/j.ssresearch.2006.11.003</vt:lpwstr>
      </vt:variant>
      <vt:variant>
        <vt:lpwstr/>
      </vt:variant>
      <vt:variant>
        <vt:i4>78</vt:i4>
      </vt:variant>
      <vt:variant>
        <vt:i4>558</vt:i4>
      </vt:variant>
      <vt:variant>
        <vt:i4>0</vt:i4>
      </vt:variant>
      <vt:variant>
        <vt:i4>5</vt:i4>
      </vt:variant>
      <vt:variant>
        <vt:lpwstr>https://doi.org/10.1007/978-981-10-0315-8</vt:lpwstr>
      </vt:variant>
      <vt:variant>
        <vt:lpwstr/>
      </vt:variant>
      <vt:variant>
        <vt:i4>5570590</vt:i4>
      </vt:variant>
      <vt:variant>
        <vt:i4>555</vt:i4>
      </vt:variant>
      <vt:variant>
        <vt:i4>0</vt:i4>
      </vt:variant>
      <vt:variant>
        <vt:i4>5</vt:i4>
      </vt:variant>
      <vt:variant>
        <vt:lpwstr>https://doi.org/10.1111/j.1468-4446.2005.00046.x</vt:lpwstr>
      </vt:variant>
      <vt:variant>
        <vt:lpwstr/>
      </vt:variant>
      <vt:variant>
        <vt:i4>3080300</vt:i4>
      </vt:variant>
      <vt:variant>
        <vt:i4>552</vt:i4>
      </vt:variant>
      <vt:variant>
        <vt:i4>0</vt:i4>
      </vt:variant>
      <vt:variant>
        <vt:i4>5</vt:i4>
      </vt:variant>
      <vt:variant>
        <vt:lpwstr>https://doi.org/10.2307/591365</vt:lpwstr>
      </vt:variant>
      <vt:variant>
        <vt:lpwstr/>
      </vt:variant>
      <vt:variant>
        <vt:i4>1704017</vt:i4>
      </vt:variant>
      <vt:variant>
        <vt:i4>549</vt:i4>
      </vt:variant>
      <vt:variant>
        <vt:i4>0</vt:i4>
      </vt:variant>
      <vt:variant>
        <vt:i4>5</vt:i4>
      </vt:variant>
      <vt:variant>
        <vt:lpwstr>https://doi.org/10.1177/0038038508101169</vt:lpwstr>
      </vt:variant>
      <vt:variant>
        <vt:lpwstr/>
      </vt:variant>
      <vt:variant>
        <vt:i4>3997745</vt:i4>
      </vt:variant>
      <vt:variant>
        <vt:i4>546</vt:i4>
      </vt:variant>
      <vt:variant>
        <vt:i4>0</vt:i4>
      </vt:variant>
      <vt:variant>
        <vt:i4>5</vt:i4>
      </vt:variant>
      <vt:variant>
        <vt:lpwstr>https://doi.org/10.1016/j.rssm.2016.01.003</vt:lpwstr>
      </vt:variant>
      <vt:variant>
        <vt:lpwstr/>
      </vt:variant>
      <vt:variant>
        <vt:i4>196684</vt:i4>
      </vt:variant>
      <vt:variant>
        <vt:i4>543</vt:i4>
      </vt:variant>
      <vt:variant>
        <vt:i4>0</vt:i4>
      </vt:variant>
      <vt:variant>
        <vt:i4>5</vt:i4>
      </vt:variant>
      <vt:variant>
        <vt:lpwstr>https://doi.org/10.1080/14616696.2016.1141306</vt:lpwstr>
      </vt:variant>
      <vt:variant>
        <vt:lpwstr/>
      </vt:variant>
      <vt:variant>
        <vt:i4>2424934</vt:i4>
      </vt:variant>
      <vt:variant>
        <vt:i4>540</vt:i4>
      </vt:variant>
      <vt:variant>
        <vt:i4>0</vt:i4>
      </vt:variant>
      <vt:variant>
        <vt:i4>5</vt:i4>
      </vt:variant>
      <vt:variant>
        <vt:lpwstr>https://doi.org/10.2307/3090253</vt:lpwstr>
      </vt:variant>
      <vt:variant>
        <vt:lpwstr/>
      </vt:variant>
      <vt:variant>
        <vt:i4>786503</vt:i4>
      </vt:variant>
      <vt:variant>
        <vt:i4>537</vt:i4>
      </vt:variant>
      <vt:variant>
        <vt:i4>0</vt:i4>
      </vt:variant>
      <vt:variant>
        <vt:i4>5</vt:i4>
      </vt:variant>
      <vt:variant>
        <vt:lpwstr>https://doi.org/10.1080/03075079.2015.1020777</vt:lpwstr>
      </vt:variant>
      <vt:variant>
        <vt:lpwstr/>
      </vt:variant>
      <vt:variant>
        <vt:i4>589852</vt:i4>
      </vt:variant>
      <vt:variant>
        <vt:i4>534</vt:i4>
      </vt:variant>
      <vt:variant>
        <vt:i4>0</vt:i4>
      </vt:variant>
      <vt:variant>
        <vt:i4>5</vt:i4>
      </vt:variant>
      <vt:variant>
        <vt:lpwstr>https://doi.org/10.1007/s10734-017-0222-1</vt:lpwstr>
      </vt:variant>
      <vt:variant>
        <vt:lpwstr/>
      </vt:variant>
      <vt:variant>
        <vt:i4>262168</vt:i4>
      </vt:variant>
      <vt:variant>
        <vt:i4>531</vt:i4>
      </vt:variant>
      <vt:variant>
        <vt:i4>0</vt:i4>
      </vt:variant>
      <vt:variant>
        <vt:i4>5</vt:i4>
      </vt:variant>
      <vt:variant>
        <vt:lpwstr>https://doi.org/10.1007/s10734-007-9065-5</vt:lpwstr>
      </vt:variant>
      <vt:variant>
        <vt:lpwstr/>
      </vt:variant>
      <vt:variant>
        <vt:i4>2359393</vt:i4>
      </vt:variant>
      <vt:variant>
        <vt:i4>528</vt:i4>
      </vt:variant>
      <vt:variant>
        <vt:i4>0</vt:i4>
      </vt:variant>
      <vt:variant>
        <vt:i4>5</vt:i4>
      </vt:variant>
      <vt:variant>
        <vt:lpwstr>https://doi.org/10.1177/009155210503300102</vt:lpwstr>
      </vt:variant>
      <vt:variant>
        <vt:lpwstr/>
      </vt:variant>
      <vt:variant>
        <vt:i4>655425</vt:i4>
      </vt:variant>
      <vt:variant>
        <vt:i4>525</vt:i4>
      </vt:variant>
      <vt:variant>
        <vt:i4>0</vt:i4>
      </vt:variant>
      <vt:variant>
        <vt:i4>5</vt:i4>
      </vt:variant>
      <vt:variant>
        <vt:lpwstr>https://doi.org/10.1080/14616696.2017.1329934</vt:lpwstr>
      </vt:variant>
      <vt:variant>
        <vt:lpwstr/>
      </vt:variant>
      <vt:variant>
        <vt:i4>2293866</vt:i4>
      </vt:variant>
      <vt:variant>
        <vt:i4>522</vt:i4>
      </vt:variant>
      <vt:variant>
        <vt:i4>0</vt:i4>
      </vt:variant>
      <vt:variant>
        <vt:i4>5</vt:i4>
      </vt:variant>
      <vt:variant>
        <vt:lpwstr>https://doi.org/10.1177/104346397009003002</vt:lpwstr>
      </vt:variant>
      <vt:variant>
        <vt:lpwstr/>
      </vt:variant>
      <vt:variant>
        <vt:i4>1835097</vt:i4>
      </vt:variant>
      <vt:variant>
        <vt:i4>519</vt:i4>
      </vt:variant>
      <vt:variant>
        <vt:i4>0</vt:i4>
      </vt:variant>
      <vt:variant>
        <vt:i4>5</vt:i4>
      </vt:variant>
      <vt:variant>
        <vt:lpwstr>https://doi.org/10.1080/02671520110037410</vt:lpwstr>
      </vt:variant>
      <vt:variant>
        <vt:lpwstr/>
      </vt:variant>
      <vt:variant>
        <vt:i4>1769566</vt:i4>
      </vt:variant>
      <vt:variant>
        <vt:i4>516</vt:i4>
      </vt:variant>
      <vt:variant>
        <vt:i4>0</vt:i4>
      </vt:variant>
      <vt:variant>
        <vt:i4>5</vt:i4>
      </vt:variant>
      <vt:variant>
        <vt:lpwstr>https://doi.org/10.1080/17508481003731042</vt:lpwstr>
      </vt:variant>
      <vt:variant>
        <vt:lpwstr/>
      </vt:variant>
      <vt:variant>
        <vt:i4>3604520</vt:i4>
      </vt:variant>
      <vt:variant>
        <vt:i4>513</vt:i4>
      </vt:variant>
      <vt:variant>
        <vt:i4>0</vt:i4>
      </vt:variant>
      <vt:variant>
        <vt:i4>5</vt:i4>
      </vt:variant>
      <vt:variant>
        <vt:lpwstr>https://doi.org/10.1016/j.alcr.2020.100338</vt:lpwstr>
      </vt:variant>
      <vt:variant>
        <vt:lpwstr/>
      </vt:variant>
      <vt:variant>
        <vt:i4>131101</vt:i4>
      </vt:variant>
      <vt:variant>
        <vt:i4>510</vt:i4>
      </vt:variant>
      <vt:variant>
        <vt:i4>0</vt:i4>
      </vt:variant>
      <vt:variant>
        <vt:i4>5</vt:i4>
      </vt:variant>
      <vt:variant>
        <vt:lpwstr>https://doi.org/10.1007/s11135-018-0818-2</vt:lpwstr>
      </vt:variant>
      <vt:variant>
        <vt:lpwstr/>
      </vt:variant>
      <vt:variant>
        <vt:i4>3932207</vt:i4>
      </vt:variant>
      <vt:variant>
        <vt:i4>507</vt:i4>
      </vt:variant>
      <vt:variant>
        <vt:i4>0</vt:i4>
      </vt:variant>
      <vt:variant>
        <vt:i4>5</vt:i4>
      </vt:variant>
      <vt:variant>
        <vt:lpwstr>https://doi.org/10.1016/j.rssm.2024.100939</vt:lpwstr>
      </vt:variant>
      <vt:variant>
        <vt:lpwstr/>
      </vt:variant>
      <vt:variant>
        <vt:i4>393241</vt:i4>
      </vt:variant>
      <vt:variant>
        <vt:i4>504</vt:i4>
      </vt:variant>
      <vt:variant>
        <vt:i4>0</vt:i4>
      </vt:variant>
      <vt:variant>
        <vt:i4>5</vt:i4>
      </vt:variant>
      <vt:variant>
        <vt:lpwstr>https://doi.org/10.1007/s11133-005-8366-1</vt:lpwstr>
      </vt:variant>
      <vt:variant>
        <vt:lpwstr/>
      </vt:variant>
      <vt:variant>
        <vt:i4>1114173</vt:i4>
      </vt:variant>
      <vt:variant>
        <vt:i4>284</vt:i4>
      </vt:variant>
      <vt:variant>
        <vt:i4>0</vt:i4>
      </vt:variant>
      <vt:variant>
        <vt:i4>5</vt:i4>
      </vt:variant>
      <vt:variant>
        <vt:lpwstr/>
      </vt:variant>
      <vt:variant>
        <vt:lpwstr>_Toc201760817</vt:lpwstr>
      </vt:variant>
      <vt:variant>
        <vt:i4>1114173</vt:i4>
      </vt:variant>
      <vt:variant>
        <vt:i4>278</vt:i4>
      </vt:variant>
      <vt:variant>
        <vt:i4>0</vt:i4>
      </vt:variant>
      <vt:variant>
        <vt:i4>5</vt:i4>
      </vt:variant>
      <vt:variant>
        <vt:lpwstr/>
      </vt:variant>
      <vt:variant>
        <vt:lpwstr>_Toc201760816</vt:lpwstr>
      </vt:variant>
      <vt:variant>
        <vt:i4>1114173</vt:i4>
      </vt:variant>
      <vt:variant>
        <vt:i4>272</vt:i4>
      </vt:variant>
      <vt:variant>
        <vt:i4>0</vt:i4>
      </vt:variant>
      <vt:variant>
        <vt:i4>5</vt:i4>
      </vt:variant>
      <vt:variant>
        <vt:lpwstr/>
      </vt:variant>
      <vt:variant>
        <vt:lpwstr>_Toc201760815</vt:lpwstr>
      </vt:variant>
      <vt:variant>
        <vt:i4>1114173</vt:i4>
      </vt:variant>
      <vt:variant>
        <vt:i4>266</vt:i4>
      </vt:variant>
      <vt:variant>
        <vt:i4>0</vt:i4>
      </vt:variant>
      <vt:variant>
        <vt:i4>5</vt:i4>
      </vt:variant>
      <vt:variant>
        <vt:lpwstr/>
      </vt:variant>
      <vt:variant>
        <vt:lpwstr>_Toc201760814</vt:lpwstr>
      </vt:variant>
      <vt:variant>
        <vt:i4>1114173</vt:i4>
      </vt:variant>
      <vt:variant>
        <vt:i4>260</vt:i4>
      </vt:variant>
      <vt:variant>
        <vt:i4>0</vt:i4>
      </vt:variant>
      <vt:variant>
        <vt:i4>5</vt:i4>
      </vt:variant>
      <vt:variant>
        <vt:lpwstr/>
      </vt:variant>
      <vt:variant>
        <vt:lpwstr>_Toc201760813</vt:lpwstr>
      </vt:variant>
      <vt:variant>
        <vt:i4>1114173</vt:i4>
      </vt:variant>
      <vt:variant>
        <vt:i4>254</vt:i4>
      </vt:variant>
      <vt:variant>
        <vt:i4>0</vt:i4>
      </vt:variant>
      <vt:variant>
        <vt:i4>5</vt:i4>
      </vt:variant>
      <vt:variant>
        <vt:lpwstr/>
      </vt:variant>
      <vt:variant>
        <vt:lpwstr>_Toc201760812</vt:lpwstr>
      </vt:variant>
      <vt:variant>
        <vt:i4>1114173</vt:i4>
      </vt:variant>
      <vt:variant>
        <vt:i4>248</vt:i4>
      </vt:variant>
      <vt:variant>
        <vt:i4>0</vt:i4>
      </vt:variant>
      <vt:variant>
        <vt:i4>5</vt:i4>
      </vt:variant>
      <vt:variant>
        <vt:lpwstr/>
      </vt:variant>
      <vt:variant>
        <vt:lpwstr>_Toc201760811</vt:lpwstr>
      </vt:variant>
      <vt:variant>
        <vt:i4>1114173</vt:i4>
      </vt:variant>
      <vt:variant>
        <vt:i4>242</vt:i4>
      </vt:variant>
      <vt:variant>
        <vt:i4>0</vt:i4>
      </vt:variant>
      <vt:variant>
        <vt:i4>5</vt:i4>
      </vt:variant>
      <vt:variant>
        <vt:lpwstr/>
      </vt:variant>
      <vt:variant>
        <vt:lpwstr>_Toc201760810</vt:lpwstr>
      </vt:variant>
      <vt:variant>
        <vt:i4>1048637</vt:i4>
      </vt:variant>
      <vt:variant>
        <vt:i4>236</vt:i4>
      </vt:variant>
      <vt:variant>
        <vt:i4>0</vt:i4>
      </vt:variant>
      <vt:variant>
        <vt:i4>5</vt:i4>
      </vt:variant>
      <vt:variant>
        <vt:lpwstr/>
      </vt:variant>
      <vt:variant>
        <vt:lpwstr>_Toc201760809</vt:lpwstr>
      </vt:variant>
      <vt:variant>
        <vt:i4>1048637</vt:i4>
      </vt:variant>
      <vt:variant>
        <vt:i4>230</vt:i4>
      </vt:variant>
      <vt:variant>
        <vt:i4>0</vt:i4>
      </vt:variant>
      <vt:variant>
        <vt:i4>5</vt:i4>
      </vt:variant>
      <vt:variant>
        <vt:lpwstr/>
      </vt:variant>
      <vt:variant>
        <vt:lpwstr>_Toc201760808</vt:lpwstr>
      </vt:variant>
      <vt:variant>
        <vt:i4>1048637</vt:i4>
      </vt:variant>
      <vt:variant>
        <vt:i4>224</vt:i4>
      </vt:variant>
      <vt:variant>
        <vt:i4>0</vt:i4>
      </vt:variant>
      <vt:variant>
        <vt:i4>5</vt:i4>
      </vt:variant>
      <vt:variant>
        <vt:lpwstr/>
      </vt:variant>
      <vt:variant>
        <vt:lpwstr>_Toc201760807</vt:lpwstr>
      </vt:variant>
      <vt:variant>
        <vt:i4>1048637</vt:i4>
      </vt:variant>
      <vt:variant>
        <vt:i4>218</vt:i4>
      </vt:variant>
      <vt:variant>
        <vt:i4>0</vt:i4>
      </vt:variant>
      <vt:variant>
        <vt:i4>5</vt:i4>
      </vt:variant>
      <vt:variant>
        <vt:lpwstr/>
      </vt:variant>
      <vt:variant>
        <vt:lpwstr>_Toc201760806</vt:lpwstr>
      </vt:variant>
      <vt:variant>
        <vt:i4>1769525</vt:i4>
      </vt:variant>
      <vt:variant>
        <vt:i4>209</vt:i4>
      </vt:variant>
      <vt:variant>
        <vt:i4>0</vt:i4>
      </vt:variant>
      <vt:variant>
        <vt:i4>5</vt:i4>
      </vt:variant>
      <vt:variant>
        <vt:lpwstr/>
      </vt:variant>
      <vt:variant>
        <vt:lpwstr>_Toc200108752</vt:lpwstr>
      </vt:variant>
      <vt:variant>
        <vt:i4>1769525</vt:i4>
      </vt:variant>
      <vt:variant>
        <vt:i4>203</vt:i4>
      </vt:variant>
      <vt:variant>
        <vt:i4>0</vt:i4>
      </vt:variant>
      <vt:variant>
        <vt:i4>5</vt:i4>
      </vt:variant>
      <vt:variant>
        <vt:lpwstr/>
      </vt:variant>
      <vt:variant>
        <vt:lpwstr>_Toc200108751</vt:lpwstr>
      </vt:variant>
      <vt:variant>
        <vt:i4>1769525</vt:i4>
      </vt:variant>
      <vt:variant>
        <vt:i4>197</vt:i4>
      </vt:variant>
      <vt:variant>
        <vt:i4>0</vt:i4>
      </vt:variant>
      <vt:variant>
        <vt:i4>5</vt:i4>
      </vt:variant>
      <vt:variant>
        <vt:lpwstr/>
      </vt:variant>
      <vt:variant>
        <vt:lpwstr>_Toc200108750</vt:lpwstr>
      </vt:variant>
      <vt:variant>
        <vt:i4>1769523</vt:i4>
      </vt:variant>
      <vt:variant>
        <vt:i4>188</vt:i4>
      </vt:variant>
      <vt:variant>
        <vt:i4>0</vt:i4>
      </vt:variant>
      <vt:variant>
        <vt:i4>5</vt:i4>
      </vt:variant>
      <vt:variant>
        <vt:lpwstr/>
      </vt:variant>
      <vt:variant>
        <vt:lpwstr>_Toc200109140</vt:lpwstr>
      </vt:variant>
      <vt:variant>
        <vt:i4>1835059</vt:i4>
      </vt:variant>
      <vt:variant>
        <vt:i4>182</vt:i4>
      </vt:variant>
      <vt:variant>
        <vt:i4>0</vt:i4>
      </vt:variant>
      <vt:variant>
        <vt:i4>5</vt:i4>
      </vt:variant>
      <vt:variant>
        <vt:lpwstr/>
      </vt:variant>
      <vt:variant>
        <vt:lpwstr>_Toc200109139</vt:lpwstr>
      </vt:variant>
      <vt:variant>
        <vt:i4>1835059</vt:i4>
      </vt:variant>
      <vt:variant>
        <vt:i4>176</vt:i4>
      </vt:variant>
      <vt:variant>
        <vt:i4>0</vt:i4>
      </vt:variant>
      <vt:variant>
        <vt:i4>5</vt:i4>
      </vt:variant>
      <vt:variant>
        <vt:lpwstr/>
      </vt:variant>
      <vt:variant>
        <vt:lpwstr>_Toc200109138</vt:lpwstr>
      </vt:variant>
      <vt:variant>
        <vt:i4>1835059</vt:i4>
      </vt:variant>
      <vt:variant>
        <vt:i4>170</vt:i4>
      </vt:variant>
      <vt:variant>
        <vt:i4>0</vt:i4>
      </vt:variant>
      <vt:variant>
        <vt:i4>5</vt:i4>
      </vt:variant>
      <vt:variant>
        <vt:lpwstr/>
      </vt:variant>
      <vt:variant>
        <vt:lpwstr>_Toc200109137</vt:lpwstr>
      </vt:variant>
      <vt:variant>
        <vt:i4>1835059</vt:i4>
      </vt:variant>
      <vt:variant>
        <vt:i4>164</vt:i4>
      </vt:variant>
      <vt:variant>
        <vt:i4>0</vt:i4>
      </vt:variant>
      <vt:variant>
        <vt:i4>5</vt:i4>
      </vt:variant>
      <vt:variant>
        <vt:lpwstr/>
      </vt:variant>
      <vt:variant>
        <vt:lpwstr>_Toc200109136</vt:lpwstr>
      </vt:variant>
      <vt:variant>
        <vt:i4>1835059</vt:i4>
      </vt:variant>
      <vt:variant>
        <vt:i4>158</vt:i4>
      </vt:variant>
      <vt:variant>
        <vt:i4>0</vt:i4>
      </vt:variant>
      <vt:variant>
        <vt:i4>5</vt:i4>
      </vt:variant>
      <vt:variant>
        <vt:lpwstr/>
      </vt:variant>
      <vt:variant>
        <vt:lpwstr>_Toc200109135</vt:lpwstr>
      </vt:variant>
      <vt:variant>
        <vt:i4>1835059</vt:i4>
      </vt:variant>
      <vt:variant>
        <vt:i4>152</vt:i4>
      </vt:variant>
      <vt:variant>
        <vt:i4>0</vt:i4>
      </vt:variant>
      <vt:variant>
        <vt:i4>5</vt:i4>
      </vt:variant>
      <vt:variant>
        <vt:lpwstr/>
      </vt:variant>
      <vt:variant>
        <vt:lpwstr>_Toc200109134</vt:lpwstr>
      </vt:variant>
      <vt:variant>
        <vt:i4>1835059</vt:i4>
      </vt:variant>
      <vt:variant>
        <vt:i4>146</vt:i4>
      </vt:variant>
      <vt:variant>
        <vt:i4>0</vt:i4>
      </vt:variant>
      <vt:variant>
        <vt:i4>5</vt:i4>
      </vt:variant>
      <vt:variant>
        <vt:lpwstr/>
      </vt:variant>
      <vt:variant>
        <vt:lpwstr>_Toc200109133</vt:lpwstr>
      </vt:variant>
      <vt:variant>
        <vt:i4>1835059</vt:i4>
      </vt:variant>
      <vt:variant>
        <vt:i4>140</vt:i4>
      </vt:variant>
      <vt:variant>
        <vt:i4>0</vt:i4>
      </vt:variant>
      <vt:variant>
        <vt:i4>5</vt:i4>
      </vt:variant>
      <vt:variant>
        <vt:lpwstr/>
      </vt:variant>
      <vt:variant>
        <vt:lpwstr>_Toc200109132</vt:lpwstr>
      </vt:variant>
      <vt:variant>
        <vt:i4>1835059</vt:i4>
      </vt:variant>
      <vt:variant>
        <vt:i4>134</vt:i4>
      </vt:variant>
      <vt:variant>
        <vt:i4>0</vt:i4>
      </vt:variant>
      <vt:variant>
        <vt:i4>5</vt:i4>
      </vt:variant>
      <vt:variant>
        <vt:lpwstr/>
      </vt:variant>
      <vt:variant>
        <vt:lpwstr>_Toc200109131</vt:lpwstr>
      </vt:variant>
      <vt:variant>
        <vt:i4>1835059</vt:i4>
      </vt:variant>
      <vt:variant>
        <vt:i4>128</vt:i4>
      </vt:variant>
      <vt:variant>
        <vt:i4>0</vt:i4>
      </vt:variant>
      <vt:variant>
        <vt:i4>5</vt:i4>
      </vt:variant>
      <vt:variant>
        <vt:lpwstr/>
      </vt:variant>
      <vt:variant>
        <vt:lpwstr>_Toc200109130</vt:lpwstr>
      </vt:variant>
      <vt:variant>
        <vt:i4>1900595</vt:i4>
      </vt:variant>
      <vt:variant>
        <vt:i4>122</vt:i4>
      </vt:variant>
      <vt:variant>
        <vt:i4>0</vt:i4>
      </vt:variant>
      <vt:variant>
        <vt:i4>5</vt:i4>
      </vt:variant>
      <vt:variant>
        <vt:lpwstr/>
      </vt:variant>
      <vt:variant>
        <vt:lpwstr>_Toc200109129</vt:lpwstr>
      </vt:variant>
      <vt:variant>
        <vt:i4>1900595</vt:i4>
      </vt:variant>
      <vt:variant>
        <vt:i4>116</vt:i4>
      </vt:variant>
      <vt:variant>
        <vt:i4>0</vt:i4>
      </vt:variant>
      <vt:variant>
        <vt:i4>5</vt:i4>
      </vt:variant>
      <vt:variant>
        <vt:lpwstr/>
      </vt:variant>
      <vt:variant>
        <vt:lpwstr>_Toc200109128</vt:lpwstr>
      </vt:variant>
      <vt:variant>
        <vt:i4>1900595</vt:i4>
      </vt:variant>
      <vt:variant>
        <vt:i4>110</vt:i4>
      </vt:variant>
      <vt:variant>
        <vt:i4>0</vt:i4>
      </vt:variant>
      <vt:variant>
        <vt:i4>5</vt:i4>
      </vt:variant>
      <vt:variant>
        <vt:lpwstr/>
      </vt:variant>
      <vt:variant>
        <vt:lpwstr>_Toc200109127</vt:lpwstr>
      </vt:variant>
      <vt:variant>
        <vt:i4>1900595</vt:i4>
      </vt:variant>
      <vt:variant>
        <vt:i4>104</vt:i4>
      </vt:variant>
      <vt:variant>
        <vt:i4>0</vt:i4>
      </vt:variant>
      <vt:variant>
        <vt:i4>5</vt:i4>
      </vt:variant>
      <vt:variant>
        <vt:lpwstr/>
      </vt:variant>
      <vt:variant>
        <vt:lpwstr>_Toc200109126</vt:lpwstr>
      </vt:variant>
      <vt:variant>
        <vt:i4>1900595</vt:i4>
      </vt:variant>
      <vt:variant>
        <vt:i4>98</vt:i4>
      </vt:variant>
      <vt:variant>
        <vt:i4>0</vt:i4>
      </vt:variant>
      <vt:variant>
        <vt:i4>5</vt:i4>
      </vt:variant>
      <vt:variant>
        <vt:lpwstr/>
      </vt:variant>
      <vt:variant>
        <vt:lpwstr>_Toc200109125</vt:lpwstr>
      </vt:variant>
      <vt:variant>
        <vt:i4>1900595</vt:i4>
      </vt:variant>
      <vt:variant>
        <vt:i4>92</vt:i4>
      </vt:variant>
      <vt:variant>
        <vt:i4>0</vt:i4>
      </vt:variant>
      <vt:variant>
        <vt:i4>5</vt:i4>
      </vt:variant>
      <vt:variant>
        <vt:lpwstr/>
      </vt:variant>
      <vt:variant>
        <vt:lpwstr>_Toc200109124</vt:lpwstr>
      </vt:variant>
      <vt:variant>
        <vt:i4>1900595</vt:i4>
      </vt:variant>
      <vt:variant>
        <vt:i4>86</vt:i4>
      </vt:variant>
      <vt:variant>
        <vt:i4>0</vt:i4>
      </vt:variant>
      <vt:variant>
        <vt:i4>5</vt:i4>
      </vt:variant>
      <vt:variant>
        <vt:lpwstr/>
      </vt:variant>
      <vt:variant>
        <vt:lpwstr>_Toc200109123</vt:lpwstr>
      </vt:variant>
      <vt:variant>
        <vt:i4>1900595</vt:i4>
      </vt:variant>
      <vt:variant>
        <vt:i4>80</vt:i4>
      </vt:variant>
      <vt:variant>
        <vt:i4>0</vt:i4>
      </vt:variant>
      <vt:variant>
        <vt:i4>5</vt:i4>
      </vt:variant>
      <vt:variant>
        <vt:lpwstr/>
      </vt:variant>
      <vt:variant>
        <vt:lpwstr>_Toc200109122</vt:lpwstr>
      </vt:variant>
      <vt:variant>
        <vt:i4>1900595</vt:i4>
      </vt:variant>
      <vt:variant>
        <vt:i4>74</vt:i4>
      </vt:variant>
      <vt:variant>
        <vt:i4>0</vt:i4>
      </vt:variant>
      <vt:variant>
        <vt:i4>5</vt:i4>
      </vt:variant>
      <vt:variant>
        <vt:lpwstr/>
      </vt:variant>
      <vt:variant>
        <vt:lpwstr>_Toc200109121</vt:lpwstr>
      </vt:variant>
      <vt:variant>
        <vt:i4>1900595</vt:i4>
      </vt:variant>
      <vt:variant>
        <vt:i4>68</vt:i4>
      </vt:variant>
      <vt:variant>
        <vt:i4>0</vt:i4>
      </vt:variant>
      <vt:variant>
        <vt:i4>5</vt:i4>
      </vt:variant>
      <vt:variant>
        <vt:lpwstr/>
      </vt:variant>
      <vt:variant>
        <vt:lpwstr>_Toc200109120</vt:lpwstr>
      </vt:variant>
      <vt:variant>
        <vt:i4>1966131</vt:i4>
      </vt:variant>
      <vt:variant>
        <vt:i4>62</vt:i4>
      </vt:variant>
      <vt:variant>
        <vt:i4>0</vt:i4>
      </vt:variant>
      <vt:variant>
        <vt:i4>5</vt:i4>
      </vt:variant>
      <vt:variant>
        <vt:lpwstr/>
      </vt:variant>
      <vt:variant>
        <vt:lpwstr>_Toc200109119</vt:lpwstr>
      </vt:variant>
      <vt:variant>
        <vt:i4>1966131</vt:i4>
      </vt:variant>
      <vt:variant>
        <vt:i4>56</vt:i4>
      </vt:variant>
      <vt:variant>
        <vt:i4>0</vt:i4>
      </vt:variant>
      <vt:variant>
        <vt:i4>5</vt:i4>
      </vt:variant>
      <vt:variant>
        <vt:lpwstr/>
      </vt:variant>
      <vt:variant>
        <vt:lpwstr>_Toc200109118</vt:lpwstr>
      </vt:variant>
      <vt:variant>
        <vt:i4>1966131</vt:i4>
      </vt:variant>
      <vt:variant>
        <vt:i4>50</vt:i4>
      </vt:variant>
      <vt:variant>
        <vt:i4>0</vt:i4>
      </vt:variant>
      <vt:variant>
        <vt:i4>5</vt:i4>
      </vt:variant>
      <vt:variant>
        <vt:lpwstr/>
      </vt:variant>
      <vt:variant>
        <vt:lpwstr>_Toc200109117</vt:lpwstr>
      </vt:variant>
      <vt:variant>
        <vt:i4>1966131</vt:i4>
      </vt:variant>
      <vt:variant>
        <vt:i4>44</vt:i4>
      </vt:variant>
      <vt:variant>
        <vt:i4>0</vt:i4>
      </vt:variant>
      <vt:variant>
        <vt:i4>5</vt:i4>
      </vt:variant>
      <vt:variant>
        <vt:lpwstr/>
      </vt:variant>
      <vt:variant>
        <vt:lpwstr>_Toc200109116</vt:lpwstr>
      </vt:variant>
      <vt:variant>
        <vt:i4>1966131</vt:i4>
      </vt:variant>
      <vt:variant>
        <vt:i4>38</vt:i4>
      </vt:variant>
      <vt:variant>
        <vt:i4>0</vt:i4>
      </vt:variant>
      <vt:variant>
        <vt:i4>5</vt:i4>
      </vt:variant>
      <vt:variant>
        <vt:lpwstr/>
      </vt:variant>
      <vt:variant>
        <vt:lpwstr>_Toc200109115</vt:lpwstr>
      </vt:variant>
      <vt:variant>
        <vt:i4>1966131</vt:i4>
      </vt:variant>
      <vt:variant>
        <vt:i4>32</vt:i4>
      </vt:variant>
      <vt:variant>
        <vt:i4>0</vt:i4>
      </vt:variant>
      <vt:variant>
        <vt:i4>5</vt:i4>
      </vt:variant>
      <vt:variant>
        <vt:lpwstr/>
      </vt:variant>
      <vt:variant>
        <vt:lpwstr>_Toc200109114</vt:lpwstr>
      </vt:variant>
      <vt:variant>
        <vt:i4>1966131</vt:i4>
      </vt:variant>
      <vt:variant>
        <vt:i4>26</vt:i4>
      </vt:variant>
      <vt:variant>
        <vt:i4>0</vt:i4>
      </vt:variant>
      <vt:variant>
        <vt:i4>5</vt:i4>
      </vt:variant>
      <vt:variant>
        <vt:lpwstr/>
      </vt:variant>
      <vt:variant>
        <vt:lpwstr>_Toc200109113</vt:lpwstr>
      </vt:variant>
      <vt:variant>
        <vt:i4>1966131</vt:i4>
      </vt:variant>
      <vt:variant>
        <vt:i4>20</vt:i4>
      </vt:variant>
      <vt:variant>
        <vt:i4>0</vt:i4>
      </vt:variant>
      <vt:variant>
        <vt:i4>5</vt:i4>
      </vt:variant>
      <vt:variant>
        <vt:lpwstr/>
      </vt:variant>
      <vt:variant>
        <vt:lpwstr>_Toc200109112</vt:lpwstr>
      </vt:variant>
      <vt:variant>
        <vt:i4>1966131</vt:i4>
      </vt:variant>
      <vt:variant>
        <vt:i4>14</vt:i4>
      </vt:variant>
      <vt:variant>
        <vt:i4>0</vt:i4>
      </vt:variant>
      <vt:variant>
        <vt:i4>5</vt:i4>
      </vt:variant>
      <vt:variant>
        <vt:lpwstr/>
      </vt:variant>
      <vt:variant>
        <vt:lpwstr>_Toc200109111</vt:lpwstr>
      </vt:variant>
      <vt:variant>
        <vt:i4>1966131</vt:i4>
      </vt:variant>
      <vt:variant>
        <vt:i4>8</vt:i4>
      </vt:variant>
      <vt:variant>
        <vt:i4>0</vt:i4>
      </vt:variant>
      <vt:variant>
        <vt:i4>5</vt:i4>
      </vt:variant>
      <vt:variant>
        <vt:lpwstr/>
      </vt:variant>
      <vt:variant>
        <vt:lpwstr>_Toc200109110</vt:lpwstr>
      </vt:variant>
      <vt:variant>
        <vt:i4>1310791</vt:i4>
      </vt:variant>
      <vt:variant>
        <vt:i4>3</vt:i4>
      </vt:variant>
      <vt:variant>
        <vt:i4>0</vt:i4>
      </vt:variant>
      <vt:variant>
        <vt:i4>5</vt:i4>
      </vt:variant>
      <vt:variant>
        <vt:lpwstr>http://www.acses.edu.au/</vt:lpwstr>
      </vt:variant>
      <vt:variant>
        <vt:lpwstr/>
      </vt:variant>
      <vt:variant>
        <vt:i4>6946834</vt:i4>
      </vt:variant>
      <vt:variant>
        <vt:i4>0</vt:i4>
      </vt:variant>
      <vt:variant>
        <vt:i4>0</vt:i4>
      </vt:variant>
      <vt:variant>
        <vt:i4>5</vt:i4>
      </vt:variant>
      <vt:variant>
        <vt:lpwstr>mailto:acses@curtin.edu.au</vt:lpwstr>
      </vt:variant>
      <vt:variant>
        <vt:lpwstr/>
      </vt:variant>
      <vt:variant>
        <vt:i4>2097201</vt:i4>
      </vt:variant>
      <vt:variant>
        <vt:i4>3</vt:i4>
      </vt:variant>
      <vt:variant>
        <vt:i4>0</vt:i4>
      </vt:variant>
      <vt:variant>
        <vt:i4>5</vt:i4>
      </vt:variant>
      <vt:variant>
        <vt:lpwstr>https://www.abs.gov.au/census/guide-census-data/census-dictionary/2021/variables-topic/population/sex-sexp</vt:lpwstr>
      </vt:variant>
      <vt:variant>
        <vt:lpwstr/>
      </vt:variant>
      <vt:variant>
        <vt:i4>5636119</vt:i4>
      </vt:variant>
      <vt:variant>
        <vt:i4>0</vt:i4>
      </vt:variant>
      <vt:variant>
        <vt:i4>0</vt:i4>
      </vt:variant>
      <vt:variant>
        <vt:i4>5</vt:i4>
      </vt:variant>
      <vt:variant>
        <vt:lpwstr>https://www.abs.gov.au/census/guide-census-data/census-dictionary/2021/variables-topic/disability-and-carers/core-activity-need-assistance-assnp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Zajac - 1440897</dc:creator>
  <cp:keywords/>
  <dc:description/>
  <cp:lastModifiedBy>Anna Will</cp:lastModifiedBy>
  <cp:revision>5</cp:revision>
  <cp:lastPrinted>2025-07-07T01:16:00Z</cp:lastPrinted>
  <dcterms:created xsi:type="dcterms:W3CDTF">2025-09-25T01:37:00Z</dcterms:created>
  <dcterms:modified xsi:type="dcterms:W3CDTF">2025-10-01T06:29:00Z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a93f9fbf445aec91086ac0e70420023536c72e216bcddb8cd95862fab7ecb880</vt:lpwstr>
  </property>
  <property fmtid="{D5CDD505-2E9C-101B-9397-08002B2CF9AE}" pid="3" name="grammarly_documentId">
    <vt:lpwstr>documentId_1416</vt:lpwstr>
  </property>
  <property fmtid="{D5CDD505-2E9C-101B-9397-08002B2CF9AE}" pid="4" name="grammarly_documentContext">
    <vt:lpwstr>{"goals":[],"domain":"general","emotions":[],"dialect":"australian"}</vt:lpwstr>
  </property>
  <property fmtid="{D5CDD505-2E9C-101B-9397-08002B2CF9AE}" pid="5" name="MSIP_Label_0f488380-630a-4f55-a077-a19445e3f360_Enabled">
    <vt:lpwstr>true</vt:lpwstr>
  </property>
  <property fmtid="{D5CDD505-2E9C-101B-9397-08002B2CF9AE}" pid="6" name="MSIP_Label_0f488380-630a-4f55-a077-a19445e3f360_SetDate">
    <vt:lpwstr>2025-03-02T23:51:41Z</vt:lpwstr>
  </property>
  <property fmtid="{D5CDD505-2E9C-101B-9397-08002B2CF9AE}" pid="7" name="MSIP_Label_0f488380-630a-4f55-a077-a19445e3f360_Method">
    <vt:lpwstr>Standard</vt:lpwstr>
  </property>
  <property fmtid="{D5CDD505-2E9C-101B-9397-08002B2CF9AE}" pid="8" name="MSIP_Label_0f488380-630a-4f55-a077-a19445e3f360_Name">
    <vt:lpwstr>OFFICIAL - INTERNAL</vt:lpwstr>
  </property>
  <property fmtid="{D5CDD505-2E9C-101B-9397-08002B2CF9AE}" pid="9" name="MSIP_Label_0f488380-630a-4f55-a077-a19445e3f360_SiteId">
    <vt:lpwstr>b6e377cf-9db3-46cb-91a2-fad9605bb15c</vt:lpwstr>
  </property>
  <property fmtid="{D5CDD505-2E9C-101B-9397-08002B2CF9AE}" pid="10" name="MSIP_Label_0f488380-630a-4f55-a077-a19445e3f360_ActionId">
    <vt:lpwstr>b1ca4444-7cf7-4862-ac73-bfc3dac68897</vt:lpwstr>
  </property>
  <property fmtid="{D5CDD505-2E9C-101B-9397-08002B2CF9AE}" pid="11" name="MSIP_Label_0f488380-630a-4f55-a077-a19445e3f360_ContentBits">
    <vt:lpwstr>0</vt:lpwstr>
  </property>
  <property fmtid="{D5CDD505-2E9C-101B-9397-08002B2CF9AE}" pid="12" name="MSIP_Label_0f488380-630a-4f55-a077-a19445e3f360_Tag">
    <vt:lpwstr>50, 3, 0, 1</vt:lpwstr>
  </property>
</Properties>
</file>