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FDF8E" w14:textId="77777777" w:rsidR="00A94FBA" w:rsidRDefault="00457A04" w:rsidP="007F4643">
      <w:pPr>
        <w:pStyle w:val="Title"/>
        <w:jc w:val="left"/>
      </w:pPr>
      <w:r>
        <w:t>Mode of attendance in Australian higher education from 2021 to 2023</w:t>
      </w:r>
    </w:p>
    <w:p w14:paraId="5D5FDF8F" w14:textId="74A39F61" w:rsidR="00A94FBA" w:rsidRDefault="00457A04">
      <w:pPr>
        <w:pStyle w:val="Heading1"/>
      </w:pPr>
      <w:bookmarkStart w:id="0" w:name="acses-data-insights-series-report-3"/>
      <w:r>
        <w:t>ACSES Data Insights Series</w:t>
      </w:r>
    </w:p>
    <w:p w14:paraId="5D5FDF90" w14:textId="77777777" w:rsidR="00A94FBA" w:rsidRDefault="00457A04">
      <w:r>
        <w:br w:type="page"/>
      </w:r>
    </w:p>
    <w:p w14:paraId="5D5FDF91" w14:textId="77777777" w:rsidR="00A94FBA" w:rsidRDefault="00457A04" w:rsidP="005712DA">
      <w:pPr>
        <w:pStyle w:val="Heading2"/>
      </w:pPr>
      <w:bookmarkStart w:id="1" w:name="acknowledgements"/>
      <w:r>
        <w:lastRenderedPageBreak/>
        <w:t>Acknowledgements</w:t>
      </w:r>
    </w:p>
    <w:p w14:paraId="5D5FDF92" w14:textId="77777777" w:rsidR="00A94FBA" w:rsidRDefault="00457A04">
      <w:pPr>
        <w:pStyle w:val="FirstParagraph"/>
      </w:pPr>
      <w:r>
        <w:t>This report was prepared by the Data Program of the Australian Centre for Student Equity and Success (ACSES) at Curtin University.</w:t>
      </w:r>
    </w:p>
    <w:p w14:paraId="5D5FDF93" w14:textId="77777777" w:rsidR="00A94FBA" w:rsidRDefault="00457A04">
      <w:pPr>
        <w:pStyle w:val="BodyText"/>
      </w:pPr>
      <w:r>
        <w:t>The authors would like to acknowledge the staff at ACSES for their comments and assistance in the production of this publication and extend thanks to the Australian Government Department of Education for the provision of student equity data.</w:t>
      </w:r>
    </w:p>
    <w:p w14:paraId="5D5FDF94" w14:textId="77777777" w:rsidR="00A94FBA" w:rsidRDefault="00457A04">
      <w:pPr>
        <w:pStyle w:val="BodyText"/>
      </w:pPr>
      <w:r>
        <w:t xml:space="preserve">The report may be cited as: ACSES Data Program. (2025). </w:t>
      </w:r>
      <w:r w:rsidRPr="0013302E">
        <w:rPr>
          <w:i/>
          <w:iCs/>
        </w:rPr>
        <w:t>Mode of attendance in Australian higher education from 2021 to 2023</w:t>
      </w:r>
      <w:r>
        <w:t>. Australian Centre for Student Equity and Success (ACSES), Perth: Curtin University.</w:t>
      </w:r>
    </w:p>
    <w:p w14:paraId="5D5FDF95" w14:textId="77777777" w:rsidR="00A94FBA" w:rsidRDefault="00457A04">
      <w:pPr>
        <w:pStyle w:val="BodyText"/>
      </w:pPr>
      <w:r>
        <w:t xml:space="preserve">This report focuses on changes in mode of attendance among domestic undergraduate students over the past three years, with a focus on the 2023 period. For further information on retention, participation, success, six- and nine-year cohort completion — please see the ACSES Student Equity Data Program webpage: </w:t>
      </w:r>
      <w:hyperlink r:id="rId7">
        <w:r>
          <w:rPr>
            <w:rStyle w:val="Hyperlink"/>
          </w:rPr>
          <w:t>https://www.acses.edu.au/data/interactive-tool/</w:t>
        </w:r>
      </w:hyperlink>
    </w:p>
    <w:p w14:paraId="5D5FDF96" w14:textId="77777777" w:rsidR="00A94FBA" w:rsidRDefault="00457A04">
      <w:pPr>
        <w:pStyle w:val="BodyText"/>
      </w:pPr>
      <w:r>
        <w:t>Copyright ownership of this material resides with Curtin University.</w:t>
      </w:r>
    </w:p>
    <w:p w14:paraId="5D5FDF97" w14:textId="2E624F8C" w:rsidR="00A94FBA" w:rsidRDefault="00457A04">
      <w:pPr>
        <w:pStyle w:val="BodyText"/>
      </w:pPr>
      <w:r>
        <w:t xml:space="preserve">ISBN - </w:t>
      </w:r>
      <w:r w:rsidR="00D5376D" w:rsidRPr="00D5376D">
        <w:t>978-0-6454877-7-0</w:t>
      </w:r>
    </w:p>
    <w:p w14:paraId="5D5FDF98" w14:textId="77777777" w:rsidR="00A94FBA" w:rsidRDefault="00457A04">
      <w:r>
        <w:br w:type="page"/>
      </w:r>
    </w:p>
    <w:p w14:paraId="5D5FDF99" w14:textId="77777777" w:rsidR="00A94FBA" w:rsidRPr="005712DA" w:rsidRDefault="00457A04" w:rsidP="005712DA">
      <w:pPr>
        <w:pStyle w:val="Heading2"/>
      </w:pPr>
      <w:bookmarkStart w:id="2" w:name="Xd5011d5efd06eff49e328a6d4b72f1a59c57ba8"/>
      <w:bookmarkEnd w:id="1"/>
      <w:r>
        <w:lastRenderedPageBreak/>
        <w:t>The Australian Centre for Student Equity and Success Data Insights Series</w:t>
      </w:r>
    </w:p>
    <w:p w14:paraId="5D5FDF9A" w14:textId="3CEF6B90" w:rsidR="00A94FBA" w:rsidRDefault="00457A04">
      <w:pPr>
        <w:pStyle w:val="FirstParagraph"/>
      </w:pPr>
      <w:r>
        <w:t xml:space="preserve">The Australian Centre for Student Equity and Success (ACSES) </w:t>
      </w:r>
      <w:proofErr w:type="gramStart"/>
      <w:r>
        <w:t>is</w:t>
      </w:r>
      <w:proofErr w:type="gramEnd"/>
      <w:r>
        <w:t xml:space="preserve"> an evidence-based research and public policy centre based at Curtin University and funded by the Australian Government Department of Education (the Department). ACSES is committed to providing the higher education sector with tangible proof of what works to improve the quality and impact of student equity practices in higher education.</w:t>
      </w:r>
    </w:p>
    <w:p w14:paraId="5D5FDF9B" w14:textId="77777777" w:rsidR="00A94FBA" w:rsidRDefault="00457A04">
      <w:pPr>
        <w:pStyle w:val="BodyText"/>
      </w:pPr>
      <w:r>
        <w:t>The ACSES Data Insights Series reports on equity student participation and outcomes in Australian higher education. It focuses on trends among identified equity groups in domestic undergraduate enrolments in Australia, including, but not limited to:</w:t>
      </w:r>
    </w:p>
    <w:p w14:paraId="0C9556B7" w14:textId="39C9C9EB" w:rsidR="00E0394F" w:rsidRDefault="00457A04" w:rsidP="00E0394F">
      <w:pPr>
        <w:pStyle w:val="BodyText"/>
        <w:numPr>
          <w:ilvl w:val="0"/>
          <w:numId w:val="6"/>
        </w:numPr>
      </w:pPr>
      <w:r>
        <w:t>Low socio-economic status (Low SES) students</w:t>
      </w:r>
    </w:p>
    <w:p w14:paraId="033275FD" w14:textId="77777777" w:rsidR="00E0394F" w:rsidRDefault="00457A04" w:rsidP="00E0394F">
      <w:pPr>
        <w:pStyle w:val="BodyText"/>
        <w:numPr>
          <w:ilvl w:val="0"/>
          <w:numId w:val="6"/>
        </w:numPr>
      </w:pPr>
      <w:r>
        <w:t>Students with Disability</w:t>
      </w:r>
    </w:p>
    <w:p w14:paraId="6943DC18" w14:textId="77777777" w:rsidR="00E0394F" w:rsidRDefault="00457A04" w:rsidP="00E0394F">
      <w:pPr>
        <w:pStyle w:val="BodyText"/>
        <w:numPr>
          <w:ilvl w:val="0"/>
          <w:numId w:val="6"/>
        </w:numPr>
      </w:pPr>
      <w:r>
        <w:t>First Nations (Aboriginal and Torres Strait Islander) Australian students</w:t>
      </w:r>
    </w:p>
    <w:p w14:paraId="04E00AEE" w14:textId="77777777" w:rsidR="00E0394F" w:rsidRDefault="00457A04" w:rsidP="00E0394F">
      <w:pPr>
        <w:pStyle w:val="BodyText"/>
        <w:numPr>
          <w:ilvl w:val="0"/>
          <w:numId w:val="6"/>
        </w:numPr>
      </w:pPr>
      <w:r>
        <w:t>Regional students</w:t>
      </w:r>
    </w:p>
    <w:p w14:paraId="5D5FDFA0" w14:textId="5683444C" w:rsidR="00A94FBA" w:rsidRDefault="00457A04" w:rsidP="00E0394F">
      <w:pPr>
        <w:pStyle w:val="BodyText"/>
        <w:numPr>
          <w:ilvl w:val="0"/>
          <w:numId w:val="6"/>
        </w:numPr>
      </w:pPr>
      <w:r>
        <w:t>Remote students</w:t>
      </w:r>
    </w:p>
    <w:p w14:paraId="5D5FDFA1" w14:textId="58AAB047" w:rsidR="00A94FBA" w:rsidRDefault="00457A04">
      <w:pPr>
        <w:pStyle w:val="BodyText"/>
      </w:pPr>
      <w:r>
        <w:t xml:space="preserve">For further information on ACSES, please visit </w:t>
      </w:r>
      <w:hyperlink r:id="rId8" w:history="1">
        <w:r w:rsidR="00E0394F" w:rsidRPr="003B2A51">
          <w:rPr>
            <w:rStyle w:val="Hyperlink"/>
          </w:rPr>
          <w:t>www.acses.edu.au</w:t>
        </w:r>
      </w:hyperlink>
      <w:r w:rsidR="00E0394F">
        <w:t xml:space="preserve">. </w:t>
      </w:r>
    </w:p>
    <w:p w14:paraId="5D5FDFA2" w14:textId="77777777" w:rsidR="00A94FBA" w:rsidRDefault="00457A04">
      <w:r>
        <w:br w:type="page"/>
      </w:r>
    </w:p>
    <w:p w14:paraId="5D5FDFA3" w14:textId="77777777" w:rsidR="00A94FBA" w:rsidRDefault="00457A04" w:rsidP="005712DA">
      <w:pPr>
        <w:pStyle w:val="Heading2"/>
      </w:pPr>
      <w:bookmarkStart w:id="3" w:name="data-explanatory-notes"/>
      <w:bookmarkEnd w:id="2"/>
      <w:r>
        <w:lastRenderedPageBreak/>
        <w:t>Data Explanatory Notes</w:t>
      </w:r>
    </w:p>
    <w:p w14:paraId="5D5FDFA4" w14:textId="521A2ADC" w:rsidR="00A94FBA" w:rsidRDefault="00457A04">
      <w:pPr>
        <w:pStyle w:val="FirstParagraph"/>
      </w:pPr>
      <w:r>
        <w:t xml:space="preserve">All student data reported in this document are sourced from </w:t>
      </w:r>
      <w:proofErr w:type="spellStart"/>
      <w:r>
        <w:t>customised</w:t>
      </w:r>
      <w:proofErr w:type="spellEnd"/>
      <w:r>
        <w:t xml:space="preserve"> </w:t>
      </w:r>
      <w:r w:rsidR="008A4C4E">
        <w:t xml:space="preserve">data </w:t>
      </w:r>
      <w:r>
        <w:t>request</w:t>
      </w:r>
      <w:r w:rsidR="00465DD4">
        <w:t>s</w:t>
      </w:r>
      <w:r>
        <w:t xml:space="preserve"> to the Australian Government Department of Education</w:t>
      </w:r>
      <w:r>
        <w:rPr>
          <w:rStyle w:val="FootnoteReference"/>
        </w:rPr>
        <w:footnoteReference w:id="2"/>
      </w:r>
      <w:r w:rsidR="00465DD4">
        <w:t xml:space="preserve"> and the Social Research Centre</w:t>
      </w:r>
      <w:r w:rsidR="00D55066">
        <w:rPr>
          <w:rStyle w:val="FootnoteReference"/>
        </w:rPr>
        <w:footnoteReference w:id="3"/>
      </w:r>
      <w:r w:rsidR="008A4C4E">
        <w:t xml:space="preserve">. </w:t>
      </w:r>
      <w:r w:rsidR="008A236B">
        <w:t>Data on enrolment shares are taken from the Department’s TCSI data collection, and data on student experience are taken from the Quality Indi</w:t>
      </w:r>
      <w:r w:rsidR="000A38A3">
        <w:t>cators for Learning and Teaching</w:t>
      </w:r>
      <w:r w:rsidR="008A236B">
        <w:t xml:space="preserve"> (QILT) Student Experience Survey. </w:t>
      </w:r>
    </w:p>
    <w:p w14:paraId="5D5FDFA5" w14:textId="10E657EB" w:rsidR="00A94FBA" w:rsidRDefault="00457A04">
      <w:pPr>
        <w:pStyle w:val="BodyText"/>
      </w:pPr>
      <w:r>
        <w:t xml:space="preserve">In </w:t>
      </w:r>
      <w:r w:rsidR="00813FE2">
        <w:t>preparing</w:t>
      </w:r>
      <w:r>
        <w:t xml:space="preserve"> this report:</w:t>
      </w:r>
    </w:p>
    <w:p w14:paraId="7EFE7574" w14:textId="77777777" w:rsidR="009870D8" w:rsidRDefault="00457A04" w:rsidP="009870D8">
      <w:pPr>
        <w:pStyle w:val="BodyText"/>
        <w:numPr>
          <w:ilvl w:val="0"/>
          <w:numId w:val="7"/>
        </w:numPr>
      </w:pPr>
      <w:r>
        <w:t xml:space="preserve">Mode of attendance is defined as either </w:t>
      </w:r>
      <w:r w:rsidRPr="008558BE">
        <w:rPr>
          <w:b/>
          <w:bCs/>
        </w:rPr>
        <w:t>external</w:t>
      </w:r>
      <w:r>
        <w:t xml:space="preserve"> (off-campus, online), </w:t>
      </w:r>
      <w:r w:rsidRPr="008558BE">
        <w:rPr>
          <w:b/>
          <w:bCs/>
        </w:rPr>
        <w:t>internal</w:t>
      </w:r>
      <w:r>
        <w:t xml:space="preserve"> (on-campus, classroom based), and </w:t>
      </w:r>
      <w:r w:rsidRPr="008558BE">
        <w:rPr>
          <w:b/>
          <w:bCs/>
        </w:rPr>
        <w:t>multi-modal</w:t>
      </w:r>
      <w:r>
        <w:t xml:space="preserve"> (a mix of external and internal study).</w:t>
      </w:r>
      <w:r>
        <w:rPr>
          <w:rStyle w:val="FootnoteReference"/>
        </w:rPr>
        <w:footnoteReference w:id="4"/>
      </w:r>
    </w:p>
    <w:p w14:paraId="18782EA1" w14:textId="77777777" w:rsidR="009870D8" w:rsidRDefault="00457A04" w:rsidP="009870D8">
      <w:pPr>
        <w:pStyle w:val="BodyText"/>
        <w:numPr>
          <w:ilvl w:val="0"/>
          <w:numId w:val="7"/>
        </w:numPr>
      </w:pPr>
      <w:r>
        <w:t xml:space="preserve">For the purposes of aggregation and presentation of results, cell counts of less than 5 </w:t>
      </w:r>
      <w:r w:rsidR="007B0759">
        <w:t xml:space="preserve">for enrolment shares </w:t>
      </w:r>
      <w:r>
        <w:t xml:space="preserve">were replaced with the value </w:t>
      </w:r>
      <w:r w:rsidR="009870D8">
        <w:t>“</w:t>
      </w:r>
      <w:r>
        <w:t>2</w:t>
      </w:r>
      <w:r w:rsidR="009870D8">
        <w:t>”</w:t>
      </w:r>
      <w:r>
        <w:t>.</w:t>
      </w:r>
    </w:p>
    <w:p w14:paraId="5D2A4D1C" w14:textId="77777777" w:rsidR="009870D8" w:rsidRDefault="00457A04" w:rsidP="009870D8">
      <w:pPr>
        <w:pStyle w:val="BodyText"/>
        <w:numPr>
          <w:ilvl w:val="0"/>
          <w:numId w:val="7"/>
        </w:numPr>
      </w:pPr>
      <w:r>
        <w:t>Some longitudinal analysis is provided, but the focus is on the most recent data available, which is for 2023.</w:t>
      </w:r>
    </w:p>
    <w:p w14:paraId="395C0011" w14:textId="77777777" w:rsidR="009870D8" w:rsidRDefault="00457A04" w:rsidP="009870D8">
      <w:pPr>
        <w:pStyle w:val="BodyText"/>
        <w:numPr>
          <w:ilvl w:val="0"/>
          <w:numId w:val="7"/>
        </w:numPr>
      </w:pPr>
      <w:r>
        <w:t>Analysis includes both Table A and Table B universities</w:t>
      </w:r>
      <w:r w:rsidR="0071507A">
        <w:t xml:space="preserve"> as defined under the </w:t>
      </w:r>
      <w:r>
        <w:t>Higher Education Support Act 2003</w:t>
      </w:r>
      <w:r w:rsidR="00BB17DF">
        <w:rPr>
          <w:rStyle w:val="FootnoteReference"/>
        </w:rPr>
        <w:footnoteReference w:id="5"/>
      </w:r>
      <w:r>
        <w:t>.</w:t>
      </w:r>
    </w:p>
    <w:p w14:paraId="50660082" w14:textId="77777777" w:rsidR="009870D8" w:rsidRDefault="00457A04" w:rsidP="009870D8">
      <w:pPr>
        <w:pStyle w:val="BodyText"/>
        <w:numPr>
          <w:ilvl w:val="0"/>
          <w:numId w:val="7"/>
        </w:numPr>
      </w:pPr>
      <w:r>
        <w:t xml:space="preserve">The identification of students from low SES, regional, and remote backgrounds is based on their </w:t>
      </w:r>
      <w:r w:rsidRPr="009870D8">
        <w:rPr>
          <w:i/>
          <w:iCs/>
        </w:rPr>
        <w:t>first address</w:t>
      </w:r>
      <w:r>
        <w:t>.</w:t>
      </w:r>
    </w:p>
    <w:p w14:paraId="5F16A3F7" w14:textId="77777777" w:rsidR="009A2495" w:rsidRDefault="009870D8" w:rsidP="009A2495">
      <w:pPr>
        <w:pStyle w:val="BodyText"/>
        <w:numPr>
          <w:ilvl w:val="0"/>
          <w:numId w:val="7"/>
        </w:numPr>
      </w:pPr>
      <w:r>
        <w:t>“</w:t>
      </w:r>
      <w:r w:rsidR="00457A04">
        <w:t>Equity students</w:t>
      </w:r>
      <w:r>
        <w:t>”</w:t>
      </w:r>
      <w:r w:rsidR="00457A04">
        <w:t xml:space="preserve"> refers to students who belong to at least one of the key equity groups presented in this report, namely, students with disability, First Nations Australian students, and students from low SES, regional</w:t>
      </w:r>
      <w:r w:rsidR="009A2495">
        <w:t>,</w:t>
      </w:r>
      <w:r w:rsidR="00457A04">
        <w:t xml:space="preserve"> and remote areas</w:t>
      </w:r>
      <w:r w:rsidR="00732485">
        <w:rPr>
          <w:rStyle w:val="FootnoteReference"/>
        </w:rPr>
        <w:footnoteReference w:id="6"/>
      </w:r>
      <w:r w:rsidR="00457A04">
        <w:t>.</w:t>
      </w:r>
    </w:p>
    <w:p w14:paraId="5D5FDFAC" w14:textId="0547B421" w:rsidR="00A94FBA" w:rsidRDefault="009A2495" w:rsidP="009A2495">
      <w:pPr>
        <w:pStyle w:val="BodyText"/>
        <w:numPr>
          <w:ilvl w:val="0"/>
          <w:numId w:val="7"/>
        </w:numPr>
      </w:pPr>
      <w:r>
        <w:t>“</w:t>
      </w:r>
      <w:r w:rsidR="00457A04">
        <w:t>Non-equity students</w:t>
      </w:r>
      <w:r>
        <w:t>”</w:t>
      </w:r>
      <w:r w:rsidR="00457A04">
        <w:t xml:space="preserve"> refers to students who do not belong to any of the key equity groups </w:t>
      </w:r>
      <w:r w:rsidR="006F249E">
        <w:t xml:space="preserve">described above. </w:t>
      </w:r>
    </w:p>
    <w:p w14:paraId="5D5FDFAD" w14:textId="03006525" w:rsidR="00A94FBA" w:rsidRDefault="00A94FBA"/>
    <w:p w14:paraId="5D5FDFAE" w14:textId="77777777" w:rsidR="00A94FBA" w:rsidRDefault="00457A04" w:rsidP="005712DA">
      <w:pPr>
        <w:pStyle w:val="Heading2"/>
      </w:pPr>
      <w:bookmarkStart w:id="4" w:name="X79b478920f8c6ac607e2b9b30ca91f6347f3d24"/>
      <w:bookmarkEnd w:id="3"/>
      <w:r>
        <w:lastRenderedPageBreak/>
        <w:t>Mode of attendance in Australian higher education</w:t>
      </w:r>
    </w:p>
    <w:p w14:paraId="770050A3" w14:textId="77777777" w:rsidR="00124523" w:rsidRDefault="00457A04" w:rsidP="00124523">
      <w:pPr>
        <w:pStyle w:val="FirstParagraph"/>
        <w:numPr>
          <w:ilvl w:val="0"/>
          <w:numId w:val="8"/>
        </w:numPr>
      </w:pPr>
      <w:r>
        <w:t>In Australian higher education, students engage in study through one of three modes of attendance:</w:t>
      </w:r>
    </w:p>
    <w:p w14:paraId="5879226E" w14:textId="26699DCE" w:rsidR="00124523" w:rsidRDefault="00457A04" w:rsidP="00124523">
      <w:pPr>
        <w:pStyle w:val="FirstParagraph"/>
        <w:numPr>
          <w:ilvl w:val="1"/>
          <w:numId w:val="8"/>
        </w:numPr>
      </w:pPr>
      <w:r w:rsidRPr="00124523">
        <w:rPr>
          <w:b/>
          <w:bCs/>
        </w:rPr>
        <w:t>Internal</w:t>
      </w:r>
      <w:r>
        <w:t xml:space="preserve"> – where learning occurs on campus in traditional classroom or face-to-face settings</w:t>
      </w:r>
      <w:r w:rsidR="00666C18">
        <w:t>.</w:t>
      </w:r>
    </w:p>
    <w:p w14:paraId="6E13D3BF" w14:textId="3CD7B397" w:rsidR="00124523" w:rsidRDefault="00457A04" w:rsidP="00124523">
      <w:pPr>
        <w:pStyle w:val="FirstParagraph"/>
        <w:numPr>
          <w:ilvl w:val="1"/>
          <w:numId w:val="8"/>
        </w:numPr>
      </w:pPr>
      <w:r w:rsidRPr="00124523">
        <w:rPr>
          <w:b/>
          <w:bCs/>
        </w:rPr>
        <w:t>External</w:t>
      </w:r>
      <w:r>
        <w:t xml:space="preserve"> – also referred to as off-campus or online learning, where students complete their studies remotely</w:t>
      </w:r>
      <w:r w:rsidR="00666C18">
        <w:t>.</w:t>
      </w:r>
    </w:p>
    <w:p w14:paraId="45B768CE" w14:textId="77777777" w:rsidR="00666C18" w:rsidRDefault="00457A04" w:rsidP="00666C18">
      <w:pPr>
        <w:pStyle w:val="FirstParagraph"/>
        <w:numPr>
          <w:ilvl w:val="1"/>
          <w:numId w:val="8"/>
        </w:numPr>
      </w:pPr>
      <w:r w:rsidRPr="00124523">
        <w:rPr>
          <w:b/>
          <w:bCs/>
        </w:rPr>
        <w:t>Multi-modal</w:t>
      </w:r>
      <w:r>
        <w:t xml:space="preserve"> – a hybrid approach that combines elements of both internal and external study, offering students a mix of in-person and online learning experiences</w:t>
      </w:r>
      <w:r w:rsidR="00666C18">
        <w:t>.</w:t>
      </w:r>
    </w:p>
    <w:p w14:paraId="7A36A171" w14:textId="77777777" w:rsidR="001C48B7" w:rsidRDefault="00457A04" w:rsidP="001C48B7">
      <w:pPr>
        <w:pStyle w:val="FirstParagraph"/>
        <w:numPr>
          <w:ilvl w:val="0"/>
          <w:numId w:val="8"/>
        </w:numPr>
      </w:pPr>
      <w:r>
        <w:t>External study offers significant flexibility, allowing students to study from any location and manage competing demands, such as employment or caring responsibilities.</w:t>
      </w:r>
    </w:p>
    <w:p w14:paraId="4E5EF122" w14:textId="77777777" w:rsidR="001C48B7" w:rsidRDefault="00457A04" w:rsidP="001C48B7">
      <w:pPr>
        <w:pStyle w:val="FirstParagraph"/>
        <w:numPr>
          <w:ilvl w:val="0"/>
          <w:numId w:val="8"/>
        </w:numPr>
      </w:pPr>
      <w:r>
        <w:t xml:space="preserve">Students from equity groups are more likely to </w:t>
      </w:r>
      <w:proofErr w:type="spellStart"/>
      <w:r>
        <w:t>enrol</w:t>
      </w:r>
      <w:proofErr w:type="spellEnd"/>
      <w:r>
        <w:t xml:space="preserve"> in external (off-campus) study</w:t>
      </w:r>
      <w:r w:rsidR="009D6B21">
        <w:t>, likely due to</w:t>
      </w:r>
      <w:r>
        <w:t xml:space="preserve"> its flexibility and acce</w:t>
      </w:r>
      <w:r w:rsidRPr="009D6B21">
        <w:t>ssibility</w:t>
      </w:r>
      <w:r w:rsidR="008A4827" w:rsidRPr="009D6B21">
        <w:rPr>
          <w:rStyle w:val="FootnoteReference"/>
        </w:rPr>
        <w:footnoteReference w:id="7"/>
      </w:r>
      <w:r w:rsidRPr="009D6B21">
        <w:t>.</w:t>
      </w:r>
      <w:r>
        <w:t xml:space="preserve"> However, there are notable challenges associated with external study, such as lower retention rates, reduced engagement with peers, </w:t>
      </w:r>
      <w:r w:rsidR="002A301C" w:rsidRPr="002A301C">
        <w:t>limited access to campus-based support services, and a greater risk of social and academic isolation</w:t>
      </w:r>
      <w:r w:rsidR="002A5280">
        <w:rPr>
          <w:rStyle w:val="FootnoteReference"/>
        </w:rPr>
        <w:footnoteReference w:id="8"/>
      </w:r>
      <w:r w:rsidR="002A301C" w:rsidRPr="002A301C">
        <w:t>.</w:t>
      </w:r>
    </w:p>
    <w:p w14:paraId="4CB07F37" w14:textId="77777777" w:rsidR="001C48B7" w:rsidRDefault="00457A04" w:rsidP="001C48B7">
      <w:pPr>
        <w:pStyle w:val="FirstParagraph"/>
        <w:numPr>
          <w:ilvl w:val="0"/>
          <w:numId w:val="8"/>
        </w:numPr>
      </w:pPr>
      <w:r>
        <w:t xml:space="preserve">The availability and uptake of external study options </w:t>
      </w:r>
      <w:r w:rsidR="00475D89">
        <w:t>vary</w:t>
      </w:r>
      <w:r>
        <w:t xml:space="preserve"> considerably across universities. While some universities offer limited external attendance options, others offer extensive online offerings, often in partnership with third-party providers, such as Open Universities Australia (OUA) or Online Education Services (OES).</w:t>
      </w:r>
    </w:p>
    <w:p w14:paraId="76648F9A" w14:textId="77777777" w:rsidR="001C48B7" w:rsidRDefault="00457A04" w:rsidP="001C48B7">
      <w:pPr>
        <w:pStyle w:val="FirstParagraph"/>
        <w:numPr>
          <w:ilvl w:val="0"/>
          <w:numId w:val="8"/>
        </w:numPr>
      </w:pPr>
      <w:r>
        <w:t>During the COVID-19 pandemic, almost all Australian higher education courses shifted temporarily to online delivery.</w:t>
      </w:r>
    </w:p>
    <w:p w14:paraId="5D5FDFB8" w14:textId="0C24AF45" w:rsidR="00A94FBA" w:rsidRDefault="00457A04" w:rsidP="001C48B7">
      <w:pPr>
        <w:pStyle w:val="FirstParagraph"/>
        <w:numPr>
          <w:ilvl w:val="0"/>
          <w:numId w:val="8"/>
        </w:numPr>
      </w:pPr>
      <w:r>
        <w:t>In this report, we present the mode of attendance of domestic undergraduate students over the past three years, covering the period during and after the COVID-19 pandemic.</w:t>
      </w:r>
    </w:p>
    <w:p w14:paraId="5D5FDFBA" w14:textId="3012F142" w:rsidR="00A94FBA" w:rsidRDefault="00457A04" w:rsidP="005712DA">
      <w:pPr>
        <w:pStyle w:val="Heading2"/>
      </w:pPr>
      <w:bookmarkStart w:id="5" w:name="Xebade797d99fca9ed07e7261cf33333ed567dc6"/>
      <w:bookmarkEnd w:id="4"/>
      <w:r>
        <w:lastRenderedPageBreak/>
        <w:t>Mode of attendance for all undergraduate domestic students has been relatively stable</w:t>
      </w:r>
    </w:p>
    <w:p w14:paraId="5D5FDFBB" w14:textId="42DAFB70" w:rsidR="00A94FBA" w:rsidRDefault="009F5966">
      <w:pPr>
        <w:pStyle w:val="FirstParagraph"/>
      </w:pPr>
      <w:r>
        <w:t>From</w:t>
      </w:r>
      <w:r w:rsidR="00457A04">
        <w:t xml:space="preserve"> 2021 </w:t>
      </w:r>
      <w:r>
        <w:t>to</w:t>
      </w:r>
      <w:r w:rsidR="00457A04">
        <w:t xml:space="preserve"> 2023, internal enrolment shares increased from 49.3% to 50.2%, external enrolment increased from 22.3% to 23.1%, and multi-modal enrolment decreased from 28.4% to 26.8%.</w:t>
      </w:r>
    </w:p>
    <w:p w14:paraId="5D5FDFBE" w14:textId="42D1661C" w:rsidR="00A94FBA" w:rsidRPr="001F14D7" w:rsidRDefault="00457A04" w:rsidP="001F14D7">
      <w:pPr>
        <w:pStyle w:val="ImageCaption"/>
      </w:pPr>
      <w:r w:rsidRPr="001F14D7">
        <w:t>Figure 1: Mode of attendance of domestic undergraduate students between 2021 and 2023 enrolled at Table A and B universities.</w:t>
      </w:r>
    </w:p>
    <w:p w14:paraId="078ADEEC" w14:textId="764711D7" w:rsidR="0056240C" w:rsidRDefault="0056240C" w:rsidP="001F14D7">
      <w:pPr>
        <w:pStyle w:val="ImageCaption"/>
      </w:pPr>
      <w:r>
        <w:rPr>
          <w:noProof/>
        </w:rPr>
        <w:drawing>
          <wp:inline distT="0" distB="0" distL="0" distR="0" wp14:anchorId="5D5FE022" wp14:editId="7D506E0F">
            <wp:extent cx="8500110" cy="4439920"/>
            <wp:effectExtent l="0" t="0" r="0" b="0"/>
            <wp:docPr id="29" name="Picture" descr="Figure 1: Mode of attendance of domestic undergraduate students between 2021 and 2023 enrolled at Table A and B universities. Over the three years, internal enrolment holds the greatest share of enrolment (around 50%), followed by multi-modal enrolment (around 27%) and then external enrolment (around 23%)."/>
            <wp:cNvGraphicFramePr/>
            <a:graphic xmlns:a="http://schemas.openxmlformats.org/drawingml/2006/main">
              <a:graphicData uri="http://schemas.openxmlformats.org/drawingml/2006/picture">
                <pic:pic xmlns:pic="http://schemas.openxmlformats.org/drawingml/2006/picture">
                  <pic:nvPicPr>
                    <pic:cNvPr id="29" name="Picture" descr="Figure 1: Mode of attendance of domestic undergraduate students between 2021 and 2023 enrolled at Table A and B universities. Over the three years, internal enrolment holds the greatest share of enrolment (around 50%), followed by multi-modal enrolment (around 27%) and then external enrolment (around 2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0110" cy="4439920"/>
                    </a:xfrm>
                    <a:prstGeom prst="rect">
                      <a:avLst/>
                    </a:prstGeom>
                    <a:noFill/>
                    <a:ln w="9525">
                      <a:noFill/>
                      <a:headEnd/>
                      <a:tailEnd/>
                    </a:ln>
                  </pic:spPr>
                </pic:pic>
              </a:graphicData>
            </a:graphic>
          </wp:inline>
        </w:drawing>
      </w:r>
    </w:p>
    <w:p w14:paraId="5D5FDFBF" w14:textId="77777777" w:rsidR="00A94FBA" w:rsidRDefault="00457A04" w:rsidP="005712DA">
      <w:pPr>
        <w:pStyle w:val="Heading2"/>
      </w:pPr>
      <w:bookmarkStart w:id="6" w:name="X5a2225afe9b1f01a04d5d421e7477ef1adf1a0d"/>
      <w:bookmarkEnd w:id="5"/>
      <w:r>
        <w:lastRenderedPageBreak/>
        <w:t>Lower internal enrolment shares for equity students</w:t>
      </w:r>
    </w:p>
    <w:p w14:paraId="5D5FDFC0" w14:textId="77777777" w:rsidR="00A94FBA" w:rsidRDefault="00457A04">
      <w:pPr>
        <w:pStyle w:val="FirstParagraph"/>
      </w:pPr>
      <w:r>
        <w:t>Between 2021 and 2023, the internal enrolment shares for all student equity groups were lower than the internal enrolment shares for all students. Students with disability had the highest level of internal enrolments (which increased from 2022 to 2023), while students from regional and remote areas had the lowest internal enrolment shares.</w:t>
      </w:r>
    </w:p>
    <w:p w14:paraId="5D5FDFC2" w14:textId="4C5CB8F1" w:rsidR="00A94FBA" w:rsidRDefault="00457A04" w:rsidP="001F14D7">
      <w:pPr>
        <w:pStyle w:val="ImageCaption"/>
      </w:pPr>
      <w:r>
        <w:t>Figure 2: Internal enrolment shares for all domestic undergraduate student equity groups between 2021 and 2023 at Table A and B universities.</w:t>
      </w:r>
    </w:p>
    <w:p w14:paraId="5D5FDFC3" w14:textId="3CDA14C5" w:rsidR="00A94FBA" w:rsidRDefault="0056240C">
      <w:r>
        <w:rPr>
          <w:noProof/>
        </w:rPr>
        <w:drawing>
          <wp:inline distT="0" distB="0" distL="0" distR="0" wp14:anchorId="5D5FE024" wp14:editId="38F72B99">
            <wp:extent cx="8343900" cy="4429125"/>
            <wp:effectExtent l="0" t="0" r="0" b="9525"/>
            <wp:docPr id="33" name="Picture" descr="Figure 2: Internal enrolment shares for all domestic undergraduate student equity groups between 2021 and 2023 at Table A and B universities. Overall, student equity groups had lower internal enrolment shares than all students. Out of the student equity groups, students with disability had the highest internal enrolment share (over 50%) while regional and remote students had the lowest internal enrolment shares (around 37%). Low SES students were approximately 42%, while First Nations Australian students were approximately 40%. There was a sharp increase in internal enrolment for all students and students with disability in 2023, increasing by about 5 percentage points."/>
            <wp:cNvGraphicFramePr/>
            <a:graphic xmlns:a="http://schemas.openxmlformats.org/drawingml/2006/main">
              <a:graphicData uri="http://schemas.openxmlformats.org/drawingml/2006/picture">
                <pic:pic xmlns:pic="http://schemas.openxmlformats.org/drawingml/2006/picture">
                  <pic:nvPicPr>
                    <pic:cNvPr id="33" name="Picture" descr="Figure 2: Internal enrolment shares for all domestic undergraduate student equity groups between 2021 and 2023 at Table A and B universities. Overall, student equity groups had lower internal enrolment shares than all students. Out of the student equity groups, students with disability had the highest internal enrolment share (over 50%) while regional and remote students had the lowest internal enrolment shares (around 37%). Low SES students were approximately 42%, while First Nations Australian students were approximately 40%. There was a sharp increase in internal enrolment for all students and students with disability in 2023, increasing by about 5 percentage point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343900" cy="4429125"/>
                    </a:xfrm>
                    <a:prstGeom prst="rect">
                      <a:avLst/>
                    </a:prstGeom>
                    <a:noFill/>
                    <a:ln w="9525">
                      <a:noFill/>
                      <a:headEnd/>
                      <a:tailEnd/>
                    </a:ln>
                  </pic:spPr>
                </pic:pic>
              </a:graphicData>
            </a:graphic>
          </wp:inline>
        </w:drawing>
      </w:r>
      <w:r w:rsidR="00457A04">
        <w:br w:type="page"/>
      </w:r>
    </w:p>
    <w:p w14:paraId="5D5FDFC4" w14:textId="77777777" w:rsidR="00A94FBA" w:rsidRDefault="00457A04" w:rsidP="005712DA">
      <w:pPr>
        <w:pStyle w:val="Heading2"/>
      </w:pPr>
      <w:bookmarkStart w:id="7" w:name="Xa073833485d9702959418bb9bf35e66abc800af"/>
      <w:bookmarkEnd w:id="6"/>
      <w:r>
        <w:lastRenderedPageBreak/>
        <w:t>Higher external enrolment shares for equity students</w:t>
      </w:r>
    </w:p>
    <w:p w14:paraId="5D5FDFC6" w14:textId="003EC153" w:rsidR="00A94FBA" w:rsidRDefault="00457A04" w:rsidP="0056240C">
      <w:pPr>
        <w:pStyle w:val="FirstParagraph"/>
      </w:pPr>
      <w:r>
        <w:t>Over the past three years, all equity groups had greater external (off-campus) student enrolments compared to all students. Among the equity groups, First Nations Australian students and students from regional and remote areas had the highest external enrolment, while students with disability had the lowest levels of external enrolment.</w:t>
      </w:r>
    </w:p>
    <w:p w14:paraId="5D5FDFC7" w14:textId="1A5A1ECE" w:rsidR="00A94FBA" w:rsidRDefault="00457A04" w:rsidP="001F14D7">
      <w:pPr>
        <w:pStyle w:val="ImageCaption"/>
      </w:pPr>
      <w:r>
        <w:t>Figure 3: External (off-campus) enrolment shares for equity groups between 2021 and 2023 at Table A and B universities.</w:t>
      </w:r>
    </w:p>
    <w:p w14:paraId="5D5FDFC8" w14:textId="0E5C88A6" w:rsidR="00A94FBA" w:rsidRDefault="0056240C">
      <w:r>
        <w:rPr>
          <w:noProof/>
        </w:rPr>
        <w:drawing>
          <wp:inline distT="0" distB="0" distL="0" distR="0" wp14:anchorId="5D5FE026" wp14:editId="26E84DA3">
            <wp:extent cx="8214360" cy="4542155"/>
            <wp:effectExtent l="0" t="0" r="0" b="0"/>
            <wp:docPr id="37" name="Picture" descr="Figure 3: External (off-campus) enrolment shares for equity groups between 2021 and 2023 at Table A and B universities. Student equity groups overall had a higher external enrolment rate than all students. Students from regional and remote areas as well as First Nations Australian students had the highest external enrolment share at approximately 32%. Students with disability and all students had the lowest external enrolment at approximately 20%. Low SES students were in the middle at approximately 30%. "/>
            <wp:cNvGraphicFramePr/>
            <a:graphic xmlns:a="http://schemas.openxmlformats.org/drawingml/2006/main">
              <a:graphicData uri="http://schemas.openxmlformats.org/drawingml/2006/picture">
                <pic:pic xmlns:pic="http://schemas.openxmlformats.org/drawingml/2006/picture">
                  <pic:nvPicPr>
                    <pic:cNvPr id="37" name="Picture" descr="Figure 3: External (off-campus) enrolment shares for equity groups between 2021 and 2023 at Table A and B universities. Student equity groups overall had a higher external enrolment rate than all students. Students from regional and remote areas as well as First Nations Australian students had the highest external enrolment share at approximately 32%. Students with disability and all students had the lowest external enrolment at approximately 20%. Low SES students were in the middle at approximately 30%.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214360" cy="4542155"/>
                    </a:xfrm>
                    <a:prstGeom prst="rect">
                      <a:avLst/>
                    </a:prstGeom>
                    <a:noFill/>
                    <a:ln w="9525">
                      <a:noFill/>
                      <a:headEnd/>
                      <a:tailEnd/>
                    </a:ln>
                  </pic:spPr>
                </pic:pic>
              </a:graphicData>
            </a:graphic>
          </wp:inline>
        </w:drawing>
      </w:r>
      <w:r w:rsidR="00457A04">
        <w:br w:type="page"/>
      </w:r>
    </w:p>
    <w:p w14:paraId="5D5FDFC9" w14:textId="77777777" w:rsidR="00A94FBA" w:rsidRDefault="00457A04" w:rsidP="005712DA">
      <w:pPr>
        <w:pStyle w:val="Heading2"/>
      </w:pPr>
      <w:bookmarkStart w:id="8" w:name="X84375325865f7c78c5fca879dcb4aa69c36b03e"/>
      <w:bookmarkEnd w:id="7"/>
      <w:r>
        <w:lastRenderedPageBreak/>
        <w:t>Similar multi-modal enrolment shares for equity students</w:t>
      </w:r>
    </w:p>
    <w:p w14:paraId="5D5FDFCB" w14:textId="49D89216" w:rsidR="00A94FBA" w:rsidRDefault="00457A04" w:rsidP="0056240C">
      <w:pPr>
        <w:pStyle w:val="FirstParagraph"/>
      </w:pPr>
      <w:r>
        <w:t xml:space="preserve">Multi-modal student enrolment shares were stable over the past three years, with minimal differences between equity student groups. Students with </w:t>
      </w:r>
      <w:proofErr w:type="gramStart"/>
      <w:r>
        <w:t>disability</w:t>
      </w:r>
      <w:proofErr w:type="gramEnd"/>
      <w:r>
        <w:t xml:space="preserve"> showed the largest decrease from 29.2% in 2021 to 25.9</w:t>
      </w:r>
      <w:r w:rsidR="009F5966">
        <w:t>%</w:t>
      </w:r>
      <w:r>
        <w:t xml:space="preserve"> in 2023.</w:t>
      </w:r>
    </w:p>
    <w:p w14:paraId="5D5FDFCC" w14:textId="7E3A4BAD" w:rsidR="00A94FBA" w:rsidRDefault="00457A04" w:rsidP="001F14D7">
      <w:pPr>
        <w:pStyle w:val="ImageCaption"/>
      </w:pPr>
      <w:r>
        <w:t>Figure 4: Multi-modal enrolment shares for equity groups between 2021 to 2023 at Table A and B universities.</w:t>
      </w:r>
    </w:p>
    <w:p w14:paraId="5D5FDFCD" w14:textId="2CE0C549" w:rsidR="00A94FBA" w:rsidRDefault="0056240C">
      <w:r>
        <w:rPr>
          <w:noProof/>
        </w:rPr>
        <w:drawing>
          <wp:inline distT="0" distB="0" distL="0" distR="0" wp14:anchorId="5D5FE028" wp14:editId="2F6A9524">
            <wp:extent cx="8124825" cy="4391025"/>
            <wp:effectExtent l="0" t="0" r="9525" b="9525"/>
            <wp:docPr id="41" name="Picture" descr="Figure 4: Multi-modal enrolment shares for equity groups between 2021 to 2023 at Table A and B universities. Multi-modal enrolment is extremely similar over the different student equity groups, with students from regional and remote areas having the highest multi-modal enrolment. Shares for all groups were al between 25% and 31%. "/>
            <wp:cNvGraphicFramePr/>
            <a:graphic xmlns:a="http://schemas.openxmlformats.org/drawingml/2006/main">
              <a:graphicData uri="http://schemas.openxmlformats.org/drawingml/2006/picture">
                <pic:pic xmlns:pic="http://schemas.openxmlformats.org/drawingml/2006/picture">
                  <pic:nvPicPr>
                    <pic:cNvPr id="41" name="Picture" descr="Figure 4: Multi-modal enrolment shares for equity groups between 2021 to 2023 at Table A and B universities. Multi-modal enrolment is extremely similar over the different student equity groups, with students from regional and remote areas having the highest multi-modal enrolment. Shares for all groups were al between 25% and 31%.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124825" cy="4391025"/>
                    </a:xfrm>
                    <a:prstGeom prst="rect">
                      <a:avLst/>
                    </a:prstGeom>
                    <a:noFill/>
                    <a:ln w="9525">
                      <a:noFill/>
                      <a:headEnd/>
                      <a:tailEnd/>
                    </a:ln>
                  </pic:spPr>
                </pic:pic>
              </a:graphicData>
            </a:graphic>
          </wp:inline>
        </w:drawing>
      </w:r>
      <w:r w:rsidR="00457A04">
        <w:br w:type="page"/>
      </w:r>
    </w:p>
    <w:p w14:paraId="5D5FDFCE" w14:textId="6C732183" w:rsidR="00A94FBA" w:rsidRDefault="00457A04" w:rsidP="005712DA">
      <w:pPr>
        <w:pStyle w:val="Heading2"/>
      </w:pPr>
      <w:bookmarkStart w:id="9" w:name="X710ae287a2593522c310c8d155e0e19012f743e"/>
      <w:bookmarkEnd w:id="8"/>
      <w:r>
        <w:lastRenderedPageBreak/>
        <w:t>Positive correlation between participation shares and external enrolment shares of First Nations Australian students</w:t>
      </w:r>
    </w:p>
    <w:p w14:paraId="7C0FAD3F" w14:textId="77777777" w:rsidR="00F14542" w:rsidRDefault="00F14542" w:rsidP="001F14D7">
      <w:pPr>
        <w:pStyle w:val="ImageCaption"/>
      </w:pPr>
      <w:r>
        <w:t>Figure 5: Relationship between institutional participation shares and external student enrolment shares for First Nations Australian students at Table A and B universities.</w:t>
      </w:r>
    </w:p>
    <w:p w14:paraId="5D5FDFCF" w14:textId="7D57F242" w:rsidR="00A94FBA" w:rsidRDefault="0056240C">
      <w:pPr>
        <w:pStyle w:val="CaptionedFigure"/>
      </w:pPr>
      <w:r>
        <w:rPr>
          <w:noProof/>
        </w:rPr>
        <w:drawing>
          <wp:inline distT="0" distB="0" distL="0" distR="0" wp14:anchorId="5D5FE02A" wp14:editId="4DA20A94">
            <wp:extent cx="7945575" cy="4048125"/>
            <wp:effectExtent l="0" t="0" r="0" b="0"/>
            <wp:docPr id="45" name="Picture" descr="Figure 5: Relationship between institutional participation shares and external student enrolment shares for First Nations Australian students at Table A and B universities. There is a moderately strong positive correlation of 0.45 between the participation shares of First Nations Australian students and the external enrolment share of First Nations Australian students, with many institutions sitting at approximately a external enrolment share of 15% and a participation share between 0 and 3%."/>
            <wp:cNvGraphicFramePr/>
            <a:graphic xmlns:a="http://schemas.openxmlformats.org/drawingml/2006/main">
              <a:graphicData uri="http://schemas.openxmlformats.org/drawingml/2006/picture">
                <pic:pic xmlns:pic="http://schemas.openxmlformats.org/drawingml/2006/picture">
                  <pic:nvPicPr>
                    <pic:cNvPr id="45" name="Picture" descr="Figure 5: Relationship between institutional participation shares and external student enrolment shares for First Nations Australian students at Table A and B universities. There is a moderately strong positive correlation of 0.45 between the participation shares of First Nations Australian students and the external enrolment share of First Nations Australian students, with many institutions sitting at approximately a external enrolment share of 15% and a participation share between 0 and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952888" cy="4051851"/>
                    </a:xfrm>
                    <a:prstGeom prst="rect">
                      <a:avLst/>
                    </a:prstGeom>
                    <a:noFill/>
                    <a:ln w="9525">
                      <a:noFill/>
                      <a:headEnd/>
                      <a:tailEnd/>
                    </a:ln>
                  </pic:spPr>
                </pic:pic>
              </a:graphicData>
            </a:graphic>
          </wp:inline>
        </w:drawing>
      </w:r>
    </w:p>
    <w:p w14:paraId="5D5FDFD1" w14:textId="77777777" w:rsidR="00A94FBA" w:rsidRDefault="00457A04">
      <w:r>
        <w:br w:type="page"/>
      </w:r>
    </w:p>
    <w:p w14:paraId="5D5FDFD2" w14:textId="437B4E2E" w:rsidR="00A94FBA" w:rsidRDefault="00457A04" w:rsidP="005712DA">
      <w:pPr>
        <w:pStyle w:val="Heading2"/>
      </w:pPr>
      <w:bookmarkStart w:id="10" w:name="Xa44ceae6bb98b6159ea769d961f50b72c7cbc2a"/>
      <w:bookmarkEnd w:id="9"/>
      <w:r>
        <w:lastRenderedPageBreak/>
        <w:t>No correlation between participation shares and external enrolment shares of students with disability</w:t>
      </w:r>
    </w:p>
    <w:p w14:paraId="2F40C103" w14:textId="77777777" w:rsidR="00F14542" w:rsidRDefault="00F14542" w:rsidP="001F14D7">
      <w:pPr>
        <w:pStyle w:val="ImageCaption"/>
      </w:pPr>
      <w:r>
        <w:t>Figure 6: Relationship between institutional participation shares and external student enrolment shares for students with disability at Table A and Table B universities.</w:t>
      </w:r>
    </w:p>
    <w:p w14:paraId="5D5FDFD3" w14:textId="77777777" w:rsidR="00A94FBA" w:rsidRDefault="00457A04">
      <w:pPr>
        <w:pStyle w:val="CaptionedFigure"/>
      </w:pPr>
      <w:r>
        <w:rPr>
          <w:noProof/>
        </w:rPr>
        <w:drawing>
          <wp:inline distT="0" distB="0" distL="0" distR="0" wp14:anchorId="5D5FE02C" wp14:editId="178A9841">
            <wp:extent cx="8020050" cy="4429125"/>
            <wp:effectExtent l="0" t="0" r="0" b="9525"/>
            <wp:docPr id="49" name="Picture" descr="Figure 6: Relationship between institutional participation shares and external student enrolment shares for students with disability at Table A and Table B universities. Graph shows a random scatter of points, and It is clear that there is no correlation between the participation shares and external enrolment shares of students with disability, resulting in a correlation coefficient of 0.02. "/>
            <wp:cNvGraphicFramePr/>
            <a:graphic xmlns:a="http://schemas.openxmlformats.org/drawingml/2006/main">
              <a:graphicData uri="http://schemas.openxmlformats.org/drawingml/2006/picture">
                <pic:pic xmlns:pic="http://schemas.openxmlformats.org/drawingml/2006/picture">
                  <pic:nvPicPr>
                    <pic:cNvPr id="49" name="Picture" descr="Figure 6: Relationship between institutional participation shares and external student enrolment shares for students with disability at Table A and Table B universities. Graph shows a random scatter of points, and It is clear that there is no correlation between the participation shares and external enrolment shares of students with disability, resulting in a correlation coefficient of 0.02. "/>
                    <pic:cNvPicPr>
                      <a:picLocks noChangeAspect="1" noChangeArrowheads="1"/>
                    </pic:cNvPicPr>
                  </pic:nvPicPr>
                  <pic:blipFill>
                    <a:blip r:embed="rId14"/>
                    <a:stretch>
                      <a:fillRect/>
                    </a:stretch>
                  </pic:blipFill>
                  <pic:spPr bwMode="auto">
                    <a:xfrm>
                      <a:off x="0" y="0"/>
                      <a:ext cx="8021068" cy="4429687"/>
                    </a:xfrm>
                    <a:prstGeom prst="rect">
                      <a:avLst/>
                    </a:prstGeom>
                    <a:noFill/>
                    <a:ln w="9525">
                      <a:noFill/>
                      <a:headEnd/>
                      <a:tailEnd/>
                    </a:ln>
                  </pic:spPr>
                </pic:pic>
              </a:graphicData>
            </a:graphic>
          </wp:inline>
        </w:drawing>
      </w:r>
    </w:p>
    <w:p w14:paraId="5D5FDFD5" w14:textId="77777777" w:rsidR="00A94FBA" w:rsidRDefault="00457A04">
      <w:r>
        <w:br w:type="page"/>
      </w:r>
    </w:p>
    <w:p w14:paraId="5D5FDFD6" w14:textId="3DCED983" w:rsidR="00A94FBA" w:rsidRDefault="00457A04" w:rsidP="005712DA">
      <w:pPr>
        <w:pStyle w:val="Heading2"/>
      </w:pPr>
      <w:bookmarkStart w:id="11" w:name="Xaa8b6631c7ace42eb06825e0e7bdcca349a8d97"/>
      <w:bookmarkEnd w:id="10"/>
      <w:r>
        <w:lastRenderedPageBreak/>
        <w:t>Positive correlation between participation shares and external enrolment shares of students from low SES areas</w:t>
      </w:r>
    </w:p>
    <w:p w14:paraId="7263A0BE" w14:textId="6FDFB2BB" w:rsidR="00F14542" w:rsidRPr="00F14542" w:rsidRDefault="00F14542" w:rsidP="001F14D7">
      <w:pPr>
        <w:pStyle w:val="ImageCaption"/>
      </w:pPr>
      <w:r>
        <w:t>Figure 7: Relationship between institutional participation shares and external student enrolment shares for students from low SES areas at Table A and B universities.</w:t>
      </w:r>
    </w:p>
    <w:p w14:paraId="5D5FDFD7" w14:textId="77777777" w:rsidR="00A94FBA" w:rsidRDefault="00457A04" w:rsidP="009928C4">
      <w:pPr>
        <w:pStyle w:val="BodyText"/>
      </w:pPr>
      <w:r>
        <w:rPr>
          <w:noProof/>
        </w:rPr>
        <w:drawing>
          <wp:inline distT="0" distB="0" distL="0" distR="0" wp14:anchorId="5D5FE02E" wp14:editId="28E86149">
            <wp:extent cx="7762205" cy="4276725"/>
            <wp:effectExtent l="0" t="0" r="0" b="0"/>
            <wp:docPr id="53" name="Picture" descr="Figure 7: Relationship between institutional participation shares and external student enrolment shares for students from low SES areas at Table A and B universities. There is a moderately strong positive correlation between participation share and external student enrolment rate of students from low SES areas with a correlation coefficient of 0.56. "/>
            <wp:cNvGraphicFramePr/>
            <a:graphic xmlns:a="http://schemas.openxmlformats.org/drawingml/2006/main">
              <a:graphicData uri="http://schemas.openxmlformats.org/drawingml/2006/picture">
                <pic:pic xmlns:pic="http://schemas.openxmlformats.org/drawingml/2006/picture">
                  <pic:nvPicPr>
                    <pic:cNvPr id="53" name="Picture" descr="Figure 7: Relationship between institutional participation shares and external student enrolment shares for students from low SES areas at Table A and B universities. There is a moderately strong positive correlation between participation share and external student enrolment rate of students from low SES areas with a correlation coefficient of 0.56. "/>
                    <pic:cNvPicPr>
                      <a:picLocks noChangeAspect="1" noChangeArrowheads="1"/>
                    </pic:cNvPicPr>
                  </pic:nvPicPr>
                  <pic:blipFill>
                    <a:blip r:embed="rId15"/>
                    <a:stretch>
                      <a:fillRect/>
                    </a:stretch>
                  </pic:blipFill>
                  <pic:spPr bwMode="auto">
                    <a:xfrm>
                      <a:off x="0" y="0"/>
                      <a:ext cx="7787409" cy="4290612"/>
                    </a:xfrm>
                    <a:prstGeom prst="rect">
                      <a:avLst/>
                    </a:prstGeom>
                    <a:noFill/>
                    <a:ln w="9525">
                      <a:noFill/>
                      <a:headEnd/>
                      <a:tailEnd/>
                    </a:ln>
                  </pic:spPr>
                </pic:pic>
              </a:graphicData>
            </a:graphic>
          </wp:inline>
        </w:drawing>
      </w:r>
    </w:p>
    <w:p w14:paraId="5D5FDFDA" w14:textId="6E54946C" w:rsidR="00A94FBA" w:rsidRDefault="00457A04" w:rsidP="005712DA">
      <w:pPr>
        <w:pStyle w:val="Heading2"/>
      </w:pPr>
      <w:bookmarkStart w:id="12" w:name="X6874824408372653695fccc4a0ac3460428420c"/>
      <w:bookmarkEnd w:id="11"/>
      <w:r>
        <w:lastRenderedPageBreak/>
        <w:t xml:space="preserve">Positive correlation between participation </w:t>
      </w:r>
      <w:proofErr w:type="gramStart"/>
      <w:r>
        <w:t>share</w:t>
      </w:r>
      <w:proofErr w:type="gramEnd"/>
      <w:r>
        <w:t xml:space="preserve"> and external enrolment share of students from regional and remote areas</w:t>
      </w:r>
    </w:p>
    <w:p w14:paraId="382635F7" w14:textId="77777777" w:rsidR="00F14542" w:rsidRDefault="00F14542" w:rsidP="001F14D7">
      <w:pPr>
        <w:pStyle w:val="ImageCaption"/>
      </w:pPr>
      <w:r>
        <w:t>Figure 8: Relationship between institutional participation rate and external student enrolment for regional and remote students at Table A and B universities.</w:t>
      </w:r>
    </w:p>
    <w:p w14:paraId="5D5FDFDB" w14:textId="77777777" w:rsidR="00A94FBA" w:rsidRDefault="00457A04" w:rsidP="009928C4">
      <w:pPr>
        <w:pStyle w:val="BodyText"/>
      </w:pPr>
      <w:r>
        <w:rPr>
          <w:noProof/>
        </w:rPr>
        <w:drawing>
          <wp:inline distT="0" distB="0" distL="0" distR="0" wp14:anchorId="5D5FE030" wp14:editId="506B4BFF">
            <wp:extent cx="8124825" cy="4315050"/>
            <wp:effectExtent l="0" t="0" r="0" b="9525"/>
            <wp:docPr id="57" name="Picture" descr="Figure 8: Relationship between institutional participation rate and external student enrolment for regional and remote students at Table A and B universities. There is a positive correlation between the participation share and external enrolment share of students from regional and remote areas with a correlation coefficient of 0.44. "/>
            <wp:cNvGraphicFramePr/>
            <a:graphic xmlns:a="http://schemas.openxmlformats.org/drawingml/2006/main">
              <a:graphicData uri="http://schemas.openxmlformats.org/drawingml/2006/picture">
                <pic:pic xmlns:pic="http://schemas.openxmlformats.org/drawingml/2006/picture">
                  <pic:nvPicPr>
                    <pic:cNvPr id="57" name="Picture" descr="Figure 8: Relationship between institutional participation rate and external student enrolment for regional and remote students at Table A and B universities. There is a positive correlation between the participation share and external enrolment share of students from regional and remote areas with a correlation coefficient of 0.44. "/>
                    <pic:cNvPicPr>
                      <a:picLocks noChangeAspect="1" noChangeArrowheads="1"/>
                    </pic:cNvPicPr>
                  </pic:nvPicPr>
                  <pic:blipFill>
                    <a:blip r:embed="rId16"/>
                    <a:stretch>
                      <a:fillRect/>
                    </a:stretch>
                  </pic:blipFill>
                  <pic:spPr bwMode="auto">
                    <a:xfrm>
                      <a:off x="0" y="0"/>
                      <a:ext cx="8140934" cy="4323605"/>
                    </a:xfrm>
                    <a:prstGeom prst="rect">
                      <a:avLst/>
                    </a:prstGeom>
                    <a:noFill/>
                    <a:ln w="9525">
                      <a:noFill/>
                      <a:headEnd/>
                      <a:tailEnd/>
                    </a:ln>
                  </pic:spPr>
                </pic:pic>
              </a:graphicData>
            </a:graphic>
          </wp:inline>
        </w:drawing>
      </w:r>
    </w:p>
    <w:p w14:paraId="5D5FDFDE" w14:textId="6F39F22C" w:rsidR="00A94FBA" w:rsidRDefault="00457A04" w:rsidP="005712DA">
      <w:pPr>
        <w:pStyle w:val="Heading2"/>
      </w:pPr>
      <w:bookmarkStart w:id="13" w:name="X92c06d72629115d41d1c56b589c8c4944cd9cb4"/>
      <w:bookmarkEnd w:id="12"/>
      <w:r>
        <w:lastRenderedPageBreak/>
        <w:t xml:space="preserve">All Group of Eight universities had very low external enrolment shares </w:t>
      </w:r>
    </w:p>
    <w:p w14:paraId="5D5FDFDF" w14:textId="0DCB0225" w:rsidR="00A94FBA" w:rsidRDefault="00F14542" w:rsidP="001F14D7">
      <w:pPr>
        <w:pStyle w:val="ImageCaption"/>
      </w:pPr>
      <w:r>
        <w:t xml:space="preserve">Figure 9: External student enrolment for each equity group within the Group of Eight </w:t>
      </w:r>
      <w:proofErr w:type="gramStart"/>
      <w:r>
        <w:t>universities</w:t>
      </w:r>
      <w:proofErr w:type="gramEnd"/>
      <w:r>
        <w:t xml:space="preserve">. The black cross and </w:t>
      </w:r>
      <w:r w:rsidR="00063C12">
        <w:br/>
      </w:r>
      <w:r>
        <w:t xml:space="preserve">black line represent the external enrolment share for all students within the university, and the equity group shares are presented </w:t>
      </w:r>
      <w:r w:rsidR="00063C12">
        <w:br/>
      </w:r>
      <w:r>
        <w:t xml:space="preserve">as </w:t>
      </w:r>
      <w:proofErr w:type="spellStart"/>
      <w:r>
        <w:t>coloured</w:t>
      </w:r>
      <w:proofErr w:type="spellEnd"/>
      <w:r w:rsidR="00A23BAE">
        <w:t>.</w:t>
      </w:r>
      <w:r>
        <w:t xml:space="preserve"> shapes. </w:t>
      </w:r>
      <w:r w:rsidR="00457A04">
        <w:rPr>
          <w:noProof/>
        </w:rPr>
        <w:drawing>
          <wp:inline distT="0" distB="0" distL="0" distR="0" wp14:anchorId="5D5FE032" wp14:editId="63F8A1E9">
            <wp:extent cx="8360924" cy="4689043"/>
            <wp:effectExtent l="0" t="0" r="2540" b="0"/>
            <wp:docPr id="61" name="Picture" descr="Figure 9: External student enrolment for each equity group within the Group of Eight universities. The black cross and black line represent the external enrolment share for all students within the university, and the equity group shares are presented as coloured shapes. All institutions in the Group of Eight had extremely low external enrolment shares in 2023, where all student equity groups of all institutions have an external enrolment share below 12%. "/>
            <wp:cNvGraphicFramePr/>
            <a:graphic xmlns:a="http://schemas.openxmlformats.org/drawingml/2006/main">
              <a:graphicData uri="http://schemas.openxmlformats.org/drawingml/2006/picture">
                <pic:pic xmlns:pic="http://schemas.openxmlformats.org/drawingml/2006/picture">
                  <pic:nvPicPr>
                    <pic:cNvPr id="61" name="Picture" descr="Figure 9: External student enrolment for each equity group within the Group of Eight universities. The black cross and black line represent the external enrolment share for all students within the university, and the equity group shares are presented as coloured shapes. All institutions in the Group of Eight had extremely low external enrolment shares in 2023, where all student equity groups of all institutions have an external enrolment share below 12%. "/>
                    <pic:cNvPicPr>
                      <a:picLocks noChangeAspect="1" noChangeArrowheads="1"/>
                    </pic:cNvPicPr>
                  </pic:nvPicPr>
                  <pic:blipFill>
                    <a:blip r:embed="rId17"/>
                    <a:stretch>
                      <a:fillRect/>
                    </a:stretch>
                  </pic:blipFill>
                  <pic:spPr bwMode="auto">
                    <a:xfrm>
                      <a:off x="0" y="0"/>
                      <a:ext cx="8445885" cy="4736692"/>
                    </a:xfrm>
                    <a:prstGeom prst="rect">
                      <a:avLst/>
                    </a:prstGeom>
                    <a:noFill/>
                    <a:ln w="9525">
                      <a:noFill/>
                      <a:headEnd/>
                      <a:tailEnd/>
                    </a:ln>
                  </pic:spPr>
                </pic:pic>
              </a:graphicData>
            </a:graphic>
          </wp:inline>
        </w:drawing>
      </w:r>
    </w:p>
    <w:p w14:paraId="20567E7E" w14:textId="09754610" w:rsidR="00A929C3" w:rsidRPr="00A929C3" w:rsidRDefault="00457A04" w:rsidP="005712DA">
      <w:pPr>
        <w:pStyle w:val="Heading2"/>
        <w:rPr>
          <w:lang w:val="en-AU"/>
        </w:rPr>
      </w:pPr>
      <w:bookmarkStart w:id="14" w:name="Xc98b90ae127822cded801ec3288b8a169f2b98b"/>
      <w:bookmarkEnd w:id="13"/>
      <w:r>
        <w:lastRenderedPageBreak/>
        <w:t>Australian Technology Network universities showed substantial variation in external enrolment shares across institutions</w:t>
      </w:r>
      <w:r w:rsidR="00A929C3">
        <w:t xml:space="preserve">, </w:t>
      </w:r>
      <w:r w:rsidR="00A929C3" w:rsidRPr="00A929C3">
        <w:rPr>
          <w:lang w:val="en-AU"/>
        </w:rPr>
        <w:t xml:space="preserve">with all equity groups generally having higher external enrolment </w:t>
      </w:r>
    </w:p>
    <w:p w14:paraId="5A0E896E" w14:textId="77777777" w:rsidR="00924043" w:rsidRDefault="007755CB" w:rsidP="00924043">
      <w:pPr>
        <w:pStyle w:val="ImageCaption"/>
        <w:rPr>
          <w:noProof/>
        </w:rPr>
      </w:pPr>
      <w:r>
        <w:t>Figure 10: External enrolment shares for each equity group within the Australian Technology Network universities. The black cross and black line represent the external enrolment share for all students within the university, and the equity group shares are presented as</w:t>
      </w:r>
      <w:r w:rsidR="009F0E8C">
        <w:t xml:space="preserve"> </w:t>
      </w:r>
      <w:proofErr w:type="spellStart"/>
      <w:r>
        <w:t>coloured</w:t>
      </w:r>
      <w:proofErr w:type="spellEnd"/>
      <w:r>
        <w:t xml:space="preserve"> shapes.</w:t>
      </w:r>
    </w:p>
    <w:p w14:paraId="5D5FDFE5" w14:textId="7ABB3A44" w:rsidR="00A94FBA" w:rsidRDefault="00924043" w:rsidP="007755CB">
      <w:pPr>
        <w:pStyle w:val="BodyText"/>
      </w:pPr>
      <w:r>
        <w:rPr>
          <w:noProof/>
        </w:rPr>
        <w:drawing>
          <wp:inline distT="0" distB="0" distL="0" distR="0" wp14:anchorId="7BB745D3" wp14:editId="0B802D1F">
            <wp:extent cx="7235568" cy="3810000"/>
            <wp:effectExtent l="0" t="0" r="3810" b="0"/>
            <wp:docPr id="65" name="Picture" descr="Figure 10: External enrolment shares for each equity group within the Australian Technology Network universities. The black cross and black line represent the external enrolment share for all students within the university, and the equity group shares are presented as coloured shapes. There is significant variation in institutional external enrolment. Curtin, Deakin and UniSA have higher external enrolments than the others. Student equity groups had higher external enrolment shares than 'all students'. Specifically, First Nations Australian and regional and remote students had higher external enrolment shares than the other student equity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descr="Figure 10: External enrolment shares for each equity group within the Australian Technology Network universities. The black cross and black line represent the external enrolment share for all students within the university, and the equity group shares are presented as coloured shapes. There is significant variation in institutional external enrolment. Curtin, Deakin and UniSA have higher external enrolments than the others. Student equity groups had higher external enrolment shares than 'all students'. Specifically, First Nations Australian and regional and remote students had higher external enrolment shares than the other student equity groups. "/>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200" b="4077"/>
                    <a:stretch/>
                  </pic:blipFill>
                  <pic:spPr bwMode="auto">
                    <a:xfrm>
                      <a:off x="0" y="0"/>
                      <a:ext cx="7247336" cy="3816196"/>
                    </a:xfrm>
                    <a:prstGeom prst="rect">
                      <a:avLst/>
                    </a:prstGeom>
                    <a:noFill/>
                    <a:ln>
                      <a:noFill/>
                    </a:ln>
                    <a:extLst>
                      <a:ext uri="{53640926-AAD7-44D8-BBD7-CCE9431645EC}">
                        <a14:shadowObscured xmlns:a14="http://schemas.microsoft.com/office/drawing/2010/main"/>
                      </a:ext>
                    </a:extLst>
                  </pic:spPr>
                </pic:pic>
              </a:graphicData>
            </a:graphic>
          </wp:inline>
        </w:drawing>
      </w:r>
      <w:r w:rsidR="00457A04">
        <w:br w:type="page"/>
      </w:r>
    </w:p>
    <w:p w14:paraId="5D5FDFE6" w14:textId="26DA2514" w:rsidR="00A94FBA" w:rsidRDefault="00457A04" w:rsidP="005712DA">
      <w:pPr>
        <w:pStyle w:val="Heading2"/>
      </w:pPr>
      <w:bookmarkStart w:id="15" w:name="Xa9b9b2632d8d459ce0ce3207fdcd975709223a0"/>
      <w:bookmarkEnd w:id="14"/>
      <w:r>
        <w:lastRenderedPageBreak/>
        <w:t xml:space="preserve">Innovative Research Universities had similar levels of external enrolment, with equity groups having </w:t>
      </w:r>
      <w:r w:rsidR="0052023A">
        <w:t>higher</w:t>
      </w:r>
      <w:r>
        <w:t xml:space="preserve"> external enrolment </w:t>
      </w:r>
    </w:p>
    <w:p w14:paraId="681A9F8B" w14:textId="04B90FE8" w:rsidR="007755CB" w:rsidRDefault="007755CB" w:rsidP="001F14D7">
      <w:pPr>
        <w:pStyle w:val="ImageCaption"/>
      </w:pPr>
      <w:r>
        <w:t xml:space="preserve">Figure 11: External enrolment shares for each equity group within the Innovative Research Universities. The black cross and </w:t>
      </w:r>
      <w:r w:rsidR="00063C12">
        <w:br/>
      </w:r>
      <w:r>
        <w:t xml:space="preserve">black line represent the external enrolment share for all students within the university, and the equity group shares are presented </w:t>
      </w:r>
      <w:r w:rsidR="00063C12">
        <w:br/>
      </w:r>
      <w:r>
        <w:t xml:space="preserve">as </w:t>
      </w:r>
      <w:proofErr w:type="spellStart"/>
      <w:r>
        <w:t>coloured</w:t>
      </w:r>
      <w:proofErr w:type="spellEnd"/>
      <w:r>
        <w:t xml:space="preserve"> shapes.</w:t>
      </w:r>
    </w:p>
    <w:p w14:paraId="5D5FDFE7" w14:textId="77777777" w:rsidR="00A94FBA" w:rsidRDefault="00457A04" w:rsidP="00282023">
      <w:pPr>
        <w:pStyle w:val="BodyText"/>
      </w:pPr>
      <w:r>
        <w:rPr>
          <w:noProof/>
        </w:rPr>
        <w:drawing>
          <wp:inline distT="0" distB="0" distL="0" distR="0" wp14:anchorId="5D5FE036" wp14:editId="7EF660BF">
            <wp:extent cx="7961956" cy="4162425"/>
            <wp:effectExtent l="0" t="0" r="1270" b="0"/>
            <wp:docPr id="69" name="Picture" descr="Figure 11: External enrolment shares for each equity group within the Innovative Research Universities. The black cross and black line represent the external enrolment share for all students within the university, and the equity group shares are presented as coloured shapes. Institutions generally had similar external enrolment shares in the Innovative Research Universities, apart from University of Canberra which was essentially 0. For all other universities, student equity groups generally had greater external enrolment shares when compared to all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descr="Figure 11: External enrolment shares for each equity group within the Innovative Research Universities. The black cross and black line represent the external enrolment share for all students within the university, and the equity group shares are presented as coloured shapes. Institutions generally had similar external enrolment shares in the Innovative Research Universities, apart from University of Canberra which was essentially 0. For all other universities, student equity groups generally had greater external enrolment shares when compared to all students. "/>
                    <pic:cNvPicPr>
                      <a:picLocks noChangeAspect="1" noChangeArrowheads="1"/>
                    </pic:cNvPicPr>
                  </pic:nvPicPr>
                  <pic:blipFill rotWithShape="1">
                    <a:blip r:embed="rId19"/>
                    <a:srcRect t="4526" b="4267"/>
                    <a:stretch/>
                  </pic:blipFill>
                  <pic:spPr bwMode="auto">
                    <a:xfrm>
                      <a:off x="0" y="0"/>
                      <a:ext cx="7982196" cy="4173006"/>
                    </a:xfrm>
                    <a:prstGeom prst="rect">
                      <a:avLst/>
                    </a:prstGeom>
                    <a:noFill/>
                    <a:ln>
                      <a:noFill/>
                    </a:ln>
                    <a:extLst>
                      <a:ext uri="{53640926-AAD7-44D8-BBD7-CCE9431645EC}">
                        <a14:shadowObscured xmlns:a14="http://schemas.microsoft.com/office/drawing/2010/main"/>
                      </a:ext>
                    </a:extLst>
                  </pic:spPr>
                </pic:pic>
              </a:graphicData>
            </a:graphic>
          </wp:inline>
        </w:drawing>
      </w:r>
    </w:p>
    <w:p w14:paraId="5D5FDFEA" w14:textId="77777777" w:rsidR="00A94FBA" w:rsidRDefault="00457A04" w:rsidP="005712DA">
      <w:pPr>
        <w:pStyle w:val="Heading2"/>
      </w:pPr>
      <w:bookmarkStart w:id="16" w:name="Xc1f82e5ea400405a0a11db240e7d46dc7372a01"/>
      <w:bookmarkEnd w:id="15"/>
      <w:r>
        <w:lastRenderedPageBreak/>
        <w:t>Within the Regional University Network, there was substantial variation in external enrolment shares across universities</w:t>
      </w:r>
    </w:p>
    <w:p w14:paraId="2FC68CA6" w14:textId="002D118A" w:rsidR="001B27D9" w:rsidRDefault="001B27D9" w:rsidP="001F14D7">
      <w:pPr>
        <w:pStyle w:val="ImageCaption"/>
      </w:pPr>
      <w:r>
        <w:t xml:space="preserve">Figure 12: External enrolment shares for each equity group within the Regional University Network. The black cross and </w:t>
      </w:r>
      <w:r w:rsidR="00063C12">
        <w:br/>
      </w:r>
      <w:r>
        <w:t xml:space="preserve">black line represent the external enrolment share for all students within the university, and the equity group shares are presented </w:t>
      </w:r>
      <w:r w:rsidR="00063C12">
        <w:br/>
      </w:r>
      <w:r>
        <w:t xml:space="preserve">as </w:t>
      </w:r>
      <w:proofErr w:type="spellStart"/>
      <w:r>
        <w:t>coloured</w:t>
      </w:r>
      <w:proofErr w:type="spellEnd"/>
      <w:r>
        <w:t xml:space="preserve"> shapes.</w:t>
      </w:r>
    </w:p>
    <w:p w14:paraId="5D5FDFEB" w14:textId="77777777" w:rsidR="00A94FBA" w:rsidRDefault="00457A04" w:rsidP="00282023">
      <w:pPr>
        <w:pStyle w:val="BodyText"/>
      </w:pPr>
      <w:r>
        <w:rPr>
          <w:noProof/>
        </w:rPr>
        <w:drawing>
          <wp:inline distT="0" distB="0" distL="0" distR="0" wp14:anchorId="5D5FE038" wp14:editId="311D851D">
            <wp:extent cx="8176709" cy="4219575"/>
            <wp:effectExtent l="0" t="0" r="0" b="0"/>
            <wp:docPr id="73" name="Picture" descr="Figure 12: External enrolment shares for each equity group within the Regional University Network. The black cross and black line represent the external enrolment share for all students within the university, and the equity group shares are presented as coloured shapes. There was substantial variation across the institutions in the RUN. Overall, all students tended to be the middle of the student equity group external enrolment rate. Across the RUN institutions, First Nations Australian students had the highest external enrolment r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descr="Figure 12: External enrolment shares for each equity group within the Regional University Network. The black cross and black line represent the external enrolment share for all students within the university, and the equity group shares are presented as coloured shapes. There was substantial variation across the institutions in the RUN. Overall, all students tended to be the middle of the student equity group external enrolment rate. Across the RUN institutions, First Nations Australian students had the highest external enrolment rate. "/>
                    <pic:cNvPicPr>
                      <a:picLocks noChangeAspect="1" noChangeArrowheads="1"/>
                    </pic:cNvPicPr>
                  </pic:nvPicPr>
                  <pic:blipFill rotWithShape="1">
                    <a:blip r:embed="rId20"/>
                    <a:srcRect t="3301" b="3825"/>
                    <a:stretch/>
                  </pic:blipFill>
                  <pic:spPr bwMode="auto">
                    <a:xfrm>
                      <a:off x="0" y="0"/>
                      <a:ext cx="8214023" cy="4238831"/>
                    </a:xfrm>
                    <a:prstGeom prst="rect">
                      <a:avLst/>
                    </a:prstGeom>
                    <a:noFill/>
                    <a:ln>
                      <a:noFill/>
                    </a:ln>
                    <a:extLst>
                      <a:ext uri="{53640926-AAD7-44D8-BBD7-CCE9431645EC}">
                        <a14:shadowObscured xmlns:a14="http://schemas.microsoft.com/office/drawing/2010/main"/>
                      </a:ext>
                    </a:extLst>
                  </pic:spPr>
                </pic:pic>
              </a:graphicData>
            </a:graphic>
          </wp:inline>
        </w:drawing>
      </w:r>
    </w:p>
    <w:p w14:paraId="5D5FDFEE" w14:textId="0A62E190" w:rsidR="00A94FBA" w:rsidRDefault="00457A04" w:rsidP="005712DA">
      <w:pPr>
        <w:pStyle w:val="Heading2"/>
      </w:pPr>
      <w:bookmarkStart w:id="17" w:name="Xbab2dd6d4194b38a6739999d50efc9df8ad0763"/>
      <w:bookmarkEnd w:id="16"/>
      <w:r>
        <w:lastRenderedPageBreak/>
        <w:t>Across the non-aligned universities, there was large variation in external enrolment shares</w:t>
      </w:r>
    </w:p>
    <w:p w14:paraId="2EB0EBD0" w14:textId="77777777" w:rsidR="00092149" w:rsidRDefault="00092149" w:rsidP="001F14D7">
      <w:pPr>
        <w:pStyle w:val="ImageCaption"/>
      </w:pPr>
      <w:r>
        <w:t xml:space="preserve">Figure 13: External enrolment shares for each equity group for non-aligned institutions. The black cross and black line represent the external enrolment share for all students within the university, and the equity group shares are presented as </w:t>
      </w:r>
      <w:proofErr w:type="spellStart"/>
      <w:r>
        <w:t>coloured</w:t>
      </w:r>
      <w:proofErr w:type="spellEnd"/>
      <w:r>
        <w:t xml:space="preserve"> shapes.</w:t>
      </w:r>
    </w:p>
    <w:p w14:paraId="5D5FDFEF" w14:textId="77777777" w:rsidR="00A94FBA" w:rsidRDefault="00457A04" w:rsidP="00282023">
      <w:pPr>
        <w:pStyle w:val="BodyText"/>
      </w:pPr>
      <w:r>
        <w:rPr>
          <w:noProof/>
        </w:rPr>
        <w:drawing>
          <wp:inline distT="0" distB="0" distL="0" distR="0" wp14:anchorId="5D5FE03A" wp14:editId="285FB030">
            <wp:extent cx="8644298" cy="4448175"/>
            <wp:effectExtent l="0" t="0" r="4445" b="0"/>
            <wp:docPr id="77" name="Picture" descr="Figure 13: External enrolment shares for each equity group for non-aligned institutions. The black cross and black line represent the external enrolment share for all students within the university, and the equity group shares are presented as coloured shapes. Across non-aligned and Table B universities, there was a great amount of variation of external enrolment rates, where some institutions had no external enrolment (i.e. ACU, Bond, UNDA, Wollongong), while Torrens had 75% external enrolment. Students from equity groups generally had higher shares of external enrolment, but there was no clear pattern for specific equity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descr="Figure 13: External enrolment shares for each equity group for non-aligned institutions. The black cross and black line represent the external enrolment share for all students within the university, and the equity group shares are presented as coloured shapes. Across non-aligned and Table B universities, there was a great amount of variation of external enrolment rates, where some institutions had no external enrolment (i.e. ACU, Bond, UNDA, Wollongong), while Torrens had 75% external enrolment. Students from equity groups generally had higher shares of external enrolment, but there was no clear pattern for specific equity groups. "/>
                    <pic:cNvPicPr>
                      <a:picLocks noChangeAspect="1" noChangeArrowheads="1"/>
                    </pic:cNvPicPr>
                  </pic:nvPicPr>
                  <pic:blipFill rotWithShape="1">
                    <a:blip r:embed="rId21"/>
                    <a:srcRect t="4519" b="2846"/>
                    <a:stretch/>
                  </pic:blipFill>
                  <pic:spPr bwMode="auto">
                    <a:xfrm>
                      <a:off x="0" y="0"/>
                      <a:ext cx="8653749" cy="4453038"/>
                    </a:xfrm>
                    <a:prstGeom prst="rect">
                      <a:avLst/>
                    </a:prstGeom>
                    <a:noFill/>
                    <a:ln>
                      <a:noFill/>
                    </a:ln>
                    <a:extLst>
                      <a:ext uri="{53640926-AAD7-44D8-BBD7-CCE9431645EC}">
                        <a14:shadowObscured xmlns:a14="http://schemas.microsoft.com/office/drawing/2010/main"/>
                      </a:ext>
                    </a:extLst>
                  </pic:spPr>
                </pic:pic>
              </a:graphicData>
            </a:graphic>
          </wp:inline>
        </w:drawing>
      </w:r>
    </w:p>
    <w:p w14:paraId="5D5FDFF1" w14:textId="77777777" w:rsidR="00A94FBA" w:rsidRDefault="00457A04">
      <w:r>
        <w:br w:type="page"/>
      </w:r>
    </w:p>
    <w:p w14:paraId="5D5FDFF2" w14:textId="7DD6F0C0" w:rsidR="00A94FBA" w:rsidRDefault="00E767A4" w:rsidP="005712DA">
      <w:pPr>
        <w:pStyle w:val="Heading2"/>
      </w:pPr>
      <w:bookmarkStart w:id="18" w:name="Xab0751d4d56dfad2ca90161db065a85bc577efd"/>
      <w:bookmarkEnd w:id="17"/>
      <w:r>
        <w:lastRenderedPageBreak/>
        <w:t>Lower n</w:t>
      </w:r>
      <w:r w:rsidR="00457A04">
        <w:t xml:space="preserve">egative </w:t>
      </w:r>
      <w:r w:rsidR="004646B5">
        <w:t xml:space="preserve">impact of finances on </w:t>
      </w:r>
      <w:r w:rsidR="00457A04">
        <w:t>study for equity students studying externally</w:t>
      </w:r>
    </w:p>
    <w:p w14:paraId="5D5FDFF3" w14:textId="2FD54959" w:rsidR="00A94FBA" w:rsidRDefault="00092149" w:rsidP="001F14D7">
      <w:pPr>
        <w:pStyle w:val="ImageCaption"/>
      </w:pPr>
      <w:r>
        <w:t xml:space="preserve">Figure 14: Share of students who stated that their financial circumstances have negatively affected their study, QILT Student Experience Survey, 2023. </w:t>
      </w:r>
      <w:r w:rsidR="00457A04">
        <w:rPr>
          <w:noProof/>
        </w:rPr>
        <w:drawing>
          <wp:inline distT="0" distB="0" distL="0" distR="0" wp14:anchorId="5D5FE03C" wp14:editId="4087625F">
            <wp:extent cx="8272992" cy="4773295"/>
            <wp:effectExtent l="0" t="0" r="0" b="8255"/>
            <wp:docPr id="81" name="Picture" descr="Figure 14: Share of students who stated that their financial circumstances have negatively affected their study, QILT Student Experience Survey, 2023. Equity students studying externally reported a lower negative financial impact on study (about 1 to 6 percentage points lower), except for students with disability (3 percentage points higher). "/>
            <wp:cNvGraphicFramePr/>
            <a:graphic xmlns:a="http://schemas.openxmlformats.org/drawingml/2006/main">
              <a:graphicData uri="http://schemas.openxmlformats.org/drawingml/2006/picture">
                <pic:pic xmlns:pic="http://schemas.openxmlformats.org/drawingml/2006/picture">
                  <pic:nvPicPr>
                    <pic:cNvPr id="81" name="Picture" descr="Figure 14: Share of students who stated that their financial circumstances have negatively affected their study, QILT Student Experience Survey, 2023. Equity students studying externally reported a lower negative financial impact on study (about 1 to 6 percentage points lower), except for students with disability (3 percentage points higher). "/>
                    <pic:cNvPicPr>
                      <a:picLocks noChangeAspect="1" noChangeArrowheads="1"/>
                    </pic:cNvPicPr>
                  </pic:nvPicPr>
                  <pic:blipFill rotWithShape="1">
                    <a:blip r:embed="rId22"/>
                    <a:srcRect t="3837"/>
                    <a:stretch/>
                  </pic:blipFill>
                  <pic:spPr bwMode="auto">
                    <a:xfrm>
                      <a:off x="0" y="0"/>
                      <a:ext cx="8285795" cy="4780682"/>
                    </a:xfrm>
                    <a:prstGeom prst="rect">
                      <a:avLst/>
                    </a:prstGeom>
                    <a:noFill/>
                    <a:ln>
                      <a:noFill/>
                    </a:ln>
                    <a:extLst>
                      <a:ext uri="{53640926-AAD7-44D8-BBD7-CCE9431645EC}">
                        <a14:shadowObscured xmlns:a14="http://schemas.microsoft.com/office/drawing/2010/main"/>
                      </a:ext>
                    </a:extLst>
                  </pic:spPr>
                </pic:pic>
              </a:graphicData>
            </a:graphic>
          </wp:inline>
        </w:drawing>
      </w:r>
    </w:p>
    <w:p w14:paraId="5D5FDFF5" w14:textId="77777777" w:rsidR="00A94FBA" w:rsidRDefault="00457A04" w:rsidP="005712DA">
      <w:pPr>
        <w:pStyle w:val="Heading2"/>
      </w:pPr>
      <w:bookmarkStart w:id="19" w:name="Xbb15e7ec339c9ba85313d1bf1457eb08d3a750a"/>
      <w:bookmarkEnd w:id="18"/>
      <w:r>
        <w:lastRenderedPageBreak/>
        <w:t>Negative impact of living arrangements on study varies across equity students studying externally</w:t>
      </w:r>
    </w:p>
    <w:p w14:paraId="5D5FDFF6" w14:textId="291885F2" w:rsidR="00A94FBA" w:rsidRDefault="00092149" w:rsidP="001F14D7">
      <w:pPr>
        <w:pStyle w:val="ImageCaption"/>
      </w:pPr>
      <w:r>
        <w:t xml:space="preserve">Figure 15: Share of students who stated that their living arrangements have negatively affected their study, QILT Student </w:t>
      </w:r>
      <w:r w:rsidR="00292F9F">
        <w:br/>
      </w:r>
      <w:r>
        <w:t>Experience Survey, 2023.</w:t>
      </w:r>
      <w:r w:rsidR="00457A04">
        <w:rPr>
          <w:noProof/>
        </w:rPr>
        <w:drawing>
          <wp:inline distT="0" distB="0" distL="0" distR="0" wp14:anchorId="5D5FE03E" wp14:editId="04C5271C">
            <wp:extent cx="8331201" cy="4855845"/>
            <wp:effectExtent l="0" t="0" r="0" b="1905"/>
            <wp:docPr id="85" name="Picture" descr="Figure 15: Share of students who stated that their living arrangements have negatively affected their study, QILT Student Experience Survey, 2023. There was some variation between the equity groups. First Nations Australian students, students with disability and remote students had a greater share of external students report a negative impact of living arrangements on study, whereas low SES students and regional students had a smaller share of external students report a negative impact of living arrangements on study."/>
            <wp:cNvGraphicFramePr/>
            <a:graphic xmlns:a="http://schemas.openxmlformats.org/drawingml/2006/main">
              <a:graphicData uri="http://schemas.openxmlformats.org/drawingml/2006/picture">
                <pic:pic xmlns:pic="http://schemas.openxmlformats.org/drawingml/2006/picture">
                  <pic:nvPicPr>
                    <pic:cNvPr id="85" name="Picture" descr="Figure 15: Share of students who stated that their living arrangements have negatively affected their study, QILT Student Experience Survey, 2023. There was some variation between the equity groups. First Nations Australian students, students with disability and remote students had a greater share of external students report a negative impact of living arrangements on study, whereas low SES students and regional students had a smaller share of external students report a negative impact of living arrangements on study."/>
                    <pic:cNvPicPr>
                      <a:picLocks noChangeAspect="1" noChangeArrowheads="1"/>
                    </pic:cNvPicPr>
                  </pic:nvPicPr>
                  <pic:blipFill rotWithShape="1">
                    <a:blip r:embed="rId23"/>
                    <a:srcRect t="2858"/>
                    <a:stretch/>
                  </pic:blipFill>
                  <pic:spPr bwMode="auto">
                    <a:xfrm>
                      <a:off x="0" y="0"/>
                      <a:ext cx="8339109" cy="4860454"/>
                    </a:xfrm>
                    <a:prstGeom prst="rect">
                      <a:avLst/>
                    </a:prstGeom>
                    <a:noFill/>
                    <a:ln>
                      <a:noFill/>
                    </a:ln>
                    <a:extLst>
                      <a:ext uri="{53640926-AAD7-44D8-BBD7-CCE9431645EC}">
                        <a14:shadowObscured xmlns:a14="http://schemas.microsoft.com/office/drawing/2010/main"/>
                      </a:ext>
                    </a:extLst>
                  </pic:spPr>
                </pic:pic>
              </a:graphicData>
            </a:graphic>
          </wp:inline>
        </w:drawing>
      </w:r>
    </w:p>
    <w:p w14:paraId="5D5FDFF8" w14:textId="4B1055F1" w:rsidR="00A94FBA" w:rsidRDefault="00457A04" w:rsidP="005712DA">
      <w:pPr>
        <w:pStyle w:val="Heading2"/>
      </w:pPr>
      <w:bookmarkStart w:id="20" w:name="X8f080dbdeb39368a3def768620a6294e09ab9ac"/>
      <w:bookmarkEnd w:id="19"/>
      <w:r>
        <w:lastRenderedPageBreak/>
        <w:t>Negative impact of paid work on study is greater for all students studying externally</w:t>
      </w:r>
    </w:p>
    <w:p w14:paraId="5D5FDFF9" w14:textId="1D4632D3" w:rsidR="00A94FBA" w:rsidRDefault="00092149" w:rsidP="001F14D7">
      <w:pPr>
        <w:pStyle w:val="ImageCaption"/>
        <w:rPr>
          <w:noProof/>
        </w:rPr>
      </w:pPr>
      <w:r>
        <w:t xml:space="preserve">Figure 16: Share of students who stated that their paid work had negatively affected their study, QILT Student </w:t>
      </w:r>
      <w:r w:rsidR="00292F9F">
        <w:br/>
      </w:r>
      <w:r>
        <w:t>Experience Survey, 2023.</w:t>
      </w:r>
    </w:p>
    <w:p w14:paraId="54F14F59" w14:textId="158E2FD6" w:rsidR="008C6502" w:rsidRDefault="008C6502" w:rsidP="001F14D7">
      <w:pPr>
        <w:pStyle w:val="ImageCaption"/>
      </w:pPr>
      <w:r>
        <w:rPr>
          <w:noProof/>
        </w:rPr>
        <w:drawing>
          <wp:inline distT="0" distB="0" distL="0" distR="0" wp14:anchorId="0ACDDD04" wp14:editId="76CBE2AA">
            <wp:extent cx="8029575" cy="4438650"/>
            <wp:effectExtent l="0" t="0" r="9525" b="0"/>
            <wp:docPr id="89" name="Picture" descr="Figure 16: Share of students who stated that their paid work had negatively affected their study, QILT Student Experience Survey, 2023. Across all student equity groups, the negative impact of paid work arrangements on study is greater for students studying externally, with 40% of external students reporting their paid work negatively affected their study and approximately 50% of internal/multi-modal students reporting the negative impact of paid work on their study. "/>
            <wp:cNvGraphicFramePr/>
            <a:graphic xmlns:a="http://schemas.openxmlformats.org/drawingml/2006/main">
              <a:graphicData uri="http://schemas.openxmlformats.org/drawingml/2006/picture">
                <pic:pic xmlns:pic="http://schemas.openxmlformats.org/drawingml/2006/picture">
                  <pic:nvPicPr>
                    <pic:cNvPr id="89" name="Picture" descr="Figure 16: Share of students who stated that their paid work had negatively affected their study, QILT Student Experience Survey, 2023. Across all student equity groups, the negative impact of paid work arrangements on study is greater for students studying externally, with 40% of external students reporting their paid work negatively affected their study and approximately 50% of internal/multi-modal students reporting the negative impact of paid work on their study. "/>
                    <pic:cNvPicPr>
                      <a:picLocks noChangeAspect="1" noChangeArrowheads="1"/>
                    </pic:cNvPicPr>
                  </pic:nvPicPr>
                  <pic:blipFill rotWithShape="1">
                    <a:blip r:embed="rId24"/>
                    <a:srcRect t="3171"/>
                    <a:stretch/>
                  </pic:blipFill>
                  <pic:spPr bwMode="auto">
                    <a:xfrm>
                      <a:off x="0" y="0"/>
                      <a:ext cx="8038859" cy="4443782"/>
                    </a:xfrm>
                    <a:prstGeom prst="rect">
                      <a:avLst/>
                    </a:prstGeom>
                    <a:noFill/>
                    <a:ln>
                      <a:noFill/>
                    </a:ln>
                    <a:extLst>
                      <a:ext uri="{53640926-AAD7-44D8-BBD7-CCE9431645EC}">
                        <a14:shadowObscured xmlns:a14="http://schemas.microsoft.com/office/drawing/2010/main"/>
                      </a:ext>
                    </a:extLst>
                  </pic:spPr>
                </pic:pic>
              </a:graphicData>
            </a:graphic>
          </wp:inline>
        </w:drawing>
      </w:r>
    </w:p>
    <w:p w14:paraId="5D5FDFFB" w14:textId="77777777" w:rsidR="00A94FBA" w:rsidRDefault="00457A04" w:rsidP="005712DA">
      <w:pPr>
        <w:pStyle w:val="Heading2"/>
      </w:pPr>
      <w:bookmarkStart w:id="21" w:name="X70ceecafbe64b3d3cacc3d31ade2233ce018bac"/>
      <w:bookmarkEnd w:id="20"/>
      <w:r>
        <w:lastRenderedPageBreak/>
        <w:t>Lower sense of belonging for all students studying externally</w:t>
      </w:r>
    </w:p>
    <w:p w14:paraId="5D5FDFFC" w14:textId="1BCAAC94" w:rsidR="00A94FBA" w:rsidRDefault="00092149" w:rsidP="001F14D7">
      <w:pPr>
        <w:pStyle w:val="ImageCaption"/>
        <w:rPr>
          <w:noProof/>
        </w:rPr>
      </w:pPr>
      <w:r>
        <w:t>Figure 17: Share of students who stat</w:t>
      </w:r>
      <w:r w:rsidR="0057145A">
        <w:t>e</w:t>
      </w:r>
      <w:r>
        <w:t>d they have a sense of belonging to their institution, QILT Student Experience Survey, 2023.</w:t>
      </w:r>
      <w:r w:rsidR="0057145A">
        <w:t xml:space="preserve"> </w:t>
      </w:r>
    </w:p>
    <w:p w14:paraId="700D6E1A" w14:textId="29D9B60E" w:rsidR="00B007B3" w:rsidRDefault="00B007B3" w:rsidP="001F14D7">
      <w:pPr>
        <w:pStyle w:val="ImageCaption"/>
      </w:pPr>
      <w:r>
        <w:rPr>
          <w:noProof/>
        </w:rPr>
        <w:drawing>
          <wp:inline distT="0" distB="0" distL="0" distR="0" wp14:anchorId="2029F97A" wp14:editId="6A4B52D1">
            <wp:extent cx="8429039" cy="4876800"/>
            <wp:effectExtent l="0" t="0" r="0" b="0"/>
            <wp:docPr id="93" name="Picture" descr="Figure 17: Share of students who stated they have a sense of belonging to their institution, QILT Student Experience Survey, 2023. There was a reported lower sense of belonging for all students studying externally, ranging from about 3 to 6 percentage points lower than internal/multi-modal students."/>
            <wp:cNvGraphicFramePr/>
            <a:graphic xmlns:a="http://schemas.openxmlformats.org/drawingml/2006/main">
              <a:graphicData uri="http://schemas.openxmlformats.org/drawingml/2006/picture">
                <pic:pic xmlns:pic="http://schemas.openxmlformats.org/drawingml/2006/picture">
                  <pic:nvPicPr>
                    <pic:cNvPr id="93" name="Picture" descr="Figure 17: Share of students who stated they have a sense of belonging to their institution, QILT Student Experience Survey, 2023. There was a reported lower sense of belonging for all students studying externally, ranging from about 3 to 6 percentage points lower than internal/multi-modal students."/>
                    <pic:cNvPicPr>
                      <a:picLocks noChangeAspect="1" noChangeArrowheads="1"/>
                    </pic:cNvPicPr>
                  </pic:nvPicPr>
                  <pic:blipFill rotWithShape="1">
                    <a:blip r:embed="rId25"/>
                    <a:srcRect t="3572"/>
                    <a:stretch/>
                  </pic:blipFill>
                  <pic:spPr bwMode="auto">
                    <a:xfrm>
                      <a:off x="0" y="0"/>
                      <a:ext cx="8446169" cy="4886711"/>
                    </a:xfrm>
                    <a:prstGeom prst="rect">
                      <a:avLst/>
                    </a:prstGeom>
                    <a:noFill/>
                    <a:ln>
                      <a:noFill/>
                    </a:ln>
                    <a:extLst>
                      <a:ext uri="{53640926-AAD7-44D8-BBD7-CCE9431645EC}">
                        <a14:shadowObscured xmlns:a14="http://schemas.microsoft.com/office/drawing/2010/main"/>
                      </a:ext>
                    </a:extLst>
                  </pic:spPr>
                </pic:pic>
              </a:graphicData>
            </a:graphic>
          </wp:inline>
        </w:drawing>
      </w:r>
    </w:p>
    <w:p w14:paraId="5D5FDFFE" w14:textId="70E6D610" w:rsidR="00A94FBA" w:rsidRDefault="00457A04" w:rsidP="005712DA">
      <w:pPr>
        <w:pStyle w:val="Heading2"/>
      </w:pPr>
      <w:bookmarkStart w:id="22" w:name="X674e41648bca89534c15dcfb04646582e3c8a63"/>
      <w:bookmarkEnd w:id="21"/>
      <w:r>
        <w:lastRenderedPageBreak/>
        <w:t xml:space="preserve">Share of students who considered leaving </w:t>
      </w:r>
      <w:r w:rsidR="00562BD5">
        <w:t xml:space="preserve">their institution </w:t>
      </w:r>
      <w:r>
        <w:t>varies across equity students studying externally</w:t>
      </w:r>
    </w:p>
    <w:p w14:paraId="5D5FDFFF" w14:textId="5EFBB903" w:rsidR="00A94FBA" w:rsidRDefault="0057145A" w:rsidP="001F14D7">
      <w:pPr>
        <w:pStyle w:val="ImageCaption"/>
        <w:rPr>
          <w:noProof/>
        </w:rPr>
      </w:pPr>
      <w:r>
        <w:t>Figure 18: Share of students who stated they seriously considered leaving their institution, QILT Student Experience Survey, 2023.</w:t>
      </w:r>
    </w:p>
    <w:p w14:paraId="5BC84AA6" w14:textId="2A178C4A" w:rsidR="00B007B3" w:rsidRDefault="00B007B3" w:rsidP="001F14D7">
      <w:pPr>
        <w:pStyle w:val="ImageCaption"/>
      </w:pPr>
      <w:r>
        <w:rPr>
          <w:noProof/>
        </w:rPr>
        <w:drawing>
          <wp:inline distT="0" distB="0" distL="0" distR="0" wp14:anchorId="646DB544" wp14:editId="2BE2CD1E">
            <wp:extent cx="7600950" cy="4465341"/>
            <wp:effectExtent l="0" t="0" r="0" b="0"/>
            <wp:docPr id="97" name="Picture" descr="Figure 18: Share of students who stated they seriously considered leaving their institution, QILT Student Experience Survey, 2023. The share of students who stated they considered leaving varied across equity groups. The largest difference was students with disability, where external students were about 2.5 percentage points more likely to consider leaving compared to internal/multi-modal students."/>
            <wp:cNvGraphicFramePr/>
            <a:graphic xmlns:a="http://schemas.openxmlformats.org/drawingml/2006/main">
              <a:graphicData uri="http://schemas.openxmlformats.org/drawingml/2006/picture">
                <pic:pic xmlns:pic="http://schemas.openxmlformats.org/drawingml/2006/picture">
                  <pic:nvPicPr>
                    <pic:cNvPr id="97" name="Picture" descr="Figure 18: Share of students who stated they seriously considered leaving their institution, QILT Student Experience Survey, 2023. The share of students who stated they considered leaving varied across equity groups. The largest difference was students with disability, where external students were about 2.5 percentage points more likely to consider leaving compared to internal/multi-modal students."/>
                    <pic:cNvPicPr>
                      <a:picLocks noChangeAspect="1" noChangeArrowheads="1"/>
                    </pic:cNvPicPr>
                  </pic:nvPicPr>
                  <pic:blipFill rotWithShape="1">
                    <a:blip r:embed="rId26"/>
                    <a:srcRect t="4359"/>
                    <a:stretch/>
                  </pic:blipFill>
                  <pic:spPr bwMode="auto">
                    <a:xfrm>
                      <a:off x="0" y="0"/>
                      <a:ext cx="7614207" cy="4473129"/>
                    </a:xfrm>
                    <a:prstGeom prst="rect">
                      <a:avLst/>
                    </a:prstGeom>
                    <a:noFill/>
                    <a:ln>
                      <a:noFill/>
                    </a:ln>
                    <a:extLst>
                      <a:ext uri="{53640926-AAD7-44D8-BBD7-CCE9431645EC}">
                        <a14:shadowObscured xmlns:a14="http://schemas.microsoft.com/office/drawing/2010/main"/>
                      </a:ext>
                    </a:extLst>
                  </pic:spPr>
                </pic:pic>
              </a:graphicData>
            </a:graphic>
          </wp:inline>
        </w:drawing>
      </w:r>
    </w:p>
    <w:p w14:paraId="5D5FE001" w14:textId="774DDBF7" w:rsidR="00A94FBA" w:rsidRDefault="00457A04" w:rsidP="005712DA">
      <w:pPr>
        <w:pStyle w:val="Heading2"/>
      </w:pPr>
      <w:bookmarkStart w:id="23" w:name="X0e67cca8525469ef054c951ab01236eb5f24661"/>
      <w:bookmarkEnd w:id="22"/>
      <w:r>
        <w:lastRenderedPageBreak/>
        <w:t xml:space="preserve">Slightly lower </w:t>
      </w:r>
      <w:r w:rsidR="0057145A">
        <w:t>satisfaction</w:t>
      </w:r>
      <w:r>
        <w:t xml:space="preserve"> with skills development for all students studying externally</w:t>
      </w:r>
    </w:p>
    <w:p w14:paraId="5D5FE002" w14:textId="03D6CF36" w:rsidR="00A94FBA" w:rsidRDefault="0057145A" w:rsidP="001F14D7">
      <w:pPr>
        <w:pStyle w:val="ImageCaption"/>
        <w:rPr>
          <w:noProof/>
        </w:rPr>
      </w:pPr>
      <w:r>
        <w:t>Figure 19: Share of students who stated they were satisfied with skills development, QILT Student Experience Survey, 2023.</w:t>
      </w:r>
    </w:p>
    <w:p w14:paraId="132A712B" w14:textId="05676E9D" w:rsidR="00DC5B41" w:rsidRDefault="00DC5B41" w:rsidP="001F14D7">
      <w:pPr>
        <w:pStyle w:val="ImageCaption"/>
      </w:pPr>
      <w:r>
        <w:rPr>
          <w:noProof/>
        </w:rPr>
        <w:drawing>
          <wp:inline distT="0" distB="0" distL="0" distR="0" wp14:anchorId="6C0B3EF8" wp14:editId="2A83C98A">
            <wp:extent cx="8238320" cy="4772025"/>
            <wp:effectExtent l="0" t="0" r="0" b="0"/>
            <wp:docPr id="101" name="Picture" descr="Figure 19: Share of students who stated they were satisfied with skills development, QILT Student Experience Survey, 2023. While the share of satisfaction is quite similar between internal/multi-modal and external students, all equity groups show a greater share of internal/multi-modal students stating they were satisfied with skills development. Across all equity groups, a share of approximately 81% of internal/multi-modal students were satisfied with skills development compared to the approximate share of 79% for external students.  "/>
            <wp:cNvGraphicFramePr/>
            <a:graphic xmlns:a="http://schemas.openxmlformats.org/drawingml/2006/main">
              <a:graphicData uri="http://schemas.openxmlformats.org/drawingml/2006/picture">
                <pic:pic xmlns:pic="http://schemas.openxmlformats.org/drawingml/2006/picture">
                  <pic:nvPicPr>
                    <pic:cNvPr id="101" name="Picture" descr="Figure 19: Share of students who stated they were satisfied with skills development, QILT Student Experience Survey, 2023. While the share of satisfaction is quite similar between internal/multi-modal and external students, all equity groups show a greater share of internal/multi-modal students stating they were satisfied with skills development. Across all equity groups, a share of approximately 81% of internal/multi-modal students were satisfied with skills development compared to the approximate share of 79% for external students.  "/>
                    <pic:cNvPicPr>
                      <a:picLocks noChangeAspect="1" noChangeArrowheads="1"/>
                    </pic:cNvPicPr>
                  </pic:nvPicPr>
                  <pic:blipFill rotWithShape="1">
                    <a:blip r:embed="rId27"/>
                    <a:srcRect t="2425"/>
                    <a:stretch/>
                  </pic:blipFill>
                  <pic:spPr bwMode="auto">
                    <a:xfrm>
                      <a:off x="0" y="0"/>
                      <a:ext cx="8266475" cy="4788333"/>
                    </a:xfrm>
                    <a:prstGeom prst="rect">
                      <a:avLst/>
                    </a:prstGeom>
                    <a:noFill/>
                    <a:ln>
                      <a:noFill/>
                    </a:ln>
                    <a:extLst>
                      <a:ext uri="{53640926-AAD7-44D8-BBD7-CCE9431645EC}">
                        <a14:shadowObscured xmlns:a14="http://schemas.microsoft.com/office/drawing/2010/main"/>
                      </a:ext>
                    </a:extLst>
                  </pic:spPr>
                </pic:pic>
              </a:graphicData>
            </a:graphic>
          </wp:inline>
        </w:drawing>
      </w:r>
    </w:p>
    <w:p w14:paraId="5D5FE004" w14:textId="73630671" w:rsidR="00A94FBA" w:rsidRDefault="00457A04" w:rsidP="005712DA">
      <w:pPr>
        <w:pStyle w:val="Heading2"/>
      </w:pPr>
      <w:bookmarkStart w:id="24" w:name="X923163b05b8209b677d20a9a0ddaae5683ef704"/>
      <w:bookmarkEnd w:id="23"/>
      <w:r>
        <w:lastRenderedPageBreak/>
        <w:t xml:space="preserve">Substantially lower </w:t>
      </w:r>
      <w:r w:rsidR="0057145A">
        <w:t>satisfaction</w:t>
      </w:r>
      <w:r>
        <w:t xml:space="preserve"> with peer engagement for all students studying externally</w:t>
      </w:r>
    </w:p>
    <w:p w14:paraId="5D5FE005" w14:textId="66A9205C" w:rsidR="00A94FBA" w:rsidRDefault="0057145A" w:rsidP="001F14D7">
      <w:pPr>
        <w:pStyle w:val="ImageCaption"/>
        <w:rPr>
          <w:noProof/>
        </w:rPr>
      </w:pPr>
      <w:r>
        <w:t>Figure 20: Share of students who stated they were satisfied with peer engagement, QILT Student Experience Survey, 2023.</w:t>
      </w:r>
    </w:p>
    <w:p w14:paraId="4317A834" w14:textId="7F0E0D11" w:rsidR="00DC5B41" w:rsidRDefault="00DC5B41" w:rsidP="001F14D7">
      <w:pPr>
        <w:pStyle w:val="ImageCaption"/>
      </w:pPr>
      <w:r>
        <w:rPr>
          <w:noProof/>
        </w:rPr>
        <w:drawing>
          <wp:inline distT="0" distB="0" distL="0" distR="0" wp14:anchorId="59185483" wp14:editId="4A831BA9">
            <wp:extent cx="8305800" cy="4834756"/>
            <wp:effectExtent l="0" t="0" r="0" b="4445"/>
            <wp:docPr id="105" name="Picture" descr="Figure 20: Share of students who stated they were satisfied with peer engagement, QILT Student Experience Survey, 2023. There was considerably lower satisfaction with peer engagement reported by external students. For all equity groups, approximately 20% of external students reported satisfaction with peer engagement, whereas approximately 60% of internal/multi-modal students reported satisfaction with peer engagement."/>
            <wp:cNvGraphicFramePr/>
            <a:graphic xmlns:a="http://schemas.openxmlformats.org/drawingml/2006/main">
              <a:graphicData uri="http://schemas.openxmlformats.org/drawingml/2006/picture">
                <pic:pic xmlns:pic="http://schemas.openxmlformats.org/drawingml/2006/picture">
                  <pic:nvPicPr>
                    <pic:cNvPr id="105" name="Picture" descr="Figure 20: Share of students who stated they were satisfied with peer engagement, QILT Student Experience Survey, 2023. There was considerably lower satisfaction with peer engagement reported by external students. For all equity groups, approximately 20% of external students reported satisfaction with peer engagement, whereas approximately 60% of internal/multi-modal students reported satisfaction with peer engagement."/>
                    <pic:cNvPicPr>
                      <a:picLocks noChangeAspect="1" noChangeArrowheads="1"/>
                    </pic:cNvPicPr>
                  </pic:nvPicPr>
                  <pic:blipFill rotWithShape="1">
                    <a:blip r:embed="rId28"/>
                    <a:srcRect t="2984"/>
                    <a:stretch/>
                  </pic:blipFill>
                  <pic:spPr bwMode="auto">
                    <a:xfrm>
                      <a:off x="0" y="0"/>
                      <a:ext cx="8333192" cy="4850701"/>
                    </a:xfrm>
                    <a:prstGeom prst="rect">
                      <a:avLst/>
                    </a:prstGeom>
                    <a:noFill/>
                    <a:ln>
                      <a:noFill/>
                    </a:ln>
                    <a:extLst>
                      <a:ext uri="{53640926-AAD7-44D8-BBD7-CCE9431645EC}">
                        <a14:shadowObscured xmlns:a14="http://schemas.microsoft.com/office/drawing/2010/main"/>
                      </a:ext>
                    </a:extLst>
                  </pic:spPr>
                </pic:pic>
              </a:graphicData>
            </a:graphic>
          </wp:inline>
        </w:drawing>
      </w:r>
    </w:p>
    <w:p w14:paraId="5D5FE007" w14:textId="77777777" w:rsidR="00A94FBA" w:rsidRDefault="00457A04" w:rsidP="005712DA">
      <w:pPr>
        <w:pStyle w:val="Heading2"/>
      </w:pPr>
      <w:bookmarkStart w:id="25" w:name="X38af303c06fdbf84bbebecbff9b10821cc68ccc"/>
      <w:bookmarkEnd w:id="24"/>
      <w:r>
        <w:lastRenderedPageBreak/>
        <w:t>Lower share of students studying externally feel free to express their views</w:t>
      </w:r>
    </w:p>
    <w:p w14:paraId="5D5FE008" w14:textId="11C662D3" w:rsidR="00A94FBA" w:rsidRDefault="0057145A" w:rsidP="001F14D7">
      <w:pPr>
        <w:pStyle w:val="ImageCaption"/>
        <w:rPr>
          <w:noProof/>
        </w:rPr>
      </w:pPr>
      <w:r>
        <w:t>Figure 21: Share of students who stated they were free to express their views, QILT Student Experience Survey, 2023.</w:t>
      </w:r>
    </w:p>
    <w:p w14:paraId="16C8076C" w14:textId="04B6A5D5" w:rsidR="00DC5B41" w:rsidRDefault="00DC5B41" w:rsidP="001F14D7">
      <w:pPr>
        <w:pStyle w:val="ImageCaption"/>
      </w:pPr>
      <w:r>
        <w:rPr>
          <w:noProof/>
        </w:rPr>
        <w:drawing>
          <wp:inline distT="0" distB="0" distL="0" distR="0" wp14:anchorId="6E048C2E" wp14:editId="5268C6FA">
            <wp:extent cx="8143540" cy="4743450"/>
            <wp:effectExtent l="0" t="0" r="0" b="0"/>
            <wp:docPr id="109" name="Picture" descr="Figure 21: Share of students who stated they were free to express their views, QILT Student Experience Survey, 2023. Across all equity groups, external students reported a lower share for those feeling free to express their views. Approximately 74% of internal/multi-modal students felt free to express their views, compared to approximately 68% for external students."/>
            <wp:cNvGraphicFramePr/>
            <a:graphic xmlns:a="http://schemas.openxmlformats.org/drawingml/2006/main">
              <a:graphicData uri="http://schemas.openxmlformats.org/drawingml/2006/picture">
                <pic:pic xmlns:pic="http://schemas.openxmlformats.org/drawingml/2006/picture">
                  <pic:nvPicPr>
                    <pic:cNvPr id="109" name="Picture" descr="Figure 21: Share of students who stated they were free to express their views, QILT Student Experience Survey, 2023. Across all equity groups, external students reported a lower share for those feeling free to express their views. Approximately 74% of internal/multi-modal students felt free to express their views, compared to approximately 68% for external students."/>
                    <pic:cNvPicPr>
                      <a:picLocks noChangeAspect="1" noChangeArrowheads="1"/>
                    </pic:cNvPicPr>
                  </pic:nvPicPr>
                  <pic:blipFill rotWithShape="1">
                    <a:blip r:embed="rId29"/>
                    <a:srcRect t="2428"/>
                    <a:stretch/>
                  </pic:blipFill>
                  <pic:spPr bwMode="auto">
                    <a:xfrm>
                      <a:off x="0" y="0"/>
                      <a:ext cx="8170614" cy="4759220"/>
                    </a:xfrm>
                    <a:prstGeom prst="rect">
                      <a:avLst/>
                    </a:prstGeom>
                    <a:noFill/>
                    <a:ln>
                      <a:noFill/>
                    </a:ln>
                    <a:extLst>
                      <a:ext uri="{53640926-AAD7-44D8-BBD7-CCE9431645EC}">
                        <a14:shadowObscured xmlns:a14="http://schemas.microsoft.com/office/drawing/2010/main"/>
                      </a:ext>
                    </a:extLst>
                  </pic:spPr>
                </pic:pic>
              </a:graphicData>
            </a:graphic>
          </wp:inline>
        </w:drawing>
      </w:r>
    </w:p>
    <w:p w14:paraId="5D5FE00A" w14:textId="77777777" w:rsidR="00A94FBA" w:rsidRDefault="00457A04" w:rsidP="005712DA">
      <w:pPr>
        <w:pStyle w:val="Heading2"/>
      </w:pPr>
      <w:bookmarkStart w:id="26" w:name="X43f5fccf53f614f1ff2815835fcd48717b8a73e"/>
      <w:bookmarkEnd w:id="25"/>
      <w:r>
        <w:lastRenderedPageBreak/>
        <w:t>Share of students free from discrimination varies across student groups studying externally</w:t>
      </w:r>
    </w:p>
    <w:p w14:paraId="5D5FE00B" w14:textId="6A3CE2C3" w:rsidR="00A94FBA" w:rsidRDefault="0057145A" w:rsidP="001F14D7">
      <w:pPr>
        <w:pStyle w:val="ImageCaption"/>
        <w:rPr>
          <w:noProof/>
        </w:rPr>
      </w:pPr>
      <w:r>
        <w:t>Figure 22: Share of students who stated they were free from discrimination, QILT Student Experience Survey, 2023.</w:t>
      </w:r>
    </w:p>
    <w:p w14:paraId="36ED50E7" w14:textId="19A36864" w:rsidR="00DC5B41" w:rsidRDefault="00DC5B41" w:rsidP="001F14D7">
      <w:pPr>
        <w:pStyle w:val="ImageCaption"/>
      </w:pPr>
      <w:r>
        <w:rPr>
          <w:noProof/>
        </w:rPr>
        <w:drawing>
          <wp:inline distT="0" distB="0" distL="0" distR="0" wp14:anchorId="2CE891E1" wp14:editId="75540FD2">
            <wp:extent cx="8362642" cy="4876800"/>
            <wp:effectExtent l="0" t="0" r="635" b="0"/>
            <wp:docPr id="113" name="Picture" descr="Figure 22: Share of students who stated they were free from discrimination, QILT Student Experience Survey, 2023. While results varied, both internal/multi-modal and external students reported similar shares of being free from discrimination. Overall, external students reported a slightly lower share of being free from discrimination. "/>
            <wp:cNvGraphicFramePr/>
            <a:graphic xmlns:a="http://schemas.openxmlformats.org/drawingml/2006/main">
              <a:graphicData uri="http://schemas.openxmlformats.org/drawingml/2006/picture">
                <pic:pic xmlns:pic="http://schemas.openxmlformats.org/drawingml/2006/picture">
                  <pic:nvPicPr>
                    <pic:cNvPr id="113" name="Picture" descr="Figure 22: Share of students who stated they were free from discrimination, QILT Student Experience Survey, 2023. While results varied, both internal/multi-modal and external students reported similar shares of being free from discrimination. Overall, external students reported a slightly lower share of being free from discrimination. "/>
                    <pic:cNvPicPr>
                      <a:picLocks noChangeAspect="1" noChangeArrowheads="1"/>
                    </pic:cNvPicPr>
                  </pic:nvPicPr>
                  <pic:blipFill rotWithShape="1">
                    <a:blip r:embed="rId30"/>
                    <a:srcRect t="2806"/>
                    <a:stretch/>
                  </pic:blipFill>
                  <pic:spPr bwMode="auto">
                    <a:xfrm>
                      <a:off x="0" y="0"/>
                      <a:ext cx="8385923" cy="4890377"/>
                    </a:xfrm>
                    <a:prstGeom prst="rect">
                      <a:avLst/>
                    </a:prstGeom>
                    <a:noFill/>
                    <a:ln>
                      <a:noFill/>
                    </a:ln>
                    <a:extLst>
                      <a:ext uri="{53640926-AAD7-44D8-BBD7-CCE9431645EC}">
                        <a14:shadowObscured xmlns:a14="http://schemas.microsoft.com/office/drawing/2010/main"/>
                      </a:ext>
                    </a:extLst>
                  </pic:spPr>
                </pic:pic>
              </a:graphicData>
            </a:graphic>
          </wp:inline>
        </w:drawing>
      </w:r>
    </w:p>
    <w:p w14:paraId="5D5FE00D" w14:textId="77777777" w:rsidR="00A94FBA" w:rsidRDefault="00457A04" w:rsidP="005712DA">
      <w:pPr>
        <w:pStyle w:val="Heading2"/>
      </w:pPr>
      <w:bookmarkStart w:id="27" w:name="X2c5f4521a8f1ea4b1cdc812d28c8837b05bb59b"/>
      <w:bookmarkEnd w:id="26"/>
      <w:r>
        <w:lastRenderedPageBreak/>
        <w:t>Lower share of students studying externally were satisfied with their freedom of expression</w:t>
      </w:r>
    </w:p>
    <w:p w14:paraId="5D5FE00E" w14:textId="60927EBC" w:rsidR="00A94FBA" w:rsidRDefault="0057145A" w:rsidP="001F14D7">
      <w:pPr>
        <w:pStyle w:val="ImageCaption"/>
        <w:rPr>
          <w:noProof/>
        </w:rPr>
      </w:pPr>
      <w:r>
        <w:t>Figure 23: Share of students who stated they were satisfied with their freedom of expression, QILT Student Experience Survey, 2023.</w:t>
      </w:r>
    </w:p>
    <w:p w14:paraId="0B97B003" w14:textId="6224E16A" w:rsidR="00DC5B41" w:rsidRDefault="00DC5B41" w:rsidP="001F14D7">
      <w:pPr>
        <w:pStyle w:val="ImageCaption"/>
      </w:pPr>
      <w:r>
        <w:rPr>
          <w:noProof/>
        </w:rPr>
        <w:drawing>
          <wp:inline distT="0" distB="0" distL="0" distR="0" wp14:anchorId="3BE88B2E" wp14:editId="67B78320">
            <wp:extent cx="8330305" cy="4857750"/>
            <wp:effectExtent l="0" t="0" r="0" b="0"/>
            <wp:docPr id="117" name="Picture" descr="Figure 23: Share of students who stated they were satisfied with their freedom of expression, QILT Student Experience Survey, 2023. A lower share of students studying externally were satisfied with the freedom of expression. Overall, equity students and non-equity students reported very similar shares."/>
            <wp:cNvGraphicFramePr/>
            <a:graphic xmlns:a="http://schemas.openxmlformats.org/drawingml/2006/main">
              <a:graphicData uri="http://schemas.openxmlformats.org/drawingml/2006/picture">
                <pic:pic xmlns:pic="http://schemas.openxmlformats.org/drawingml/2006/picture">
                  <pic:nvPicPr>
                    <pic:cNvPr id="117" name="Picture" descr="Figure 23: Share of students who stated they were satisfied with their freedom of expression, QILT Student Experience Survey, 2023. A lower share of students studying externally were satisfied with the freedom of expression. Overall, equity students and non-equity students reported very similar shares."/>
                    <pic:cNvPicPr>
                      <a:picLocks noChangeAspect="1" noChangeArrowheads="1"/>
                    </pic:cNvPicPr>
                  </pic:nvPicPr>
                  <pic:blipFill rotWithShape="1">
                    <a:blip r:embed="rId31"/>
                    <a:srcRect t="2809"/>
                    <a:stretch/>
                  </pic:blipFill>
                  <pic:spPr bwMode="auto">
                    <a:xfrm>
                      <a:off x="0" y="0"/>
                      <a:ext cx="8345293" cy="4866490"/>
                    </a:xfrm>
                    <a:prstGeom prst="rect">
                      <a:avLst/>
                    </a:prstGeom>
                    <a:noFill/>
                    <a:ln>
                      <a:noFill/>
                    </a:ln>
                    <a:extLst>
                      <a:ext uri="{53640926-AAD7-44D8-BBD7-CCE9431645EC}">
                        <a14:shadowObscured xmlns:a14="http://schemas.microsoft.com/office/drawing/2010/main"/>
                      </a:ext>
                    </a:extLst>
                  </pic:spPr>
                </pic:pic>
              </a:graphicData>
            </a:graphic>
          </wp:inline>
        </w:drawing>
      </w:r>
    </w:p>
    <w:p w14:paraId="5D5FE010" w14:textId="77777777" w:rsidR="00A94FBA" w:rsidRDefault="00457A04" w:rsidP="005712DA">
      <w:pPr>
        <w:pStyle w:val="Heading2"/>
      </w:pPr>
      <w:bookmarkStart w:id="28" w:name="X98c63e5f503ef2c9327b31b43cacb805ca1beb2"/>
      <w:bookmarkEnd w:id="27"/>
      <w:r>
        <w:lastRenderedPageBreak/>
        <w:t>Higher share of students studying externally were satisfied with the quality of their entire educational experience</w:t>
      </w:r>
    </w:p>
    <w:p w14:paraId="5D5FE011" w14:textId="6F14AC7E" w:rsidR="00A94FBA" w:rsidRDefault="0057145A" w:rsidP="001F14D7">
      <w:pPr>
        <w:pStyle w:val="ImageCaption"/>
        <w:rPr>
          <w:noProof/>
        </w:rPr>
      </w:pPr>
      <w:r>
        <w:t>Figure 24: Share of students who stated they were satisfied with the quality of their entire educational experience, QILT Student Experience Survey, 2023.</w:t>
      </w:r>
    </w:p>
    <w:p w14:paraId="7A81C0D3" w14:textId="3219FB0A" w:rsidR="00DC5B41" w:rsidRDefault="00DC5B41" w:rsidP="001F14D7">
      <w:pPr>
        <w:pStyle w:val="ImageCaption"/>
      </w:pPr>
      <w:r>
        <w:rPr>
          <w:noProof/>
        </w:rPr>
        <w:drawing>
          <wp:inline distT="0" distB="0" distL="0" distR="0" wp14:anchorId="29C088A0" wp14:editId="1110B7E7">
            <wp:extent cx="7459657" cy="4333875"/>
            <wp:effectExtent l="0" t="0" r="8255" b="0"/>
            <wp:docPr id="121" name="Picture" descr="Figure 24: Share of students who stated they were satisfied with the quality of their entire educational experience, QILT Student Experience Survey, 2023. A higher share of students studying externally were satisfied with the quality of the entire educational experience (about 80%) compared to internal/multi-modal students (about 76%). "/>
            <wp:cNvGraphicFramePr/>
            <a:graphic xmlns:a="http://schemas.openxmlformats.org/drawingml/2006/main">
              <a:graphicData uri="http://schemas.openxmlformats.org/drawingml/2006/picture">
                <pic:pic xmlns:pic="http://schemas.openxmlformats.org/drawingml/2006/picture">
                  <pic:nvPicPr>
                    <pic:cNvPr id="121" name="Picture" descr="Figure 24: Share of students who stated they were satisfied with the quality of their entire educational experience, QILT Student Experience Survey, 2023. A higher share of students studying externally were satisfied with the quality of the entire educational experience (about 80%) compared to internal/multi-modal students (about 76%). "/>
                    <pic:cNvPicPr>
                      <a:picLocks noChangeAspect="1" noChangeArrowheads="1"/>
                    </pic:cNvPicPr>
                  </pic:nvPicPr>
                  <pic:blipFill rotWithShape="1">
                    <a:blip r:embed="rId32"/>
                    <a:srcRect t="3171"/>
                    <a:stretch/>
                  </pic:blipFill>
                  <pic:spPr bwMode="auto">
                    <a:xfrm>
                      <a:off x="0" y="0"/>
                      <a:ext cx="7495525" cy="4354713"/>
                    </a:xfrm>
                    <a:prstGeom prst="rect">
                      <a:avLst/>
                    </a:prstGeom>
                    <a:noFill/>
                    <a:ln>
                      <a:noFill/>
                    </a:ln>
                    <a:extLst>
                      <a:ext uri="{53640926-AAD7-44D8-BBD7-CCE9431645EC}">
                        <a14:shadowObscured xmlns:a14="http://schemas.microsoft.com/office/drawing/2010/main"/>
                      </a:ext>
                    </a:extLst>
                  </pic:spPr>
                </pic:pic>
              </a:graphicData>
            </a:graphic>
          </wp:inline>
        </w:drawing>
      </w:r>
    </w:p>
    <w:p w14:paraId="5D5FE013" w14:textId="77777777" w:rsidR="00A94FBA" w:rsidRDefault="00457A04" w:rsidP="005712DA">
      <w:pPr>
        <w:pStyle w:val="Heading2"/>
      </w:pPr>
      <w:bookmarkStart w:id="29" w:name="Xdb62a998735171ce228ca2da84b261425d01aa5"/>
      <w:bookmarkEnd w:id="28"/>
      <w:r>
        <w:lastRenderedPageBreak/>
        <w:t>Higher share of students studying externally were satisfied with the quality of teaching</w:t>
      </w:r>
    </w:p>
    <w:p w14:paraId="5D5FE014" w14:textId="18611D6E" w:rsidR="00A94FBA" w:rsidRDefault="0057145A" w:rsidP="001F14D7">
      <w:pPr>
        <w:pStyle w:val="ImageCaption"/>
        <w:rPr>
          <w:noProof/>
        </w:rPr>
      </w:pPr>
      <w:r>
        <w:t>Figure 25: Share of students who stated they were satisfied with quality of teaching, QILT Student Experience Survey, 2023.</w:t>
      </w:r>
    </w:p>
    <w:p w14:paraId="4645D0BC" w14:textId="568E38BB" w:rsidR="00DC5B41" w:rsidRDefault="00DC5B41" w:rsidP="001F14D7">
      <w:pPr>
        <w:pStyle w:val="ImageCaption"/>
      </w:pPr>
      <w:r>
        <w:rPr>
          <w:noProof/>
        </w:rPr>
        <w:drawing>
          <wp:inline distT="0" distB="0" distL="0" distR="0" wp14:anchorId="29234E41" wp14:editId="4A7DD1CE">
            <wp:extent cx="8413751" cy="4867275"/>
            <wp:effectExtent l="0" t="0" r="6350" b="0"/>
            <wp:docPr id="125" name="Picture" descr="Figure 25: Share of students who stated they were satisfied with quality of teaching, QILT Student Experience Survey, 2023. Across all equity groups, a slightly higher share of external students were satisfied with the quality of teaching at their institution. "/>
            <wp:cNvGraphicFramePr/>
            <a:graphic xmlns:a="http://schemas.openxmlformats.org/drawingml/2006/main">
              <a:graphicData uri="http://schemas.openxmlformats.org/drawingml/2006/picture">
                <pic:pic xmlns:pic="http://schemas.openxmlformats.org/drawingml/2006/picture">
                  <pic:nvPicPr>
                    <pic:cNvPr id="125" name="Picture" descr="Figure 25: Share of students who stated they were satisfied with quality of teaching, QILT Student Experience Survey, 2023. Across all equity groups, a slightly higher share of external students were satisfied with the quality of teaching at their institution. "/>
                    <pic:cNvPicPr>
                      <a:picLocks noChangeAspect="1" noChangeArrowheads="1"/>
                    </pic:cNvPicPr>
                  </pic:nvPicPr>
                  <pic:blipFill rotWithShape="1">
                    <a:blip r:embed="rId33"/>
                    <a:srcRect t="3585"/>
                    <a:stretch/>
                  </pic:blipFill>
                  <pic:spPr bwMode="auto">
                    <a:xfrm>
                      <a:off x="0" y="0"/>
                      <a:ext cx="8421048" cy="4871496"/>
                    </a:xfrm>
                    <a:prstGeom prst="rect">
                      <a:avLst/>
                    </a:prstGeom>
                    <a:noFill/>
                    <a:ln>
                      <a:noFill/>
                    </a:ln>
                    <a:extLst>
                      <a:ext uri="{53640926-AAD7-44D8-BBD7-CCE9431645EC}">
                        <a14:shadowObscured xmlns:a14="http://schemas.microsoft.com/office/drawing/2010/main"/>
                      </a:ext>
                    </a:extLst>
                  </pic:spPr>
                </pic:pic>
              </a:graphicData>
            </a:graphic>
          </wp:inline>
        </w:drawing>
      </w:r>
    </w:p>
    <w:p w14:paraId="5D5FE016" w14:textId="77777777" w:rsidR="00A94FBA" w:rsidRDefault="00457A04" w:rsidP="005712DA">
      <w:pPr>
        <w:pStyle w:val="Heading2"/>
      </w:pPr>
      <w:bookmarkStart w:id="30" w:name="Xb3c29c8a04fa587f6c83a3e7344ebdebc362f91"/>
      <w:bookmarkEnd w:id="29"/>
      <w:r>
        <w:lastRenderedPageBreak/>
        <w:t>Share of students satisfied with learning resources varies across student groups studying externally</w:t>
      </w:r>
    </w:p>
    <w:p w14:paraId="5D5FE017" w14:textId="3D1E73C8" w:rsidR="00A94FBA" w:rsidRDefault="0057145A" w:rsidP="001F14D7">
      <w:pPr>
        <w:pStyle w:val="ImageCaption"/>
      </w:pPr>
      <w:r>
        <w:t>Figure 26: Share of students who stated they were satisfied with learning resources, QILT Student Experience Survey, 2023.</w:t>
      </w:r>
      <w:r w:rsidR="00457A04">
        <w:rPr>
          <w:noProof/>
        </w:rPr>
        <w:drawing>
          <wp:inline distT="0" distB="0" distL="0" distR="0" wp14:anchorId="5D5FE054" wp14:editId="2D164916">
            <wp:extent cx="8402108" cy="4869815"/>
            <wp:effectExtent l="0" t="0" r="0" b="6985"/>
            <wp:docPr id="129" name="Picture" descr="Figure 26: Share of students who stated they were satisfied with learning resources, QILT Student Experience Survey, 2023. The equity groups reported very similar satisfaction with learning resources between internal/multi-modal and external students. "/>
            <wp:cNvGraphicFramePr/>
            <a:graphic xmlns:a="http://schemas.openxmlformats.org/drawingml/2006/main">
              <a:graphicData uri="http://schemas.openxmlformats.org/drawingml/2006/picture">
                <pic:pic xmlns:pic="http://schemas.openxmlformats.org/drawingml/2006/picture">
                  <pic:nvPicPr>
                    <pic:cNvPr id="129" name="Picture" descr="Figure 26: Share of students who stated they were satisfied with learning resources, QILT Student Experience Survey, 2023. The equity groups reported very similar satisfaction with learning resources between internal/multi-modal and external students. "/>
                    <pic:cNvPicPr>
                      <a:picLocks noChangeAspect="1" noChangeArrowheads="1"/>
                    </pic:cNvPicPr>
                  </pic:nvPicPr>
                  <pic:blipFill rotWithShape="1">
                    <a:blip r:embed="rId34"/>
                    <a:srcRect t="3401"/>
                    <a:stretch/>
                  </pic:blipFill>
                  <pic:spPr bwMode="auto">
                    <a:xfrm>
                      <a:off x="0" y="0"/>
                      <a:ext cx="8404828" cy="4871391"/>
                    </a:xfrm>
                    <a:prstGeom prst="rect">
                      <a:avLst/>
                    </a:prstGeom>
                    <a:noFill/>
                    <a:ln>
                      <a:noFill/>
                    </a:ln>
                    <a:extLst>
                      <a:ext uri="{53640926-AAD7-44D8-BBD7-CCE9431645EC}">
                        <a14:shadowObscured xmlns:a14="http://schemas.microsoft.com/office/drawing/2010/main"/>
                      </a:ext>
                    </a:extLst>
                  </pic:spPr>
                </pic:pic>
              </a:graphicData>
            </a:graphic>
          </wp:inline>
        </w:drawing>
      </w:r>
    </w:p>
    <w:p w14:paraId="5D5FE019" w14:textId="77777777" w:rsidR="00A94FBA" w:rsidRDefault="00457A04" w:rsidP="005712DA">
      <w:pPr>
        <w:pStyle w:val="Heading2"/>
      </w:pPr>
      <w:bookmarkStart w:id="31" w:name="X15691b804230fb3677ec5397ee1bca9ed30f9ba"/>
      <w:bookmarkEnd w:id="30"/>
      <w:r>
        <w:lastRenderedPageBreak/>
        <w:t>Higher share of students studying externally were satisfied with student support and services</w:t>
      </w:r>
    </w:p>
    <w:p w14:paraId="5D5FE01A" w14:textId="401DEBCE" w:rsidR="00A94FBA" w:rsidRDefault="0057145A" w:rsidP="001F14D7">
      <w:pPr>
        <w:pStyle w:val="ImageCaption"/>
      </w:pPr>
      <w:r>
        <w:t xml:space="preserve">Figure 27: Share of students who stated they were satisfied with student support and services, QILT Student </w:t>
      </w:r>
      <w:r w:rsidR="00063C12">
        <w:br/>
      </w:r>
      <w:r>
        <w:t>Experience Survey, 2023.</w:t>
      </w:r>
    </w:p>
    <w:p w14:paraId="3208DC55" w14:textId="1BAC7964" w:rsidR="00053E85" w:rsidRDefault="00053E85" w:rsidP="001F14D7">
      <w:pPr>
        <w:pStyle w:val="ImageCaption"/>
      </w:pPr>
      <w:r>
        <w:rPr>
          <w:noProof/>
        </w:rPr>
        <w:drawing>
          <wp:inline distT="0" distB="0" distL="0" distR="0" wp14:anchorId="42B9C446" wp14:editId="7B0E96C7">
            <wp:extent cx="8201025" cy="4754228"/>
            <wp:effectExtent l="0" t="0" r="0" b="8890"/>
            <wp:docPr id="133" name="Picture" descr="Figure 27: Share of students who stated they were satisfied with student support and services, QILT Student Experience Survey, 2023. For all equity groups, a higher share of students studying externally were satisfied with their institution's student support and services. The largest difference was for students with disability, where 72.3% of external students were satisfied, compared to 65.3% of internal/multi-modal students."/>
            <wp:cNvGraphicFramePr/>
            <a:graphic xmlns:a="http://schemas.openxmlformats.org/drawingml/2006/main">
              <a:graphicData uri="http://schemas.openxmlformats.org/drawingml/2006/picture">
                <pic:pic xmlns:pic="http://schemas.openxmlformats.org/drawingml/2006/picture">
                  <pic:nvPicPr>
                    <pic:cNvPr id="133" name="Picture" descr="Figure 27: Share of students who stated they were satisfied with student support and services, QILT Student Experience Survey, 2023. For all equity groups, a higher share of students studying externally were satisfied with their institution's student support and services. The largest difference was for students with disability, where 72.3% of external students were satisfied, compared to 65.3% of internal/multi-modal students."/>
                    <pic:cNvPicPr>
                      <a:picLocks noChangeAspect="1" noChangeArrowheads="1"/>
                    </pic:cNvPicPr>
                  </pic:nvPicPr>
                  <pic:blipFill rotWithShape="1">
                    <a:blip r:embed="rId35"/>
                    <a:srcRect t="3382"/>
                    <a:stretch/>
                  </pic:blipFill>
                  <pic:spPr bwMode="auto">
                    <a:xfrm>
                      <a:off x="0" y="0"/>
                      <a:ext cx="8213334" cy="4761364"/>
                    </a:xfrm>
                    <a:prstGeom prst="rect">
                      <a:avLst/>
                    </a:prstGeom>
                    <a:noFill/>
                    <a:ln>
                      <a:noFill/>
                    </a:ln>
                    <a:extLst>
                      <a:ext uri="{53640926-AAD7-44D8-BBD7-CCE9431645EC}">
                        <a14:shadowObscured xmlns:a14="http://schemas.microsoft.com/office/drawing/2010/main"/>
                      </a:ext>
                    </a:extLst>
                  </pic:spPr>
                </pic:pic>
              </a:graphicData>
            </a:graphic>
          </wp:inline>
        </w:drawing>
      </w:r>
    </w:p>
    <w:p w14:paraId="5D5FE01C" w14:textId="77777777" w:rsidR="00A94FBA" w:rsidRDefault="00457A04" w:rsidP="005712DA">
      <w:pPr>
        <w:pStyle w:val="Heading2"/>
      </w:pPr>
      <w:bookmarkStart w:id="32" w:name="X13ddf7159ed54521481fbf14b2cd956e67ea761"/>
      <w:bookmarkEnd w:id="31"/>
      <w:r>
        <w:lastRenderedPageBreak/>
        <w:t>Slightly higher share of students studying externally were satisfied with teaching quality and engagement</w:t>
      </w:r>
    </w:p>
    <w:p w14:paraId="05FB3881" w14:textId="56EC17AD" w:rsidR="0057145A" w:rsidRDefault="0057145A" w:rsidP="001F14D7">
      <w:pPr>
        <w:pStyle w:val="ImageCaption"/>
      </w:pPr>
      <w:r>
        <w:t xml:space="preserve">Figure 28: Share of students who stated they were satisfied with teaching quality and engagement, QILT Student </w:t>
      </w:r>
      <w:r w:rsidR="00063C12">
        <w:br/>
      </w:r>
      <w:r>
        <w:t>Experience Survey, 2023.</w:t>
      </w:r>
    </w:p>
    <w:p w14:paraId="5D5FE01D" w14:textId="77777777" w:rsidR="00A94FBA" w:rsidRDefault="00457A04">
      <w:pPr>
        <w:pStyle w:val="CaptionedFigure"/>
      </w:pPr>
      <w:r>
        <w:rPr>
          <w:noProof/>
        </w:rPr>
        <w:drawing>
          <wp:inline distT="0" distB="0" distL="0" distR="0" wp14:anchorId="5D5FE058" wp14:editId="32475769">
            <wp:extent cx="8266430" cy="4780792"/>
            <wp:effectExtent l="0" t="0" r="1270" b="1270"/>
            <wp:docPr id="137" name="Picture" descr="Figure 28: Share of students who stated they were satisfied with teaching quality and engagement, QILT Student Experience Survey, 2023. Across all student equity groups, a slightly greater share of students (about 1 percentage point) showed satisfaction for teaching quality and engagement. "/>
            <wp:cNvGraphicFramePr/>
            <a:graphic xmlns:a="http://schemas.openxmlformats.org/drawingml/2006/main">
              <a:graphicData uri="http://schemas.openxmlformats.org/drawingml/2006/picture">
                <pic:pic xmlns:pic="http://schemas.openxmlformats.org/drawingml/2006/picture">
                  <pic:nvPicPr>
                    <pic:cNvPr id="137" name="Picture" descr="Figure 28: Share of students who stated they were satisfied with teaching quality and engagement, QILT Student Experience Survey, 2023. Across all student equity groups, a slightly greater share of students (about 1 percentage point) showed satisfaction for teaching quality and engagement. "/>
                    <pic:cNvPicPr>
                      <a:picLocks noChangeAspect="1" noChangeArrowheads="1"/>
                    </pic:cNvPicPr>
                  </pic:nvPicPr>
                  <pic:blipFill rotWithShape="1">
                    <a:blip r:embed="rId36"/>
                    <a:srcRect t="3352"/>
                    <a:stretch/>
                  </pic:blipFill>
                  <pic:spPr bwMode="auto">
                    <a:xfrm>
                      <a:off x="0" y="0"/>
                      <a:ext cx="8282049" cy="4789825"/>
                    </a:xfrm>
                    <a:prstGeom prst="rect">
                      <a:avLst/>
                    </a:prstGeom>
                    <a:noFill/>
                    <a:ln>
                      <a:noFill/>
                    </a:ln>
                    <a:extLst>
                      <a:ext uri="{53640926-AAD7-44D8-BBD7-CCE9431645EC}">
                        <a14:shadowObscured xmlns:a14="http://schemas.microsoft.com/office/drawing/2010/main"/>
                      </a:ext>
                    </a:extLst>
                  </pic:spPr>
                </pic:pic>
              </a:graphicData>
            </a:graphic>
          </wp:inline>
        </w:drawing>
      </w:r>
      <w:bookmarkEnd w:id="0"/>
      <w:bookmarkEnd w:id="32"/>
    </w:p>
    <w:sectPr w:rsidR="00A94FBA" w:rsidSect="00943CE7">
      <w:headerReference w:type="even" r:id="rId37"/>
      <w:headerReference w:type="default" r:id="rId38"/>
      <w:footerReference w:type="even" r:id="rId39"/>
      <w:footerReference w:type="default" r:id="rId40"/>
      <w:headerReference w:type="first" r:id="rId41"/>
      <w:footerReference w:type="first" r:id="rId42"/>
      <w:pgSz w:w="16840" w:h="11907" w:orient="landscape" w:code="9"/>
      <w:pgMar w:top="1021" w:right="1383" w:bottom="1021" w:left="1440" w:header="454"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2535E" w14:textId="77777777" w:rsidR="00A27079" w:rsidRDefault="00A27079">
      <w:pPr>
        <w:spacing w:after="0"/>
      </w:pPr>
      <w:r>
        <w:separator/>
      </w:r>
    </w:p>
  </w:endnote>
  <w:endnote w:type="continuationSeparator" w:id="0">
    <w:p w14:paraId="0A8E8AEA" w14:textId="77777777" w:rsidR="00A27079" w:rsidRDefault="00A27079">
      <w:pPr>
        <w:spacing w:after="0"/>
      </w:pPr>
      <w:r>
        <w:continuationSeparator/>
      </w:r>
    </w:p>
  </w:endnote>
  <w:endnote w:type="continuationNotice" w:id="1">
    <w:p w14:paraId="10915B60" w14:textId="77777777" w:rsidR="00A27079" w:rsidRDefault="00A270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panose1 w:val="02000503000000020004"/>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 w:name="Inter Medium">
    <w:altName w:val="Calibri"/>
    <w:panose1 w:val="02000503000000020004"/>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E05E" w14:textId="77777777" w:rsidR="00457A04" w:rsidRDefault="00457A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nter" w:hAnsi="Inter"/>
        <w:sz w:val="22"/>
        <w:szCs w:val="22"/>
      </w:rPr>
      <w:id w:val="972177194"/>
      <w:docPartObj>
        <w:docPartGallery w:val="Page Numbers (Bottom of Page)"/>
        <w:docPartUnique/>
      </w:docPartObj>
    </w:sdtPr>
    <w:sdtEndPr>
      <w:rPr>
        <w:noProof/>
      </w:rPr>
    </w:sdtEndPr>
    <w:sdtContent>
      <w:p w14:paraId="5D5FE05F" w14:textId="77777777" w:rsidR="00457A04" w:rsidRPr="006E04DE" w:rsidRDefault="00457A04">
        <w:pPr>
          <w:pStyle w:val="Footer"/>
          <w:jc w:val="center"/>
          <w:rPr>
            <w:rFonts w:ascii="Inter" w:hAnsi="Inter"/>
            <w:sz w:val="22"/>
            <w:szCs w:val="22"/>
          </w:rPr>
        </w:pPr>
        <w:r w:rsidRPr="006E04DE">
          <w:rPr>
            <w:rFonts w:ascii="Inter" w:hAnsi="Inter"/>
            <w:sz w:val="22"/>
            <w:szCs w:val="22"/>
          </w:rPr>
          <w:fldChar w:fldCharType="begin"/>
        </w:r>
        <w:r w:rsidRPr="006E04DE">
          <w:rPr>
            <w:rFonts w:ascii="Inter" w:hAnsi="Inter"/>
            <w:sz w:val="22"/>
            <w:szCs w:val="22"/>
          </w:rPr>
          <w:instrText xml:space="preserve"> PAGE   \* MERGEFORMAT </w:instrText>
        </w:r>
        <w:r w:rsidRPr="006E04DE">
          <w:rPr>
            <w:rFonts w:ascii="Inter" w:hAnsi="Inter"/>
            <w:sz w:val="22"/>
            <w:szCs w:val="22"/>
          </w:rPr>
          <w:fldChar w:fldCharType="separate"/>
        </w:r>
        <w:r w:rsidRPr="006E04DE">
          <w:rPr>
            <w:rFonts w:ascii="Inter" w:hAnsi="Inter"/>
            <w:noProof/>
            <w:sz w:val="22"/>
            <w:szCs w:val="22"/>
          </w:rPr>
          <w:t>2</w:t>
        </w:r>
        <w:r w:rsidRPr="006E04DE">
          <w:rPr>
            <w:rFonts w:ascii="Inter" w:hAnsi="Inter"/>
            <w:noProof/>
            <w:sz w:val="22"/>
            <w:szCs w:val="22"/>
          </w:rPr>
          <w:fldChar w:fldCharType="end"/>
        </w:r>
      </w:p>
    </w:sdtContent>
  </w:sdt>
  <w:p w14:paraId="5D5FE060" w14:textId="77777777" w:rsidR="00457A04" w:rsidRDefault="00457A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E062" w14:textId="77777777" w:rsidR="00457A04" w:rsidRDefault="00457A04" w:rsidP="00FF445D">
    <w:pPr>
      <w:pStyle w:val="Footer"/>
      <w:jc w:val="right"/>
    </w:pPr>
    <w:r>
      <w:rPr>
        <w:noProof/>
      </w:rPr>
      <w:drawing>
        <wp:inline distT="0" distB="0" distL="0" distR="0" wp14:anchorId="5D5FE063" wp14:editId="5D5FE064">
          <wp:extent cx="5315578" cy="492593"/>
          <wp:effectExtent l="0" t="0" r="0" b="3175"/>
          <wp:docPr id="2003017752" name="Picture 1" descr="Standard co-branded logo for ACSES and Curt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17752" name="Picture 1" descr="Standard co-branded logo for ACSES and Curtin University"/>
                  <pic:cNvPicPr/>
                </pic:nvPicPr>
                <pic:blipFill>
                  <a:blip r:embed="rId1">
                    <a:extLst>
                      <a:ext uri="{28A0092B-C50C-407E-A947-70E740481C1C}">
                        <a14:useLocalDpi xmlns:a14="http://schemas.microsoft.com/office/drawing/2010/main" val="0"/>
                      </a:ext>
                    </a:extLst>
                  </a:blip>
                  <a:stretch>
                    <a:fillRect/>
                  </a:stretch>
                </pic:blipFill>
                <pic:spPr>
                  <a:xfrm>
                    <a:off x="0" y="0"/>
                    <a:ext cx="5434414" cy="503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71CB8" w14:textId="77777777" w:rsidR="00A27079" w:rsidRDefault="00A27079">
      <w:r>
        <w:separator/>
      </w:r>
    </w:p>
  </w:footnote>
  <w:footnote w:type="continuationSeparator" w:id="0">
    <w:p w14:paraId="0CE3D452" w14:textId="77777777" w:rsidR="00A27079" w:rsidRDefault="00A27079">
      <w:r>
        <w:continuationSeparator/>
      </w:r>
    </w:p>
  </w:footnote>
  <w:footnote w:type="continuationNotice" w:id="1">
    <w:p w14:paraId="28159441" w14:textId="77777777" w:rsidR="00A27079" w:rsidRDefault="00A27079">
      <w:pPr>
        <w:spacing w:after="0"/>
      </w:pPr>
    </w:p>
  </w:footnote>
  <w:footnote w:id="2">
    <w:p w14:paraId="5D5FE065" w14:textId="77777777" w:rsidR="00A94FBA" w:rsidRDefault="00457A04" w:rsidP="00BB0F34">
      <w:pPr>
        <w:pStyle w:val="FootnoteText"/>
        <w:spacing w:afterLines="200" w:after="480"/>
        <w:contextualSpacing/>
      </w:pPr>
      <w:r>
        <w:rPr>
          <w:rStyle w:val="FootnoteReference"/>
        </w:rPr>
        <w:footnoteRef/>
      </w:r>
      <w:r>
        <w:t xml:space="preserve"> Australian Government Department of Education (2024). Equity Group Statistics, Private Request (October 2024). Canberra: Department of Education.</w:t>
      </w:r>
    </w:p>
  </w:footnote>
  <w:footnote w:id="3">
    <w:p w14:paraId="73E3E429" w14:textId="4AB83ACB" w:rsidR="00D55066" w:rsidRDefault="00D55066" w:rsidP="00BB0F34">
      <w:pPr>
        <w:pStyle w:val="FootnoteText"/>
        <w:spacing w:afterLines="200" w:after="480"/>
        <w:contextualSpacing/>
      </w:pPr>
      <w:r>
        <w:rPr>
          <w:rStyle w:val="FootnoteReference"/>
        </w:rPr>
        <w:footnoteRef/>
      </w:r>
      <w:r>
        <w:t xml:space="preserve"> Social Research Centre (2025). Equity Group Statistics, Private Request (</w:t>
      </w:r>
      <w:r w:rsidR="004B7F88">
        <w:t>April 2025</w:t>
      </w:r>
      <w:r>
        <w:t>).</w:t>
      </w:r>
    </w:p>
  </w:footnote>
  <w:footnote w:id="4">
    <w:p w14:paraId="5D5FE066" w14:textId="77777777" w:rsidR="00A94FBA" w:rsidRDefault="00457A04" w:rsidP="00BB0F34">
      <w:pPr>
        <w:pStyle w:val="FootnoteText"/>
        <w:spacing w:afterLines="200" w:after="480"/>
        <w:contextualSpacing/>
      </w:pPr>
      <w:r>
        <w:rPr>
          <w:rStyle w:val="FootnoteReference"/>
        </w:rPr>
        <w:footnoteRef/>
      </w:r>
      <w:r>
        <w:t xml:space="preserve"> </w:t>
      </w:r>
      <w:hyperlink r:id="rId1">
        <w:r>
          <w:rPr>
            <w:rStyle w:val="Hyperlink"/>
          </w:rPr>
          <w:t>https://www.tcsisupport.gov.au/element/329</w:t>
        </w:r>
      </w:hyperlink>
    </w:p>
  </w:footnote>
  <w:footnote w:id="5">
    <w:p w14:paraId="6B02A067" w14:textId="62D0D32E" w:rsidR="00BB17DF" w:rsidRPr="00BB17DF" w:rsidRDefault="00BB17DF" w:rsidP="00BB0F34">
      <w:pPr>
        <w:pStyle w:val="FootnoteText"/>
        <w:spacing w:afterLines="200" w:after="480"/>
        <w:contextualSpacing/>
      </w:pPr>
      <w:r w:rsidRPr="00BB17DF">
        <w:rPr>
          <w:rStyle w:val="FootnoteReference"/>
        </w:rPr>
        <w:footnoteRef/>
      </w:r>
      <w:r w:rsidRPr="00BB17DF">
        <w:t xml:space="preserve"> </w:t>
      </w:r>
      <w:hyperlink r:id="rId2" w:history="1">
        <w:r w:rsidRPr="00BB17DF">
          <w:rPr>
            <w:rStyle w:val="Hyperlink"/>
            <w:lang w:val="en-US"/>
          </w:rPr>
          <w:t>https://www.legislation.gov.au/C2004A01234/latest/downloads</w:t>
        </w:r>
      </w:hyperlink>
    </w:p>
  </w:footnote>
  <w:footnote w:id="6">
    <w:p w14:paraId="0F0DC911" w14:textId="04961FB7" w:rsidR="00732485" w:rsidRDefault="00732485" w:rsidP="00BB0F34">
      <w:pPr>
        <w:pStyle w:val="FootnoteText"/>
        <w:spacing w:afterLines="200" w:after="480"/>
        <w:contextualSpacing/>
      </w:pPr>
      <w:r>
        <w:rPr>
          <w:rStyle w:val="FootnoteReference"/>
        </w:rPr>
        <w:footnoteRef/>
      </w:r>
      <w:r>
        <w:t xml:space="preserve"> </w:t>
      </w:r>
      <w:hyperlink r:id="rId3" w:history="1">
        <w:r w:rsidR="009A2495" w:rsidRPr="003B2A51">
          <w:rPr>
            <w:rStyle w:val="Hyperlink"/>
          </w:rPr>
          <w:t>https://www.acses.edu.au/publication/student-equity-data-guide-defining-equity-groups/</w:t>
        </w:r>
      </w:hyperlink>
      <w:r w:rsidR="009A2495">
        <w:t xml:space="preserve"> </w:t>
      </w:r>
    </w:p>
  </w:footnote>
  <w:footnote w:id="7">
    <w:p w14:paraId="2C28CD09" w14:textId="5F8C0E60" w:rsidR="008A4827" w:rsidRPr="007E144D" w:rsidRDefault="008A4827" w:rsidP="00A722D1">
      <w:pPr>
        <w:pStyle w:val="FootnoteText"/>
        <w:spacing w:after="0"/>
      </w:pPr>
      <w:r w:rsidRPr="007E144D">
        <w:rPr>
          <w:rStyle w:val="FootnoteReference"/>
        </w:rPr>
        <w:footnoteRef/>
      </w:r>
      <w:r w:rsidRPr="007E144D">
        <w:t xml:space="preserve"> </w:t>
      </w:r>
      <w:r w:rsidR="002A5280" w:rsidRPr="007E144D">
        <w:t xml:space="preserve">Stone, C. </w:t>
      </w:r>
      <w:r w:rsidR="005D34BA" w:rsidRPr="007E144D">
        <w:t>(2022).</w:t>
      </w:r>
      <w:r w:rsidR="002A5280" w:rsidRPr="007E144D">
        <w:t xml:space="preserve"> 38(6).</w:t>
      </w:r>
      <w:r w:rsidR="007E144D" w:rsidRPr="007E144D">
        <w:t xml:space="preserve"> </w:t>
      </w:r>
      <w:r w:rsidR="002A5280" w:rsidRPr="007E144D">
        <w:t xml:space="preserve">From the margins to the mainstream: The online learning rethink and its implications for enhancing student equity.  </w:t>
      </w:r>
      <w:r w:rsidR="005D34BA" w:rsidRPr="007E144D">
        <w:t>Australasian Journal of Educational Technology</w:t>
      </w:r>
      <w:r w:rsidR="00A82283" w:rsidRPr="007E144D">
        <w:t xml:space="preserve"> Stone, C. (2022). From the margins to the mainstream: The online learning rethink and its implications for enhancing student equity. </w:t>
      </w:r>
      <w:r w:rsidR="00A82283" w:rsidRPr="00D221AE">
        <w:rPr>
          <w:i/>
          <w:iCs/>
        </w:rPr>
        <w:t>Australasian Journal of Educational Technology</w:t>
      </w:r>
      <w:r w:rsidR="00A82283" w:rsidRPr="007E144D">
        <w:t xml:space="preserve">, 38(6), 151–165. </w:t>
      </w:r>
      <w:hyperlink r:id="rId4" w:history="1">
        <w:r w:rsidR="00653395" w:rsidRPr="003B2A51">
          <w:rPr>
            <w:rStyle w:val="Hyperlink"/>
            <w:lang w:val="en-US"/>
          </w:rPr>
          <w:t>https://doi.org/10.14742/ajet.8136</w:t>
        </w:r>
      </w:hyperlink>
      <w:r w:rsidR="00653395">
        <w:rPr>
          <w:lang w:val="en-US"/>
        </w:rPr>
        <w:t xml:space="preserve"> </w:t>
      </w:r>
    </w:p>
  </w:footnote>
  <w:footnote w:id="8">
    <w:p w14:paraId="71EA3F8A" w14:textId="03071179" w:rsidR="002A5280" w:rsidRPr="007E144D" w:rsidRDefault="002A5280" w:rsidP="00A722D1">
      <w:pPr>
        <w:pStyle w:val="FirstParagraph"/>
        <w:spacing w:before="120" w:after="0" w:line="240" w:lineRule="auto"/>
        <w:rPr>
          <w:sz w:val="20"/>
          <w:szCs w:val="20"/>
        </w:rPr>
      </w:pPr>
      <w:r w:rsidRPr="007E144D">
        <w:rPr>
          <w:rStyle w:val="FootnoteReference"/>
          <w:sz w:val="20"/>
          <w:szCs w:val="20"/>
        </w:rPr>
        <w:footnoteRef/>
      </w:r>
      <w:r w:rsidRPr="007E144D">
        <w:rPr>
          <w:sz w:val="20"/>
          <w:szCs w:val="20"/>
        </w:rPr>
        <w:t xml:space="preserve"> O’Shea, S., May, J., Stone, C., Delahunty, J. (2024). </w:t>
      </w:r>
      <w:r w:rsidRPr="00653395">
        <w:rPr>
          <w:i/>
          <w:iCs/>
          <w:sz w:val="20"/>
          <w:szCs w:val="20"/>
        </w:rPr>
        <w:t>The Online Student Experience: New Challenges for Engagement and Support. In: First-in-Family Students, University Experience and Family Life</w:t>
      </w:r>
      <w:r w:rsidRPr="007E144D">
        <w:rPr>
          <w:sz w:val="20"/>
          <w:szCs w:val="20"/>
        </w:rPr>
        <w:t xml:space="preserve">. Palgrave Macmillan, Cham. </w:t>
      </w:r>
      <w:hyperlink r:id="rId5" w:history="1">
        <w:r w:rsidR="00653395" w:rsidRPr="003B2A51">
          <w:rPr>
            <w:rStyle w:val="Hyperlink"/>
            <w:sz w:val="20"/>
            <w:szCs w:val="20"/>
          </w:rPr>
          <w:t>https://doi.org/10.1007/978-3-031-34451-0_6</w:t>
        </w:r>
      </w:hyperlink>
      <w:r w:rsidR="00653395">
        <w:rPr>
          <w:sz w:val="20"/>
          <w:szCs w:val="20"/>
        </w:rPr>
        <w:t xml:space="preserve"> </w:t>
      </w:r>
    </w:p>
    <w:p w14:paraId="7A725FDF" w14:textId="42948BCA" w:rsidR="002A5280" w:rsidRDefault="002A528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E05C" w14:textId="77777777" w:rsidR="00457A04" w:rsidRDefault="00457A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E05D" w14:textId="77777777" w:rsidR="00457A04" w:rsidRDefault="00457A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E061" w14:textId="77777777" w:rsidR="00457A04" w:rsidRDefault="00457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1CE37D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7F41305"/>
    <w:multiLevelType w:val="hybridMultilevel"/>
    <w:tmpl w:val="936C2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9C4211"/>
    <w:multiLevelType w:val="hybridMultilevel"/>
    <w:tmpl w:val="CFD47670"/>
    <w:lvl w:ilvl="0" w:tplc="1C5A1AEA">
      <w:numFmt w:val="bullet"/>
      <w:lvlText w:val="-"/>
      <w:lvlJc w:val="left"/>
      <w:pPr>
        <w:ind w:left="1080" w:hanging="360"/>
      </w:pPr>
      <w:rPr>
        <w:rFonts w:ascii="Inter" w:eastAsiaTheme="minorHAnsi" w:hAnsi="Inter"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DAD57F9"/>
    <w:multiLevelType w:val="hybridMultilevel"/>
    <w:tmpl w:val="59266DEC"/>
    <w:lvl w:ilvl="0" w:tplc="8EC0C782">
      <w:numFmt w:val="bullet"/>
      <w:lvlText w:val="•"/>
      <w:lvlJc w:val="left"/>
      <w:pPr>
        <w:ind w:left="720" w:hanging="36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CE32AB"/>
    <w:multiLevelType w:val="hybridMultilevel"/>
    <w:tmpl w:val="16D8C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291679E"/>
    <w:multiLevelType w:val="hybridMultilevel"/>
    <w:tmpl w:val="E9BA1B5A"/>
    <w:lvl w:ilvl="0" w:tplc="0C090001">
      <w:start w:val="1"/>
      <w:numFmt w:val="bullet"/>
      <w:lvlText w:val=""/>
      <w:lvlJc w:val="left"/>
      <w:pPr>
        <w:ind w:left="720" w:hanging="360"/>
      </w:pPr>
      <w:rPr>
        <w:rFonts w:ascii="Symbol" w:hAnsi="Symbol" w:hint="default"/>
      </w:rPr>
    </w:lvl>
    <w:lvl w:ilvl="1" w:tplc="E30615D4">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1516877">
    <w:abstractNumId w:val="0"/>
  </w:num>
  <w:num w:numId="2" w16cid:durableId="279066696">
    <w:abstractNumId w:val="0"/>
  </w:num>
  <w:num w:numId="3" w16cid:durableId="1572306266">
    <w:abstractNumId w:val="0"/>
  </w:num>
  <w:num w:numId="4" w16cid:durableId="861044616">
    <w:abstractNumId w:val="3"/>
  </w:num>
  <w:num w:numId="5" w16cid:durableId="1217664301">
    <w:abstractNumId w:val="2"/>
  </w:num>
  <w:num w:numId="6" w16cid:durableId="1603802538">
    <w:abstractNumId w:val="4"/>
  </w:num>
  <w:num w:numId="7" w16cid:durableId="1892299439">
    <w:abstractNumId w:val="1"/>
  </w:num>
  <w:num w:numId="8" w16cid:durableId="19607183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FBA"/>
    <w:rsid w:val="000019DA"/>
    <w:rsid w:val="00015C54"/>
    <w:rsid w:val="00053E85"/>
    <w:rsid w:val="00054180"/>
    <w:rsid w:val="00054AFB"/>
    <w:rsid w:val="0006091F"/>
    <w:rsid w:val="00063C12"/>
    <w:rsid w:val="000641F8"/>
    <w:rsid w:val="00080600"/>
    <w:rsid w:val="00092149"/>
    <w:rsid w:val="000A38A3"/>
    <w:rsid w:val="000A3D0F"/>
    <w:rsid w:val="000A5A60"/>
    <w:rsid w:val="000B5980"/>
    <w:rsid w:val="000B7421"/>
    <w:rsid w:val="001061E1"/>
    <w:rsid w:val="00110563"/>
    <w:rsid w:val="0011365E"/>
    <w:rsid w:val="00121A09"/>
    <w:rsid w:val="00124523"/>
    <w:rsid w:val="00130289"/>
    <w:rsid w:val="001306B5"/>
    <w:rsid w:val="0013302E"/>
    <w:rsid w:val="00141743"/>
    <w:rsid w:val="0016666F"/>
    <w:rsid w:val="00180900"/>
    <w:rsid w:val="00184EE1"/>
    <w:rsid w:val="00196373"/>
    <w:rsid w:val="00197B4A"/>
    <w:rsid w:val="001B277C"/>
    <w:rsid w:val="001B27D9"/>
    <w:rsid w:val="001C48B7"/>
    <w:rsid w:val="001C520F"/>
    <w:rsid w:val="001D2276"/>
    <w:rsid w:val="001D6734"/>
    <w:rsid w:val="001F10C2"/>
    <w:rsid w:val="001F14D7"/>
    <w:rsid w:val="001F3F57"/>
    <w:rsid w:val="00200228"/>
    <w:rsid w:val="0021151E"/>
    <w:rsid w:val="002218BD"/>
    <w:rsid w:val="0022580D"/>
    <w:rsid w:val="00237B3D"/>
    <w:rsid w:val="00240CD1"/>
    <w:rsid w:val="0024373D"/>
    <w:rsid w:val="002451D5"/>
    <w:rsid w:val="00247715"/>
    <w:rsid w:val="00250CA8"/>
    <w:rsid w:val="00266706"/>
    <w:rsid w:val="00282023"/>
    <w:rsid w:val="00292F9F"/>
    <w:rsid w:val="002A301C"/>
    <w:rsid w:val="002A5280"/>
    <w:rsid w:val="002C639E"/>
    <w:rsid w:val="002D41E2"/>
    <w:rsid w:val="002D421D"/>
    <w:rsid w:val="002D7CF0"/>
    <w:rsid w:val="002E78FA"/>
    <w:rsid w:val="002F1FA7"/>
    <w:rsid w:val="00304212"/>
    <w:rsid w:val="003062F3"/>
    <w:rsid w:val="0031734E"/>
    <w:rsid w:val="00326E6A"/>
    <w:rsid w:val="00330BFE"/>
    <w:rsid w:val="00336C61"/>
    <w:rsid w:val="003457C0"/>
    <w:rsid w:val="00360F11"/>
    <w:rsid w:val="003612F4"/>
    <w:rsid w:val="00366BD0"/>
    <w:rsid w:val="00373EC6"/>
    <w:rsid w:val="003815F1"/>
    <w:rsid w:val="00381B1B"/>
    <w:rsid w:val="00381CB1"/>
    <w:rsid w:val="003A4188"/>
    <w:rsid w:val="003A7219"/>
    <w:rsid w:val="003C0418"/>
    <w:rsid w:val="003C4EBA"/>
    <w:rsid w:val="003D2D4F"/>
    <w:rsid w:val="003F24C1"/>
    <w:rsid w:val="003F4E35"/>
    <w:rsid w:val="00400D74"/>
    <w:rsid w:val="00404B9D"/>
    <w:rsid w:val="00422B09"/>
    <w:rsid w:val="00430D44"/>
    <w:rsid w:val="00436B9F"/>
    <w:rsid w:val="004442F1"/>
    <w:rsid w:val="00457A04"/>
    <w:rsid w:val="004646B5"/>
    <w:rsid w:val="00465540"/>
    <w:rsid w:val="00465DD4"/>
    <w:rsid w:val="00467AAB"/>
    <w:rsid w:val="00475D89"/>
    <w:rsid w:val="004802E8"/>
    <w:rsid w:val="00490846"/>
    <w:rsid w:val="00491B2C"/>
    <w:rsid w:val="004A36AE"/>
    <w:rsid w:val="004B7F88"/>
    <w:rsid w:val="004C7D6A"/>
    <w:rsid w:val="004D7108"/>
    <w:rsid w:val="004E688F"/>
    <w:rsid w:val="004F4684"/>
    <w:rsid w:val="004F561D"/>
    <w:rsid w:val="0050072A"/>
    <w:rsid w:val="00500946"/>
    <w:rsid w:val="00505E5A"/>
    <w:rsid w:val="00510CC8"/>
    <w:rsid w:val="00517999"/>
    <w:rsid w:val="0052023A"/>
    <w:rsid w:val="005209CF"/>
    <w:rsid w:val="00540227"/>
    <w:rsid w:val="005446A6"/>
    <w:rsid w:val="00561FCD"/>
    <w:rsid w:val="0056240C"/>
    <w:rsid w:val="005628AA"/>
    <w:rsid w:val="00562BD5"/>
    <w:rsid w:val="005712DA"/>
    <w:rsid w:val="0057145A"/>
    <w:rsid w:val="00573DD4"/>
    <w:rsid w:val="00580E54"/>
    <w:rsid w:val="00595F9E"/>
    <w:rsid w:val="005D34BA"/>
    <w:rsid w:val="005D63DF"/>
    <w:rsid w:val="005E3C22"/>
    <w:rsid w:val="005F50CF"/>
    <w:rsid w:val="00605D71"/>
    <w:rsid w:val="006153D0"/>
    <w:rsid w:val="00615F70"/>
    <w:rsid w:val="00625620"/>
    <w:rsid w:val="0062608E"/>
    <w:rsid w:val="00626A8E"/>
    <w:rsid w:val="00634179"/>
    <w:rsid w:val="00635121"/>
    <w:rsid w:val="00637196"/>
    <w:rsid w:val="00653395"/>
    <w:rsid w:val="00666C18"/>
    <w:rsid w:val="006723E2"/>
    <w:rsid w:val="00673FD8"/>
    <w:rsid w:val="00674804"/>
    <w:rsid w:val="00677FA4"/>
    <w:rsid w:val="00687A72"/>
    <w:rsid w:val="00691A6C"/>
    <w:rsid w:val="006C7286"/>
    <w:rsid w:val="006D068E"/>
    <w:rsid w:val="006E173D"/>
    <w:rsid w:val="006E43C4"/>
    <w:rsid w:val="006E5108"/>
    <w:rsid w:val="006E7BA1"/>
    <w:rsid w:val="006F249E"/>
    <w:rsid w:val="006F6112"/>
    <w:rsid w:val="0070026A"/>
    <w:rsid w:val="0071507A"/>
    <w:rsid w:val="00732485"/>
    <w:rsid w:val="00747FC4"/>
    <w:rsid w:val="007528CF"/>
    <w:rsid w:val="0075697D"/>
    <w:rsid w:val="00757A1C"/>
    <w:rsid w:val="007755CB"/>
    <w:rsid w:val="007804C8"/>
    <w:rsid w:val="007805FA"/>
    <w:rsid w:val="00784342"/>
    <w:rsid w:val="00794BDE"/>
    <w:rsid w:val="007A295E"/>
    <w:rsid w:val="007B0759"/>
    <w:rsid w:val="007B4095"/>
    <w:rsid w:val="007C0F46"/>
    <w:rsid w:val="007C3975"/>
    <w:rsid w:val="007C7224"/>
    <w:rsid w:val="007E0173"/>
    <w:rsid w:val="007E144D"/>
    <w:rsid w:val="007E4933"/>
    <w:rsid w:val="007F0381"/>
    <w:rsid w:val="007F2176"/>
    <w:rsid w:val="007F2BD7"/>
    <w:rsid w:val="007F4643"/>
    <w:rsid w:val="00801F81"/>
    <w:rsid w:val="0081322C"/>
    <w:rsid w:val="00813FE2"/>
    <w:rsid w:val="008277EE"/>
    <w:rsid w:val="00834A44"/>
    <w:rsid w:val="00836793"/>
    <w:rsid w:val="008431BA"/>
    <w:rsid w:val="00853504"/>
    <w:rsid w:val="008558BE"/>
    <w:rsid w:val="008675C4"/>
    <w:rsid w:val="00867894"/>
    <w:rsid w:val="008935DE"/>
    <w:rsid w:val="00897A5E"/>
    <w:rsid w:val="008A236B"/>
    <w:rsid w:val="008A4827"/>
    <w:rsid w:val="008A4C4E"/>
    <w:rsid w:val="008A6E9A"/>
    <w:rsid w:val="008B1E5A"/>
    <w:rsid w:val="008C6502"/>
    <w:rsid w:val="008C745B"/>
    <w:rsid w:val="008D20C3"/>
    <w:rsid w:val="008E1922"/>
    <w:rsid w:val="008E3686"/>
    <w:rsid w:val="008F4A3A"/>
    <w:rsid w:val="008F687D"/>
    <w:rsid w:val="009021ED"/>
    <w:rsid w:val="00904BCA"/>
    <w:rsid w:val="00915636"/>
    <w:rsid w:val="00924043"/>
    <w:rsid w:val="00930D57"/>
    <w:rsid w:val="0095169F"/>
    <w:rsid w:val="0095181A"/>
    <w:rsid w:val="00970DF8"/>
    <w:rsid w:val="00984227"/>
    <w:rsid w:val="009870D8"/>
    <w:rsid w:val="009928C4"/>
    <w:rsid w:val="00995B42"/>
    <w:rsid w:val="00996642"/>
    <w:rsid w:val="009A2495"/>
    <w:rsid w:val="009B4233"/>
    <w:rsid w:val="009C45D7"/>
    <w:rsid w:val="009D6B21"/>
    <w:rsid w:val="009D7097"/>
    <w:rsid w:val="009E4AAC"/>
    <w:rsid w:val="009F0E8C"/>
    <w:rsid w:val="009F5966"/>
    <w:rsid w:val="009F7711"/>
    <w:rsid w:val="00A0227F"/>
    <w:rsid w:val="00A0239C"/>
    <w:rsid w:val="00A134ED"/>
    <w:rsid w:val="00A23BAE"/>
    <w:rsid w:val="00A25A9F"/>
    <w:rsid w:val="00A27079"/>
    <w:rsid w:val="00A30BD6"/>
    <w:rsid w:val="00A518DD"/>
    <w:rsid w:val="00A53A23"/>
    <w:rsid w:val="00A5605F"/>
    <w:rsid w:val="00A722D1"/>
    <w:rsid w:val="00A8146B"/>
    <w:rsid w:val="00A82283"/>
    <w:rsid w:val="00A83EC0"/>
    <w:rsid w:val="00A87063"/>
    <w:rsid w:val="00A929C3"/>
    <w:rsid w:val="00A94FBA"/>
    <w:rsid w:val="00AB3755"/>
    <w:rsid w:val="00AC2E30"/>
    <w:rsid w:val="00AC6444"/>
    <w:rsid w:val="00AE0466"/>
    <w:rsid w:val="00AE344B"/>
    <w:rsid w:val="00AE4B6C"/>
    <w:rsid w:val="00AE6CA1"/>
    <w:rsid w:val="00B007B3"/>
    <w:rsid w:val="00B030E4"/>
    <w:rsid w:val="00B369C1"/>
    <w:rsid w:val="00B369CB"/>
    <w:rsid w:val="00B37254"/>
    <w:rsid w:val="00B752BA"/>
    <w:rsid w:val="00B82A61"/>
    <w:rsid w:val="00B96D60"/>
    <w:rsid w:val="00BA53FB"/>
    <w:rsid w:val="00BA6083"/>
    <w:rsid w:val="00BB0F34"/>
    <w:rsid w:val="00BB17DF"/>
    <w:rsid w:val="00BB278B"/>
    <w:rsid w:val="00BB385D"/>
    <w:rsid w:val="00BC2F0B"/>
    <w:rsid w:val="00BC4AB4"/>
    <w:rsid w:val="00BE276D"/>
    <w:rsid w:val="00C01C5D"/>
    <w:rsid w:val="00C2601F"/>
    <w:rsid w:val="00C260EA"/>
    <w:rsid w:val="00C5165B"/>
    <w:rsid w:val="00C66911"/>
    <w:rsid w:val="00C6714E"/>
    <w:rsid w:val="00C7470F"/>
    <w:rsid w:val="00C758B8"/>
    <w:rsid w:val="00C76403"/>
    <w:rsid w:val="00C86E53"/>
    <w:rsid w:val="00CA33D4"/>
    <w:rsid w:val="00CA383F"/>
    <w:rsid w:val="00CA4B03"/>
    <w:rsid w:val="00CA667B"/>
    <w:rsid w:val="00CB4161"/>
    <w:rsid w:val="00CD4E9C"/>
    <w:rsid w:val="00D06D38"/>
    <w:rsid w:val="00D221AE"/>
    <w:rsid w:val="00D2472E"/>
    <w:rsid w:val="00D25569"/>
    <w:rsid w:val="00D30488"/>
    <w:rsid w:val="00D3210E"/>
    <w:rsid w:val="00D466BE"/>
    <w:rsid w:val="00D5376D"/>
    <w:rsid w:val="00D55066"/>
    <w:rsid w:val="00D66852"/>
    <w:rsid w:val="00D830DB"/>
    <w:rsid w:val="00DA0A30"/>
    <w:rsid w:val="00DA1350"/>
    <w:rsid w:val="00DB2611"/>
    <w:rsid w:val="00DC5B41"/>
    <w:rsid w:val="00DC60F4"/>
    <w:rsid w:val="00DD3AB9"/>
    <w:rsid w:val="00DD4F11"/>
    <w:rsid w:val="00DE20E3"/>
    <w:rsid w:val="00E02CA0"/>
    <w:rsid w:val="00E0394F"/>
    <w:rsid w:val="00E17CBB"/>
    <w:rsid w:val="00E213D8"/>
    <w:rsid w:val="00E25B51"/>
    <w:rsid w:val="00E31F2D"/>
    <w:rsid w:val="00E36BA4"/>
    <w:rsid w:val="00E4182A"/>
    <w:rsid w:val="00E43443"/>
    <w:rsid w:val="00E50971"/>
    <w:rsid w:val="00E52EC7"/>
    <w:rsid w:val="00E57DE8"/>
    <w:rsid w:val="00E61D9D"/>
    <w:rsid w:val="00E6255E"/>
    <w:rsid w:val="00E7548F"/>
    <w:rsid w:val="00E767A4"/>
    <w:rsid w:val="00E95B5A"/>
    <w:rsid w:val="00EA328C"/>
    <w:rsid w:val="00EC4540"/>
    <w:rsid w:val="00ED4950"/>
    <w:rsid w:val="00ED5266"/>
    <w:rsid w:val="00ED653E"/>
    <w:rsid w:val="00EF7B41"/>
    <w:rsid w:val="00F1236E"/>
    <w:rsid w:val="00F14542"/>
    <w:rsid w:val="00F17335"/>
    <w:rsid w:val="00F25136"/>
    <w:rsid w:val="00F269BC"/>
    <w:rsid w:val="00F423AB"/>
    <w:rsid w:val="00F47179"/>
    <w:rsid w:val="00F6678F"/>
    <w:rsid w:val="00F66D1F"/>
    <w:rsid w:val="00F7040E"/>
    <w:rsid w:val="00F769F4"/>
    <w:rsid w:val="00FA77C6"/>
    <w:rsid w:val="00FC1BD5"/>
    <w:rsid w:val="00FC7D7B"/>
    <w:rsid w:val="00FD58B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DF8E"/>
  <w15:docId w15:val="{7847A87B-5C40-43B0-A23C-A90C94E2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5F3803"/>
    <w:pPr>
      <w:keepNext/>
      <w:keepLines/>
      <w:spacing w:before="480" w:after="0"/>
      <w:outlineLvl w:val="0"/>
    </w:pPr>
    <w:rPr>
      <w:rFonts w:ascii="Inter" w:eastAsiaTheme="majorEastAsia" w:hAnsi="Inter" w:cstheme="majorBidi"/>
      <w:color w:val="6B3B57"/>
      <w:sz w:val="40"/>
      <w:szCs w:val="40"/>
    </w:rPr>
  </w:style>
  <w:style w:type="paragraph" w:styleId="Heading2">
    <w:name w:val="heading 2"/>
    <w:basedOn w:val="Normal"/>
    <w:next w:val="BodyText"/>
    <w:uiPriority w:val="9"/>
    <w:unhideWhenUsed/>
    <w:qFormat/>
    <w:rsid w:val="005712DA"/>
    <w:pPr>
      <w:keepNext/>
      <w:keepLines/>
      <w:spacing w:before="200" w:after="240"/>
      <w:outlineLvl w:val="1"/>
    </w:pPr>
    <w:rPr>
      <w:rFonts w:ascii="Inter Medium" w:eastAsiaTheme="majorEastAsia" w:hAnsi="Inter Medium" w:cstheme="majorBidi"/>
      <w:color w:val="6B3B57"/>
      <w:sz w:val="52"/>
      <w:szCs w:val="5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F914C0"/>
    <w:pPr>
      <w:spacing w:after="180" w:line="274" w:lineRule="auto"/>
    </w:pPr>
    <w:rPr>
      <w:rFonts w:ascii="Inter" w:hAnsi="Inter"/>
      <w:sz w:val="22"/>
      <w:szCs w:val="22"/>
    </w:rPr>
  </w:style>
  <w:style w:type="paragraph" w:customStyle="1" w:styleId="FirstParagraph">
    <w:name w:val="First Paragraph"/>
    <w:basedOn w:val="BodyText"/>
    <w:next w:val="BodyText"/>
    <w:qFormat/>
    <w:rsid w:val="008E2CD2"/>
  </w:style>
  <w:style w:type="paragraph" w:customStyle="1" w:styleId="Compact">
    <w:name w:val="Compact"/>
    <w:basedOn w:val="BodyText"/>
    <w:qFormat/>
    <w:pPr>
      <w:spacing w:before="36" w:after="36"/>
    </w:pPr>
  </w:style>
  <w:style w:type="paragraph" w:styleId="Title">
    <w:name w:val="Title"/>
    <w:basedOn w:val="Normal"/>
    <w:next w:val="BodyText"/>
    <w:qFormat/>
    <w:rsid w:val="00B3105D"/>
    <w:pPr>
      <w:keepNext/>
      <w:keepLines/>
      <w:spacing w:before="480" w:after="240"/>
      <w:jc w:val="center"/>
    </w:pPr>
    <w:rPr>
      <w:rFonts w:ascii="Inter" w:eastAsiaTheme="majorEastAsia" w:hAnsi="Inter" w:cstheme="majorBidi"/>
      <w:color w:val="6B3B57"/>
      <w:sz w:val="104"/>
      <w:szCs w:val="104"/>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rsid w:val="00050606"/>
    <w:rPr>
      <w:rFonts w:ascii="Inter" w:hAnsi="Inter"/>
      <w:sz w:val="20"/>
      <w:szCs w:val="20"/>
      <w:lang w:val="en-AU"/>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BodyText"/>
    <w:rsid w:val="001F14D7"/>
    <w:rPr>
      <w:i/>
      <w:iCs/>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sid w:val="006E5108"/>
    <w:rPr>
      <w:color w:val="254C8C"/>
    </w:rPr>
  </w:style>
  <w:style w:type="paragraph" w:styleId="TOCHeading">
    <w:name w:val="TOC Heading"/>
    <w:basedOn w:val="Heading1"/>
    <w:next w:val="BodyText"/>
    <w:uiPriority w:val="39"/>
    <w:unhideWhenUsed/>
    <w:qFormat/>
    <w:pPr>
      <w:spacing w:before="240" w:line="259" w:lineRule="auto"/>
      <w:outlineLvl w:val="9"/>
    </w:pPr>
    <w:rPr>
      <w:b/>
      <w:bCs/>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A55E6D"/>
    <w:pPr>
      <w:tabs>
        <w:tab w:val="center" w:pos="4513"/>
        <w:tab w:val="right" w:pos="9026"/>
      </w:tabs>
      <w:spacing w:after="0"/>
    </w:pPr>
  </w:style>
  <w:style w:type="character" w:customStyle="1" w:styleId="HeaderChar">
    <w:name w:val="Header Char"/>
    <w:basedOn w:val="DefaultParagraphFont"/>
    <w:link w:val="Header"/>
    <w:rsid w:val="00A55E6D"/>
  </w:style>
  <w:style w:type="paragraph" w:styleId="Footer">
    <w:name w:val="footer"/>
    <w:basedOn w:val="Normal"/>
    <w:link w:val="FooterChar"/>
    <w:uiPriority w:val="99"/>
    <w:rsid w:val="00A55E6D"/>
    <w:pPr>
      <w:tabs>
        <w:tab w:val="center" w:pos="4513"/>
        <w:tab w:val="right" w:pos="9026"/>
      </w:tabs>
      <w:spacing w:after="0"/>
    </w:pPr>
  </w:style>
  <w:style w:type="character" w:customStyle="1" w:styleId="FooterChar">
    <w:name w:val="Footer Char"/>
    <w:basedOn w:val="DefaultParagraphFont"/>
    <w:link w:val="Footer"/>
    <w:uiPriority w:val="99"/>
    <w:rsid w:val="00A55E6D"/>
  </w:style>
  <w:style w:type="character" w:styleId="CommentReference">
    <w:name w:val="annotation reference"/>
    <w:basedOn w:val="DefaultParagraphFont"/>
    <w:rsid w:val="00897A5E"/>
    <w:rPr>
      <w:sz w:val="16"/>
      <w:szCs w:val="16"/>
    </w:rPr>
  </w:style>
  <w:style w:type="paragraph" w:styleId="CommentText">
    <w:name w:val="annotation text"/>
    <w:basedOn w:val="Normal"/>
    <w:link w:val="CommentTextChar"/>
    <w:rsid w:val="00897A5E"/>
    <w:rPr>
      <w:sz w:val="20"/>
      <w:szCs w:val="20"/>
    </w:rPr>
  </w:style>
  <w:style w:type="character" w:customStyle="1" w:styleId="CommentTextChar">
    <w:name w:val="Comment Text Char"/>
    <w:basedOn w:val="DefaultParagraphFont"/>
    <w:link w:val="CommentText"/>
    <w:rsid w:val="00897A5E"/>
    <w:rPr>
      <w:sz w:val="20"/>
      <w:szCs w:val="20"/>
    </w:rPr>
  </w:style>
  <w:style w:type="paragraph" w:styleId="CommentSubject">
    <w:name w:val="annotation subject"/>
    <w:basedOn w:val="CommentText"/>
    <w:next w:val="CommentText"/>
    <w:link w:val="CommentSubjectChar"/>
    <w:rsid w:val="00897A5E"/>
    <w:rPr>
      <w:b/>
      <w:bCs/>
    </w:rPr>
  </w:style>
  <w:style w:type="character" w:customStyle="1" w:styleId="CommentSubjectChar">
    <w:name w:val="Comment Subject Char"/>
    <w:basedOn w:val="CommentTextChar"/>
    <w:link w:val="CommentSubject"/>
    <w:rsid w:val="00897A5E"/>
    <w:rPr>
      <w:b/>
      <w:bCs/>
      <w:sz w:val="20"/>
      <w:szCs w:val="20"/>
    </w:rPr>
  </w:style>
  <w:style w:type="character" w:styleId="UnresolvedMention">
    <w:name w:val="Unresolved Mention"/>
    <w:basedOn w:val="DefaultParagraphFont"/>
    <w:uiPriority w:val="99"/>
    <w:semiHidden/>
    <w:unhideWhenUsed/>
    <w:rsid w:val="007E144D"/>
    <w:rPr>
      <w:color w:val="605E5C"/>
      <w:shd w:val="clear" w:color="auto" w:fill="E1DFDD"/>
    </w:rPr>
  </w:style>
  <w:style w:type="paragraph" w:styleId="NormalWeb">
    <w:name w:val="Normal (Web)"/>
    <w:basedOn w:val="Normal"/>
    <w:rsid w:val="00A929C3"/>
    <w:rPr>
      <w:rFonts w:ascii="Times New Roman" w:hAnsi="Times New Roman" w:cs="Times New Roman"/>
    </w:rPr>
  </w:style>
  <w:style w:type="paragraph" w:styleId="Revision">
    <w:name w:val="Revision"/>
    <w:hidden/>
    <w:rsid w:val="00373EC6"/>
    <w:pPr>
      <w:spacing w:after="0"/>
    </w:pPr>
  </w:style>
  <w:style w:type="character" w:styleId="FollowedHyperlink">
    <w:name w:val="FollowedHyperlink"/>
    <w:basedOn w:val="DefaultParagraphFont"/>
    <w:rsid w:val="007528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85571">
      <w:bodyDiv w:val="1"/>
      <w:marLeft w:val="0"/>
      <w:marRight w:val="0"/>
      <w:marTop w:val="0"/>
      <w:marBottom w:val="0"/>
      <w:divBdr>
        <w:top w:val="none" w:sz="0" w:space="0" w:color="auto"/>
        <w:left w:val="none" w:sz="0" w:space="0" w:color="auto"/>
        <w:bottom w:val="none" w:sz="0" w:space="0" w:color="auto"/>
        <w:right w:val="none" w:sz="0" w:space="0" w:color="auto"/>
      </w:divBdr>
    </w:div>
    <w:div w:id="13079710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ses.edu.au"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3.xml"/><Relationship Id="rId7" Type="http://schemas.openxmlformats.org/officeDocument/2006/relationships/hyperlink" Target="https://www.acses.edu.au/data/interactive-tool/"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_rels/footnotes.xml.rels><?xml version="1.0" encoding="UTF-8" standalone="yes"?>
<Relationships xmlns="http://schemas.openxmlformats.org/package/2006/relationships"><Relationship Id="rId3" Type="http://schemas.openxmlformats.org/officeDocument/2006/relationships/hyperlink" Target="https://www.acses.edu.au/publication/student-equity-data-guide-defining-equity-groups/" TargetMode="External"/><Relationship Id="rId2" Type="http://schemas.openxmlformats.org/officeDocument/2006/relationships/hyperlink" Target="https://www.legislation.gov.au/C2004A01234/latest/downloads" TargetMode="External"/><Relationship Id="rId1" Type="http://schemas.openxmlformats.org/officeDocument/2006/relationships/hyperlink" Target="https://www.tcsisupport.gov.au/element/329" TargetMode="External"/><Relationship Id="rId5" Type="http://schemas.openxmlformats.org/officeDocument/2006/relationships/hyperlink" Target="https://doi.org/10.1007/978-3-031-34451-0_6" TargetMode="External"/><Relationship Id="rId4" Type="http://schemas.openxmlformats.org/officeDocument/2006/relationships/hyperlink" Target="https://doi.org/10.14742/ajet.8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33</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Mode of attendance in Australian higher education from 2021 to 2023</vt:lpstr>
    </vt:vector>
  </TitlesOfParts>
  <Company/>
  <LinksUpToDate>false</LinksUpToDate>
  <CharactersWithSpaces>13648</CharactersWithSpaces>
  <SharedDoc>false</SharedDoc>
  <HLinks>
    <vt:vector size="12" baseType="variant">
      <vt:variant>
        <vt:i4>2490468</vt:i4>
      </vt:variant>
      <vt:variant>
        <vt:i4>0</vt:i4>
      </vt:variant>
      <vt:variant>
        <vt:i4>0</vt:i4>
      </vt:variant>
      <vt:variant>
        <vt:i4>5</vt:i4>
      </vt:variant>
      <vt:variant>
        <vt:lpwstr>https://www.acses.edu.au/data/interactive-tool/</vt:lpwstr>
      </vt:variant>
      <vt:variant>
        <vt:lpwstr/>
      </vt:variant>
      <vt:variant>
        <vt:i4>3407986</vt:i4>
      </vt:variant>
      <vt:variant>
        <vt:i4>0</vt:i4>
      </vt:variant>
      <vt:variant>
        <vt:i4>0</vt:i4>
      </vt:variant>
      <vt:variant>
        <vt:i4>5</vt:i4>
      </vt:variant>
      <vt:variant>
        <vt:lpwstr>https://www.tcsisupport.gov.au/element/329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 of attendance in Australian higher education from 2021 to 2023</dc:title>
  <dc:creator>Gemma Cadby</dc:creator>
  <cp:keywords/>
  <cp:lastModifiedBy>Anna Will</cp:lastModifiedBy>
  <cp:revision>3</cp:revision>
  <dcterms:created xsi:type="dcterms:W3CDTF">2025-09-16T23:40:00Z</dcterms:created>
  <dcterms:modified xsi:type="dcterms:W3CDTF">2025-09-17T02:49:00Z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