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CE55D" w14:textId="77777777" w:rsidR="00527B7B" w:rsidRPr="003E55D9" w:rsidRDefault="00E84684" w:rsidP="001D2359">
      <w:pPr>
        <w:pStyle w:val="Title"/>
        <w:rPr>
          <w:lang w:val="en-AU"/>
        </w:rPr>
      </w:pPr>
      <w:r w:rsidRPr="003E55D9">
        <w:rPr>
          <w:lang w:val="en-AU"/>
        </w:rPr>
        <w:t>Retention rates in Australian higher education</w:t>
      </w:r>
    </w:p>
    <w:p w14:paraId="4BD52CA0" w14:textId="77777777" w:rsidR="00384FEA" w:rsidRPr="003E55D9" w:rsidRDefault="00384FEA" w:rsidP="00384FEA">
      <w:pPr>
        <w:pStyle w:val="Heading1"/>
        <w:rPr>
          <w:sz w:val="22"/>
          <w:szCs w:val="14"/>
          <w:lang w:val="en-AU"/>
        </w:rPr>
      </w:pPr>
      <w:bookmarkStart w:id="0" w:name="acses-data-insights-series-report-2"/>
    </w:p>
    <w:p w14:paraId="20BCE55E" w14:textId="71B87108" w:rsidR="00527B7B" w:rsidRPr="003E55D9" w:rsidRDefault="00E84684" w:rsidP="001D2359">
      <w:pPr>
        <w:pStyle w:val="Subtitle"/>
        <w:rPr>
          <w:lang w:val="en-AU"/>
        </w:rPr>
      </w:pPr>
      <w:r w:rsidRPr="003E55D9">
        <w:rPr>
          <w:lang w:val="en-AU"/>
        </w:rPr>
        <w:t>ACSES Data Insights Series, Report 2</w:t>
      </w:r>
    </w:p>
    <w:p w14:paraId="20BCE55F" w14:textId="77777777" w:rsidR="00527B7B" w:rsidRPr="003E55D9" w:rsidRDefault="00E84684" w:rsidP="00384FEA">
      <w:pPr>
        <w:rPr>
          <w:lang w:val="en-AU"/>
        </w:rPr>
      </w:pPr>
      <w:r w:rsidRPr="003E55D9">
        <w:rPr>
          <w:lang w:val="en-AU"/>
        </w:rPr>
        <w:br w:type="page"/>
      </w:r>
    </w:p>
    <w:p w14:paraId="20BCE560" w14:textId="77777777" w:rsidR="00527B7B" w:rsidRPr="003E55D9" w:rsidRDefault="00E84684" w:rsidP="00384FEA">
      <w:pPr>
        <w:pStyle w:val="Heading1"/>
        <w:rPr>
          <w:lang w:val="en-AU"/>
        </w:rPr>
      </w:pPr>
      <w:bookmarkStart w:id="1" w:name="acknowledgements"/>
      <w:r w:rsidRPr="003E55D9">
        <w:rPr>
          <w:lang w:val="en-AU"/>
        </w:rPr>
        <w:lastRenderedPageBreak/>
        <w:t>Acknowledgements</w:t>
      </w:r>
    </w:p>
    <w:p w14:paraId="20BCE561" w14:textId="77777777" w:rsidR="00527B7B" w:rsidRPr="003E55D9" w:rsidRDefault="00E84684" w:rsidP="00384FEA">
      <w:pPr>
        <w:rPr>
          <w:lang w:val="en-AU"/>
        </w:rPr>
      </w:pPr>
      <w:r w:rsidRPr="003E55D9">
        <w:rPr>
          <w:lang w:val="en-AU"/>
        </w:rPr>
        <w:t>This report was prepared by the Data Program of the Australian Centre for Student Equity and Success (ACSES) at Curtin University.</w:t>
      </w:r>
    </w:p>
    <w:p w14:paraId="20BCE562" w14:textId="77777777" w:rsidR="00527B7B" w:rsidRPr="003E55D9" w:rsidRDefault="00E84684" w:rsidP="00384FEA">
      <w:pPr>
        <w:pStyle w:val="BodyText"/>
        <w:rPr>
          <w:lang w:val="en-AU"/>
        </w:rPr>
      </w:pPr>
      <w:r w:rsidRPr="003E55D9">
        <w:rPr>
          <w:lang w:val="en-AU"/>
        </w:rPr>
        <w:t>The authors would like to acknowledge the staff at ACSES for their comments and assistance in the production of this publication and extend thanks to the Australian Government Department of Education for the provision of student equity data.</w:t>
      </w:r>
    </w:p>
    <w:p w14:paraId="20BCE563" w14:textId="77777777" w:rsidR="00527B7B" w:rsidRPr="003E55D9" w:rsidRDefault="00E84684" w:rsidP="00384FEA">
      <w:pPr>
        <w:pStyle w:val="BodyText"/>
        <w:rPr>
          <w:lang w:val="en-AU"/>
        </w:rPr>
      </w:pPr>
      <w:r w:rsidRPr="003E55D9">
        <w:rPr>
          <w:lang w:val="en-AU"/>
        </w:rPr>
        <w:t xml:space="preserve">The report may be cited as: ACSES Data Program. (2025). </w:t>
      </w:r>
      <w:r w:rsidRPr="003E55D9">
        <w:rPr>
          <w:i/>
          <w:iCs/>
          <w:lang w:val="en-AU"/>
        </w:rPr>
        <w:t>Retention rates in Australian higher education</w:t>
      </w:r>
      <w:r w:rsidRPr="003E55D9">
        <w:rPr>
          <w:lang w:val="en-AU"/>
        </w:rPr>
        <w:t>. Australian Centre for Student Equity and Success (ACSES), Perth: Curtin University.</w:t>
      </w:r>
    </w:p>
    <w:p w14:paraId="20BCE564" w14:textId="51C3128A" w:rsidR="00527B7B" w:rsidRPr="003F5023" w:rsidRDefault="00E84684" w:rsidP="00384FEA">
      <w:pPr>
        <w:pStyle w:val="BodyText"/>
        <w:rPr>
          <w:lang w:val="en-AU"/>
        </w:rPr>
      </w:pPr>
      <w:r w:rsidRPr="003E55D9">
        <w:rPr>
          <w:lang w:val="en-AU"/>
        </w:rPr>
        <w:t xml:space="preserve">This report focuses on retention rates among domestic undergraduate students over the past seven years, with a focus on the 2022/2023 period. For further information on retention, participation, success, six- and nine-year cohort completion — please see the ACSES Student Equity Data </w:t>
      </w:r>
      <w:r w:rsidR="00D57CA3" w:rsidRPr="003E55D9">
        <w:rPr>
          <w:lang w:val="en-AU"/>
        </w:rPr>
        <w:t>Interactive Tool</w:t>
      </w:r>
      <w:r w:rsidRPr="003E55D9">
        <w:rPr>
          <w:lang w:val="en-AU"/>
        </w:rPr>
        <w:t xml:space="preserve">: </w:t>
      </w:r>
      <w:hyperlink r:id="rId7">
        <w:r w:rsidRPr="003E55D9">
          <w:rPr>
            <w:rStyle w:val="Hyperlink"/>
            <w:lang w:val="en-AU"/>
          </w:rPr>
          <w:t>https://www.acses.edu.au/data/interactive-tool/</w:t>
        </w:r>
      </w:hyperlink>
      <w:r w:rsidR="00384FEA" w:rsidRPr="003F5023">
        <w:rPr>
          <w:lang w:val="en-AU"/>
        </w:rPr>
        <w:t xml:space="preserve"> </w:t>
      </w:r>
    </w:p>
    <w:p w14:paraId="20BCE565" w14:textId="7E43F74C" w:rsidR="00527B7B" w:rsidRPr="003F5023" w:rsidRDefault="00E84684" w:rsidP="00384FEA">
      <w:pPr>
        <w:pStyle w:val="BodyText"/>
        <w:rPr>
          <w:lang w:val="en-AU"/>
        </w:rPr>
      </w:pPr>
      <w:r w:rsidRPr="003F5023">
        <w:rPr>
          <w:lang w:val="en-AU"/>
        </w:rPr>
        <w:t xml:space="preserve">Copyright ownership of this material resides with </w:t>
      </w:r>
      <w:r w:rsidR="0007170F" w:rsidRPr="003F5023">
        <w:rPr>
          <w:lang w:val="en-AU"/>
        </w:rPr>
        <w:t>Curtin University</w:t>
      </w:r>
      <w:r w:rsidRPr="003F5023">
        <w:rPr>
          <w:lang w:val="en-AU"/>
        </w:rPr>
        <w:t>.</w:t>
      </w:r>
    </w:p>
    <w:p w14:paraId="20BCE566" w14:textId="6B6D6350" w:rsidR="00527B7B" w:rsidRPr="003F5023" w:rsidRDefault="00E84684" w:rsidP="00384FEA">
      <w:pPr>
        <w:pStyle w:val="BodyText"/>
        <w:rPr>
          <w:lang w:val="en-AU"/>
        </w:rPr>
      </w:pPr>
      <w:r w:rsidRPr="00042A04">
        <w:rPr>
          <w:lang w:val="en-AU"/>
        </w:rPr>
        <w:t xml:space="preserve">ISBN - </w:t>
      </w:r>
      <w:r w:rsidR="00042A04" w:rsidRPr="00BB735E">
        <w:t>978-0-6454877-2-5</w:t>
      </w:r>
    </w:p>
    <w:p w14:paraId="20BCE567" w14:textId="77777777" w:rsidR="00527B7B" w:rsidRPr="003F5023" w:rsidRDefault="00E84684" w:rsidP="00384FEA">
      <w:pPr>
        <w:rPr>
          <w:lang w:val="en-AU"/>
        </w:rPr>
      </w:pPr>
      <w:r w:rsidRPr="003F5023">
        <w:rPr>
          <w:lang w:val="en-AU"/>
        </w:rPr>
        <w:br w:type="page"/>
      </w:r>
    </w:p>
    <w:p w14:paraId="20BCE568" w14:textId="77777777" w:rsidR="00527B7B" w:rsidRPr="003F5023" w:rsidRDefault="00E84684" w:rsidP="00384FEA">
      <w:pPr>
        <w:pStyle w:val="Heading1"/>
        <w:rPr>
          <w:lang w:val="en-AU"/>
        </w:rPr>
      </w:pPr>
      <w:bookmarkStart w:id="2" w:name="Xd5011d5efd06eff49e328a6d4b72f1a59c57ba8"/>
      <w:bookmarkEnd w:id="1"/>
      <w:r w:rsidRPr="003F5023">
        <w:rPr>
          <w:lang w:val="en-AU"/>
        </w:rPr>
        <w:lastRenderedPageBreak/>
        <w:t>The Australian Centre for Student Equity and Success Data Insights Series</w:t>
      </w:r>
    </w:p>
    <w:p w14:paraId="20BCE569" w14:textId="4A0B189C" w:rsidR="00527B7B" w:rsidRPr="003F5023" w:rsidRDefault="00E84684" w:rsidP="00384FEA">
      <w:pPr>
        <w:pStyle w:val="FirstParagraph"/>
        <w:rPr>
          <w:lang w:val="en-AU"/>
        </w:rPr>
      </w:pPr>
      <w:r w:rsidRPr="003F5023">
        <w:rPr>
          <w:lang w:val="en-AU"/>
        </w:rPr>
        <w:t xml:space="preserve">The Australian Centre for Student Equity and Success (ACSES) is an evidence-based research and public policy centre based at Curtin University and funded by the </w:t>
      </w:r>
      <w:hyperlink r:id="rId8" w:history="1">
        <w:r w:rsidRPr="003F5023">
          <w:rPr>
            <w:rStyle w:val="Hyperlink"/>
            <w:lang w:val="en-AU"/>
          </w:rPr>
          <w:t>Australian Government Department of Education</w:t>
        </w:r>
      </w:hyperlink>
      <w:r w:rsidRPr="003F5023">
        <w:rPr>
          <w:lang w:val="en-AU"/>
        </w:rPr>
        <w:t>. ACSES is committed to providing the higher education sector with tangible proof of what works to improve the quality and impact of student equity practices in higher education.</w:t>
      </w:r>
    </w:p>
    <w:p w14:paraId="20BCE56A" w14:textId="35CA975F" w:rsidR="00527B7B" w:rsidRPr="003F5023" w:rsidRDefault="00E84684" w:rsidP="00384FEA">
      <w:pPr>
        <w:pStyle w:val="BodyText"/>
        <w:rPr>
          <w:lang w:val="en-AU"/>
        </w:rPr>
      </w:pPr>
      <w:r w:rsidRPr="003F5023">
        <w:rPr>
          <w:lang w:val="en-AU"/>
        </w:rPr>
        <w:t xml:space="preserve">The ACSES Data Insights Series reports on </w:t>
      </w:r>
      <w:r w:rsidRPr="003F5023">
        <w:rPr>
          <w:b/>
          <w:bCs/>
          <w:lang w:val="en-AU"/>
        </w:rPr>
        <w:t>equity student participation and outcomes</w:t>
      </w:r>
      <w:r w:rsidRPr="003F5023">
        <w:rPr>
          <w:lang w:val="en-AU"/>
        </w:rPr>
        <w:t xml:space="preserve"> in Australian higher education. It focuses on trends among identified equity groups</w:t>
      </w:r>
      <w:r w:rsidR="00332049">
        <w:rPr>
          <w:rStyle w:val="FootnoteReference"/>
          <w:lang w:val="en-AU"/>
        </w:rPr>
        <w:footnoteReference w:id="2"/>
      </w:r>
      <w:r w:rsidRPr="003F5023">
        <w:rPr>
          <w:lang w:val="en-AU"/>
        </w:rPr>
        <w:t xml:space="preserve"> in domestic undergraduate enrolments in Australia, including, but not limited to:</w:t>
      </w:r>
    </w:p>
    <w:p w14:paraId="20BCE56B" w14:textId="43741AB4" w:rsidR="00527B7B" w:rsidRPr="00D46136" w:rsidRDefault="00E84684" w:rsidP="00D46136">
      <w:pPr>
        <w:pStyle w:val="ListBullet"/>
      </w:pPr>
      <w:r w:rsidRPr="00D46136">
        <w:t>Low socio-economic status (SES) students</w:t>
      </w:r>
    </w:p>
    <w:p w14:paraId="20BCE56C" w14:textId="59FEB92D" w:rsidR="00527B7B" w:rsidRPr="00D46136" w:rsidRDefault="00E84684" w:rsidP="00D46136">
      <w:pPr>
        <w:pStyle w:val="ListBullet"/>
      </w:pPr>
      <w:r w:rsidRPr="00D46136">
        <w:t>Students with Disability</w:t>
      </w:r>
    </w:p>
    <w:p w14:paraId="20BCE56D" w14:textId="1C2D8FE2" w:rsidR="00527B7B" w:rsidRPr="00D46136" w:rsidRDefault="00E84684" w:rsidP="00D46136">
      <w:pPr>
        <w:pStyle w:val="ListBullet"/>
      </w:pPr>
      <w:r w:rsidRPr="00D46136">
        <w:t>First Nations (Aboriginal and Torres Strait Islander) Australian students</w:t>
      </w:r>
    </w:p>
    <w:p w14:paraId="20BCE56E" w14:textId="595BE2E2" w:rsidR="00527B7B" w:rsidRPr="00D46136" w:rsidRDefault="00E84684" w:rsidP="00D46136">
      <w:pPr>
        <w:pStyle w:val="ListBullet"/>
      </w:pPr>
      <w:r w:rsidRPr="00D46136">
        <w:t>Regional students</w:t>
      </w:r>
    </w:p>
    <w:p w14:paraId="20BCE56F" w14:textId="08B08C73" w:rsidR="00527B7B" w:rsidRPr="00D46136" w:rsidRDefault="00E84684" w:rsidP="00D46136">
      <w:pPr>
        <w:pStyle w:val="ListBullet"/>
      </w:pPr>
      <w:r w:rsidRPr="00D46136">
        <w:t>Remote students</w:t>
      </w:r>
    </w:p>
    <w:p w14:paraId="20BCE570" w14:textId="3A7F5D67" w:rsidR="00527B7B" w:rsidRPr="003F5023" w:rsidRDefault="00E84684" w:rsidP="00384FEA">
      <w:pPr>
        <w:pStyle w:val="BodyText"/>
        <w:rPr>
          <w:lang w:val="en-AU"/>
        </w:rPr>
      </w:pPr>
      <w:r w:rsidRPr="003F5023">
        <w:rPr>
          <w:lang w:val="en-AU"/>
        </w:rPr>
        <w:t>For further information</w:t>
      </w:r>
      <w:r w:rsidR="00332049">
        <w:rPr>
          <w:lang w:val="en-AU"/>
        </w:rPr>
        <w:t xml:space="preserve"> </w:t>
      </w:r>
      <w:r w:rsidRPr="003F5023">
        <w:rPr>
          <w:lang w:val="en-AU"/>
        </w:rPr>
        <w:t xml:space="preserve">on ACSES, please visit </w:t>
      </w:r>
      <w:hyperlink r:id="rId9" w:history="1">
        <w:r w:rsidRPr="003F5023">
          <w:rPr>
            <w:rStyle w:val="Hyperlink"/>
            <w:lang w:val="en-AU"/>
          </w:rPr>
          <w:t>www.acses.edu.au</w:t>
        </w:r>
      </w:hyperlink>
      <w:r w:rsidR="001D2359" w:rsidRPr="003F5023">
        <w:rPr>
          <w:lang w:val="en-AU"/>
        </w:rPr>
        <w:t>.</w:t>
      </w:r>
    </w:p>
    <w:p w14:paraId="20BCE571" w14:textId="77777777" w:rsidR="00527B7B" w:rsidRPr="003F5023" w:rsidRDefault="00E84684" w:rsidP="00384FEA">
      <w:pPr>
        <w:rPr>
          <w:lang w:val="en-AU"/>
        </w:rPr>
      </w:pPr>
      <w:r w:rsidRPr="003F5023">
        <w:rPr>
          <w:lang w:val="en-AU"/>
        </w:rPr>
        <w:br w:type="page"/>
      </w:r>
    </w:p>
    <w:p w14:paraId="20BCE572" w14:textId="77777777" w:rsidR="00527B7B" w:rsidRPr="003F5023" w:rsidRDefault="00E84684" w:rsidP="00384FEA">
      <w:pPr>
        <w:pStyle w:val="Heading1"/>
        <w:rPr>
          <w:lang w:val="en-AU"/>
        </w:rPr>
      </w:pPr>
      <w:bookmarkStart w:id="3" w:name="data-explanatory-notes"/>
      <w:bookmarkEnd w:id="2"/>
      <w:r w:rsidRPr="003F5023">
        <w:rPr>
          <w:lang w:val="en-AU"/>
        </w:rPr>
        <w:lastRenderedPageBreak/>
        <w:t>Data Explanatory Notes</w:t>
      </w:r>
    </w:p>
    <w:p w14:paraId="20BCE573" w14:textId="6F0EB920" w:rsidR="00527B7B" w:rsidRPr="003F5023" w:rsidRDefault="00E84684" w:rsidP="00384FEA">
      <w:pPr>
        <w:pStyle w:val="FirstParagraph"/>
        <w:rPr>
          <w:lang w:val="en-AU"/>
        </w:rPr>
      </w:pPr>
      <w:r w:rsidRPr="003F5023">
        <w:rPr>
          <w:lang w:val="en-AU"/>
        </w:rPr>
        <w:t>All student data reported in this document are sourced from a customised request to the Australian Government Department of Education</w:t>
      </w:r>
      <w:r w:rsidR="00D46136">
        <w:rPr>
          <w:lang w:val="en-AU"/>
        </w:rPr>
        <w:t xml:space="preserve"> (the Department)</w:t>
      </w:r>
      <w:r w:rsidRPr="003F5023">
        <w:rPr>
          <w:rStyle w:val="FootnoteReference"/>
          <w:lang w:val="en-AU"/>
        </w:rPr>
        <w:footnoteReference w:id="3"/>
      </w:r>
      <w:r w:rsidR="002C5BF6" w:rsidRPr="003F5023">
        <w:rPr>
          <w:lang w:val="en-AU"/>
        </w:rPr>
        <w:t xml:space="preserve">. </w:t>
      </w:r>
    </w:p>
    <w:p w14:paraId="20BCE574" w14:textId="11F335C8" w:rsidR="00527B7B" w:rsidRPr="003F5023" w:rsidRDefault="00D46136" w:rsidP="00384FEA">
      <w:pPr>
        <w:pStyle w:val="BodyText"/>
        <w:rPr>
          <w:lang w:val="en-AU"/>
        </w:rPr>
      </w:pPr>
      <w:r>
        <w:rPr>
          <w:lang w:val="en-AU"/>
        </w:rPr>
        <w:t>For</w:t>
      </w:r>
      <w:r w:rsidR="00E84684" w:rsidRPr="003F5023">
        <w:rPr>
          <w:lang w:val="en-AU"/>
        </w:rPr>
        <w:t xml:space="preserve"> this report:</w:t>
      </w:r>
    </w:p>
    <w:p w14:paraId="20BCE575" w14:textId="26693359" w:rsidR="00527B7B" w:rsidRPr="00D46136" w:rsidRDefault="00E84684" w:rsidP="00D46136">
      <w:pPr>
        <w:pStyle w:val="ListBullet"/>
      </w:pPr>
      <w:r w:rsidRPr="00D46136">
        <w:t>The retention rate used is the Sector Retention Rate (New Adjusted Retention Rate)</w:t>
      </w:r>
      <w:r w:rsidRPr="00D46136">
        <w:rPr>
          <w:rStyle w:val="FootnoteReference"/>
        </w:rPr>
        <w:footnoteReference w:id="4"/>
      </w:r>
      <w:r w:rsidR="00D46136">
        <w:t>,</w:t>
      </w:r>
      <w:r w:rsidRPr="00D46136">
        <w:t xml:space="preserve"> which counts students who switch institutions in the previous year as being retained within the higher education system.</w:t>
      </w:r>
    </w:p>
    <w:p w14:paraId="20BCE576" w14:textId="4A221243" w:rsidR="00527B7B" w:rsidRPr="00D46136" w:rsidRDefault="00E84684" w:rsidP="00D46136">
      <w:pPr>
        <w:pStyle w:val="ListBullet"/>
      </w:pPr>
      <w:r w:rsidRPr="00D46136">
        <w:t xml:space="preserve">Retention rate is a lagging indicator. This means that data labelled </w:t>
      </w:r>
      <w:r w:rsidR="00D46136">
        <w:t>“</w:t>
      </w:r>
      <w:r w:rsidRPr="00D46136">
        <w:t>2022</w:t>
      </w:r>
      <w:r w:rsidR="00D46136">
        <w:t>”</w:t>
      </w:r>
      <w:r w:rsidRPr="00D46136">
        <w:t xml:space="preserve"> refers to students from 2022 who returned to higher education in 2023.</w:t>
      </w:r>
    </w:p>
    <w:p w14:paraId="20BCE578" w14:textId="15264678" w:rsidR="00527B7B" w:rsidRPr="00D46136" w:rsidRDefault="00E84684" w:rsidP="00D46136">
      <w:pPr>
        <w:pStyle w:val="ListBullet"/>
      </w:pPr>
      <w:r w:rsidRPr="00D46136">
        <w:t>Analysis was restricted to Table A institutions (Higher Education Support Act 2003).</w:t>
      </w:r>
    </w:p>
    <w:p w14:paraId="20BCE579" w14:textId="4D363610" w:rsidR="00527B7B" w:rsidRPr="00D46136" w:rsidRDefault="00E84684" w:rsidP="00D46136">
      <w:pPr>
        <w:pStyle w:val="ListBullet"/>
      </w:pPr>
      <w:r w:rsidRPr="00D46136">
        <w:t xml:space="preserve">The identification of students from low SES, regional, and remote </w:t>
      </w:r>
      <w:r w:rsidR="004C59E6" w:rsidRPr="00D46136">
        <w:t xml:space="preserve">areas </w:t>
      </w:r>
      <w:r w:rsidRPr="00D46136">
        <w:t>is based on their first address.</w:t>
      </w:r>
    </w:p>
    <w:p w14:paraId="20BCE57A" w14:textId="6E73ABD1" w:rsidR="00527B7B" w:rsidRPr="00D46136" w:rsidRDefault="00D46136" w:rsidP="00D46136">
      <w:pPr>
        <w:pStyle w:val="ListBullet"/>
      </w:pPr>
      <w:r>
        <w:t>“</w:t>
      </w:r>
      <w:r w:rsidR="00E84684" w:rsidRPr="00D46136">
        <w:t>Non-equity students</w:t>
      </w:r>
      <w:r>
        <w:t>”</w:t>
      </w:r>
      <w:r w:rsidR="00E84684" w:rsidRPr="00D46136">
        <w:t xml:space="preserve"> refers to students who do not belong to any of the key equity groups presented in this report, namely, students with disability, First Nations Australian students, and students from low SES, regional and remote areas.</w:t>
      </w:r>
    </w:p>
    <w:p w14:paraId="1916E3BA" w14:textId="77777777" w:rsidR="006854E2" w:rsidRPr="003F5023" w:rsidRDefault="006854E2" w:rsidP="00384FEA">
      <w:pPr>
        <w:pStyle w:val="BodyText"/>
        <w:rPr>
          <w:lang w:val="en-AU"/>
        </w:rPr>
      </w:pPr>
      <w:r w:rsidRPr="003F5023">
        <w:rPr>
          <w:lang w:val="en-AU"/>
        </w:rPr>
        <w:t>Readers should know that the Department of Education released the following note about the 2020 equity data collection:</w:t>
      </w:r>
    </w:p>
    <w:p w14:paraId="76C82206" w14:textId="24C94E9F" w:rsidR="006854E2" w:rsidRPr="003F5023" w:rsidRDefault="006854E2" w:rsidP="001D2359">
      <w:pPr>
        <w:pStyle w:val="BodyText"/>
        <w:ind w:left="720"/>
        <w:rPr>
          <w:b/>
          <w:bCs/>
          <w:lang w:val="en-AU"/>
        </w:rPr>
      </w:pPr>
      <w:r w:rsidRPr="003F5023">
        <w:rPr>
          <w:b/>
          <w:bCs/>
          <w:lang w:val="en-AU"/>
        </w:rPr>
        <w:t>A Note about 2020 Higher Education Equity and Equity Performance Data</w:t>
      </w:r>
      <w:r w:rsidR="001D2359" w:rsidRPr="003F5023">
        <w:rPr>
          <w:b/>
          <w:bCs/>
          <w:lang w:val="en-AU"/>
        </w:rPr>
        <w:br/>
      </w:r>
      <w:r w:rsidRPr="003F5023">
        <w:rPr>
          <w:i/>
          <w:iCs/>
          <w:lang w:val="en-AU"/>
        </w:rPr>
        <w:t>During the transition to the Tertiary Collection of Student Information (TCSI) System, enrolment numbers for students with disability were substantially under-reported in the case of several universities. This issue affects data in Section 11, Section 16 and some Visual Analytics products. Caution should be taken when using the 2020 enrolment data points for students with disability.  All other time points are unaffected.</w:t>
      </w:r>
      <w:r w:rsidRPr="003F5023">
        <w:rPr>
          <w:lang w:val="en-AU"/>
        </w:rPr>
        <w:t xml:space="preserve"> (Australian Government Department of Education, 202</w:t>
      </w:r>
      <w:r w:rsidR="004A4712" w:rsidRPr="003F5023">
        <w:rPr>
          <w:lang w:val="en-AU"/>
        </w:rPr>
        <w:t>5</w:t>
      </w:r>
      <w:r w:rsidRPr="003F5023">
        <w:rPr>
          <w:lang w:val="en-AU"/>
        </w:rPr>
        <w:t xml:space="preserve">). </w:t>
      </w:r>
    </w:p>
    <w:p w14:paraId="60EFADB7" w14:textId="127FD270" w:rsidR="00D46136" w:rsidRPr="003F5023" w:rsidRDefault="006854E2" w:rsidP="00D46136">
      <w:pPr>
        <w:pStyle w:val="BodyText"/>
        <w:rPr>
          <w:lang w:val="en-AU"/>
        </w:rPr>
      </w:pPr>
      <w:r w:rsidRPr="003F5023">
        <w:rPr>
          <w:lang w:val="en-AU"/>
        </w:rPr>
        <w:t xml:space="preserve">This caveat applies to data sourced via the </w:t>
      </w:r>
      <w:r w:rsidR="00D46136" w:rsidRPr="00030004">
        <w:t>D</w:t>
      </w:r>
      <w:r w:rsidRPr="00D46136">
        <w:t>epartment’s</w:t>
      </w:r>
      <w:r w:rsidRPr="003F5023">
        <w:rPr>
          <w:lang w:val="en-AU"/>
        </w:rPr>
        <w:t xml:space="preserve"> official site and customised requests. For this reason, caution should be exercised in reporting and analysing data on disability from 2020. </w:t>
      </w:r>
    </w:p>
    <w:p w14:paraId="20BCE57C" w14:textId="59D9EF72" w:rsidR="00527B7B" w:rsidRPr="003F5023" w:rsidRDefault="00E84684" w:rsidP="00D46136">
      <w:pPr>
        <w:pStyle w:val="Heading1"/>
        <w:rPr>
          <w:lang w:val="en-AU"/>
        </w:rPr>
      </w:pPr>
      <w:bookmarkStart w:id="4" w:name="Xf9c91f2ee62ab306f7065bd9870fc097439e9f3"/>
      <w:bookmarkEnd w:id="3"/>
      <w:r w:rsidRPr="003F5023">
        <w:rPr>
          <w:lang w:val="en-AU"/>
        </w:rPr>
        <w:lastRenderedPageBreak/>
        <w:t>Retention rates in Australian higher education</w:t>
      </w:r>
      <w:r w:rsidR="00E82114" w:rsidRPr="003F5023">
        <w:rPr>
          <w:lang w:val="en-AU"/>
        </w:rPr>
        <w:t xml:space="preserve"> </w:t>
      </w:r>
    </w:p>
    <w:p w14:paraId="720D1676" w14:textId="24201402" w:rsidR="00D45BEB" w:rsidRPr="003F5023" w:rsidRDefault="00E84684" w:rsidP="00384FEA">
      <w:pPr>
        <w:pStyle w:val="BodyText"/>
        <w:rPr>
          <w:lang w:val="en-AU"/>
        </w:rPr>
      </w:pPr>
      <w:r w:rsidRPr="003F5023">
        <w:rPr>
          <w:lang w:val="en-AU"/>
        </w:rPr>
        <w:t xml:space="preserve">Student retention rates are a key indicator of </w:t>
      </w:r>
      <w:r w:rsidR="00FA12E4" w:rsidRPr="003F5023">
        <w:rPr>
          <w:lang w:val="en-AU"/>
        </w:rPr>
        <w:t xml:space="preserve">both </w:t>
      </w:r>
      <w:r w:rsidRPr="003F5023">
        <w:rPr>
          <w:lang w:val="en-AU"/>
        </w:rPr>
        <w:t xml:space="preserve">student success and institutional performance </w:t>
      </w:r>
      <w:r w:rsidR="00253C15" w:rsidRPr="003F5023">
        <w:rPr>
          <w:lang w:val="en-AU"/>
        </w:rPr>
        <w:t>with</w:t>
      </w:r>
      <w:r w:rsidRPr="003F5023">
        <w:rPr>
          <w:lang w:val="en-AU"/>
        </w:rPr>
        <w:t xml:space="preserve">in Australian </w:t>
      </w:r>
      <w:r w:rsidR="00323F07" w:rsidRPr="003F5023">
        <w:rPr>
          <w:lang w:val="en-AU"/>
        </w:rPr>
        <w:t>h</w:t>
      </w:r>
      <w:r w:rsidRPr="003F5023">
        <w:rPr>
          <w:lang w:val="en-AU"/>
        </w:rPr>
        <w:t xml:space="preserve">igher </w:t>
      </w:r>
      <w:r w:rsidR="00323F07" w:rsidRPr="003F5023">
        <w:rPr>
          <w:lang w:val="en-AU"/>
        </w:rPr>
        <w:t>e</w:t>
      </w:r>
      <w:r w:rsidRPr="003F5023">
        <w:rPr>
          <w:lang w:val="en-AU"/>
        </w:rPr>
        <w:t>ducation</w:t>
      </w:r>
      <w:r w:rsidR="00C8291F" w:rsidRPr="003F5023">
        <w:rPr>
          <w:lang w:val="en-AU"/>
        </w:rPr>
        <w:t xml:space="preserve">. They also serve as a </w:t>
      </w:r>
      <w:r w:rsidRPr="003F5023">
        <w:rPr>
          <w:lang w:val="en-AU"/>
        </w:rPr>
        <w:t>critical measure of equity student engagement in higher education</w:t>
      </w:r>
      <w:r w:rsidR="00C8291F" w:rsidRPr="003F5023">
        <w:rPr>
          <w:lang w:val="en-AU"/>
        </w:rPr>
        <w:t>, reflecting the effectiveness of institutions in supporting underserved student cohorts</w:t>
      </w:r>
      <w:r w:rsidRPr="003F5023">
        <w:rPr>
          <w:lang w:val="en-AU"/>
        </w:rPr>
        <w:t>.</w:t>
      </w:r>
      <w:r w:rsidR="00FA12E4" w:rsidRPr="003F5023">
        <w:rPr>
          <w:lang w:val="en-AU"/>
        </w:rPr>
        <w:t xml:space="preserve"> </w:t>
      </w:r>
      <w:r w:rsidRPr="003F5023">
        <w:rPr>
          <w:lang w:val="en-AU"/>
        </w:rPr>
        <w:t>Low retention rates (and</w:t>
      </w:r>
      <w:r w:rsidR="00015D63" w:rsidRPr="003F5023">
        <w:rPr>
          <w:lang w:val="en-AU"/>
        </w:rPr>
        <w:t xml:space="preserve"> corresponding</w:t>
      </w:r>
      <w:r w:rsidRPr="003F5023">
        <w:rPr>
          <w:lang w:val="en-AU"/>
        </w:rPr>
        <w:t xml:space="preserve"> high attrition rates) </w:t>
      </w:r>
      <w:r w:rsidR="00AF2DD6" w:rsidRPr="003F5023">
        <w:rPr>
          <w:lang w:val="en-AU"/>
        </w:rPr>
        <w:t xml:space="preserve">are a concern for students because of unsatisfactory learning outcomes and </w:t>
      </w:r>
      <w:r w:rsidR="00BA074C" w:rsidRPr="003F5023">
        <w:rPr>
          <w:lang w:val="en-AU"/>
        </w:rPr>
        <w:t>accumulated</w:t>
      </w:r>
      <w:r w:rsidR="00AF2DD6" w:rsidRPr="003F5023">
        <w:rPr>
          <w:lang w:val="en-AU"/>
        </w:rPr>
        <w:t xml:space="preserve"> tuition debt, and for higher education providers and government in terms of reduced productivity</w:t>
      </w:r>
      <w:r w:rsidR="00BA074C" w:rsidRPr="003F5023">
        <w:rPr>
          <w:lang w:val="en-AU"/>
        </w:rPr>
        <w:t xml:space="preserve"> and financial inefficiencies</w:t>
      </w:r>
      <w:r w:rsidR="00E93686" w:rsidRPr="003F5023">
        <w:rPr>
          <w:lang w:val="en-AU"/>
        </w:rPr>
        <w:t xml:space="preserve"> (TEQSA, 2020)</w:t>
      </w:r>
      <w:r w:rsidR="00BA074C" w:rsidRPr="003F5023">
        <w:rPr>
          <w:lang w:val="en-AU"/>
        </w:rPr>
        <w:t>.</w:t>
      </w:r>
      <w:r w:rsidR="00D45BEB" w:rsidRPr="003F5023">
        <w:rPr>
          <w:lang w:val="en-AU"/>
        </w:rPr>
        <w:t xml:space="preserve"> </w:t>
      </w:r>
    </w:p>
    <w:p w14:paraId="20BCE581" w14:textId="54077A22" w:rsidR="00527B7B" w:rsidRPr="00A06CD1" w:rsidRDefault="00E84684" w:rsidP="00384FEA">
      <w:pPr>
        <w:pStyle w:val="BodyText"/>
        <w:rPr>
          <w:lang w:val="en-AU"/>
        </w:rPr>
      </w:pPr>
      <w:r w:rsidRPr="003F5023">
        <w:rPr>
          <w:lang w:val="en-AU"/>
        </w:rPr>
        <w:t>Ensuring the retention and success of students from equity backgrounds (</w:t>
      </w:r>
      <w:r w:rsidR="0016762F">
        <w:rPr>
          <w:lang w:val="en-AU"/>
        </w:rPr>
        <w:t>for example, l</w:t>
      </w:r>
      <w:r w:rsidRPr="00A06CD1">
        <w:rPr>
          <w:lang w:val="en-AU"/>
        </w:rPr>
        <w:t xml:space="preserve">ow SES and students with disability) is critical to sustaining </w:t>
      </w:r>
      <w:r w:rsidR="002650A7" w:rsidRPr="00A06CD1">
        <w:rPr>
          <w:lang w:val="en-AU"/>
        </w:rPr>
        <w:t>success</w:t>
      </w:r>
      <w:r w:rsidRPr="00A06CD1">
        <w:rPr>
          <w:lang w:val="en-AU"/>
        </w:rPr>
        <w:t xml:space="preserve"> and participation in higher education. </w:t>
      </w:r>
      <w:r w:rsidR="002650A7" w:rsidRPr="00A06CD1">
        <w:rPr>
          <w:lang w:val="en-AU"/>
        </w:rPr>
        <w:t>Historically, these groups have exhibited lower retention rates compared to their peers, a disparity often attributed to factors like increased employment commitments during study, heightened financial stress, and a greater prevalence of part-time enrolment</w:t>
      </w:r>
      <w:r w:rsidR="003D27CF" w:rsidRPr="00A06CD1">
        <w:rPr>
          <w:lang w:val="en-AU"/>
        </w:rPr>
        <w:t xml:space="preserve"> (TEQSA, 2020; NCSEHE, 2016; Universities Australia, 2017</w:t>
      </w:r>
      <w:r w:rsidR="00611C10" w:rsidRPr="00A06CD1">
        <w:rPr>
          <w:lang w:val="en-AU"/>
        </w:rPr>
        <w:t xml:space="preserve">; Li </w:t>
      </w:r>
      <w:r w:rsidR="00E50FEE" w:rsidRPr="00A06CD1">
        <w:rPr>
          <w:lang w:val="en-AU"/>
        </w:rPr>
        <w:t xml:space="preserve">et al </w:t>
      </w:r>
      <w:r w:rsidR="001224CC" w:rsidRPr="00A06CD1">
        <w:rPr>
          <w:lang w:val="en-AU"/>
        </w:rPr>
        <w:t>2019</w:t>
      </w:r>
      <w:r w:rsidR="003D27CF" w:rsidRPr="00A06CD1">
        <w:rPr>
          <w:lang w:val="en-AU"/>
        </w:rPr>
        <w:t>).</w:t>
      </w:r>
    </w:p>
    <w:p w14:paraId="4AA4C7E2" w14:textId="6084ACA1" w:rsidR="009C66AE" w:rsidRPr="00A06CD1" w:rsidRDefault="006B2C94" w:rsidP="00384FEA">
      <w:pPr>
        <w:pStyle w:val="BodyText"/>
        <w:rPr>
          <w:lang w:val="en-AU"/>
        </w:rPr>
      </w:pPr>
      <w:r w:rsidRPr="00A06CD1">
        <w:rPr>
          <w:lang w:val="en-AU"/>
        </w:rPr>
        <w:t xml:space="preserve">The Australian Department of Education </w:t>
      </w:r>
      <w:r w:rsidR="00F151AF" w:rsidRPr="00A06CD1">
        <w:rPr>
          <w:lang w:val="en-AU"/>
        </w:rPr>
        <w:t>administers</w:t>
      </w:r>
      <w:r w:rsidRPr="00A06CD1">
        <w:rPr>
          <w:lang w:val="en-AU"/>
        </w:rPr>
        <w:t xml:space="preserve"> the Higher Education Participation and Partnerships Program (HEPPP)</w:t>
      </w:r>
      <w:r w:rsidR="00F151AF" w:rsidRPr="00A06CD1">
        <w:rPr>
          <w:lang w:val="en-AU"/>
        </w:rPr>
        <w:t>, which allocates</w:t>
      </w:r>
      <w:r w:rsidRPr="00A06CD1">
        <w:rPr>
          <w:lang w:val="en-AU"/>
        </w:rPr>
        <w:t xml:space="preserve"> funding to Table A </w:t>
      </w:r>
      <w:r w:rsidR="0016762F">
        <w:rPr>
          <w:lang w:val="en-AU"/>
        </w:rPr>
        <w:t>u</w:t>
      </w:r>
      <w:r w:rsidRPr="00A06CD1">
        <w:rPr>
          <w:lang w:val="en-AU"/>
        </w:rPr>
        <w:t>niversities</w:t>
      </w:r>
      <w:r w:rsidR="00F151AF" w:rsidRPr="00A06CD1">
        <w:rPr>
          <w:lang w:val="en-AU"/>
        </w:rPr>
        <w:t>. This initiative aims</w:t>
      </w:r>
      <w:r w:rsidRPr="00A06CD1">
        <w:rPr>
          <w:lang w:val="en-AU"/>
        </w:rPr>
        <w:t xml:space="preserve"> to </w:t>
      </w:r>
      <w:r w:rsidR="00D24DE3" w:rsidRPr="00A06CD1">
        <w:rPr>
          <w:lang w:val="en-AU"/>
        </w:rPr>
        <w:t>increase</w:t>
      </w:r>
      <w:r w:rsidRPr="00A06CD1">
        <w:rPr>
          <w:lang w:val="en-AU"/>
        </w:rPr>
        <w:t xml:space="preserve"> the retention of students from regional and remote Australia, </w:t>
      </w:r>
      <w:r w:rsidR="00D24DE3" w:rsidRPr="00A06CD1">
        <w:rPr>
          <w:lang w:val="en-AU"/>
        </w:rPr>
        <w:t>l</w:t>
      </w:r>
      <w:r w:rsidRPr="00A06CD1">
        <w:rPr>
          <w:lang w:val="en-AU"/>
        </w:rPr>
        <w:t>ow SES backgrounds and First Nations Australian</w:t>
      </w:r>
      <w:r w:rsidR="00D24DE3" w:rsidRPr="00A06CD1">
        <w:rPr>
          <w:lang w:val="en-AU"/>
        </w:rPr>
        <w:t xml:space="preserve"> communities</w:t>
      </w:r>
      <w:r w:rsidRPr="00A06CD1">
        <w:rPr>
          <w:rStyle w:val="FootnoteReference"/>
          <w:lang w:val="en-AU"/>
        </w:rPr>
        <w:footnoteReference w:id="5"/>
      </w:r>
      <w:r w:rsidRPr="00A06CD1">
        <w:rPr>
          <w:lang w:val="en-AU"/>
        </w:rPr>
        <w:t>.</w:t>
      </w:r>
      <w:r w:rsidR="00D24DE3" w:rsidRPr="00A06CD1">
        <w:rPr>
          <w:lang w:val="en-AU"/>
        </w:rPr>
        <w:t xml:space="preserve"> </w:t>
      </w:r>
      <w:r w:rsidRPr="00A06CD1">
        <w:rPr>
          <w:lang w:val="en-AU"/>
        </w:rPr>
        <w:t>HEPPP funding</w:t>
      </w:r>
      <w:r w:rsidR="00D24DE3" w:rsidRPr="00A06CD1">
        <w:rPr>
          <w:lang w:val="en-AU"/>
        </w:rPr>
        <w:t xml:space="preserve"> enables institutions to develop and implement </w:t>
      </w:r>
      <w:r w:rsidRPr="00A06CD1">
        <w:rPr>
          <w:lang w:val="en-AU"/>
        </w:rPr>
        <w:t xml:space="preserve">student support programs, </w:t>
      </w:r>
      <w:r w:rsidR="00D24DE3" w:rsidRPr="00A06CD1">
        <w:rPr>
          <w:lang w:val="en-AU"/>
        </w:rPr>
        <w:t>designed to</w:t>
      </w:r>
      <w:r w:rsidRPr="00A06CD1">
        <w:rPr>
          <w:lang w:val="en-AU"/>
        </w:rPr>
        <w:t xml:space="preserve"> increas</w:t>
      </w:r>
      <w:r w:rsidR="00D24DE3" w:rsidRPr="00A06CD1">
        <w:rPr>
          <w:lang w:val="en-AU"/>
        </w:rPr>
        <w:t>e</w:t>
      </w:r>
      <w:r w:rsidRPr="00A06CD1">
        <w:rPr>
          <w:lang w:val="en-AU"/>
        </w:rPr>
        <w:t xml:space="preserve"> retention rates, and in turn, improv</w:t>
      </w:r>
      <w:r w:rsidR="00FA36E5" w:rsidRPr="00A06CD1">
        <w:rPr>
          <w:lang w:val="en-AU"/>
        </w:rPr>
        <w:t>e</w:t>
      </w:r>
      <w:r w:rsidRPr="00A06CD1">
        <w:rPr>
          <w:lang w:val="en-AU"/>
        </w:rPr>
        <w:t xml:space="preserve"> degree completion</w:t>
      </w:r>
      <w:r w:rsidR="00D24DE3" w:rsidRPr="00A06CD1">
        <w:rPr>
          <w:lang w:val="en-AU"/>
        </w:rPr>
        <w:t xml:space="preserve"> outcomes</w:t>
      </w:r>
      <w:r w:rsidRPr="00A06CD1">
        <w:rPr>
          <w:lang w:val="en-AU"/>
        </w:rPr>
        <w:t>.</w:t>
      </w:r>
    </w:p>
    <w:p w14:paraId="1A2E8664" w14:textId="77777777" w:rsidR="003611D5" w:rsidRPr="00A06CD1" w:rsidRDefault="009C66AE" w:rsidP="00376EFA">
      <w:pPr>
        <w:pStyle w:val="Heading2"/>
        <w:rPr>
          <w:lang w:val="en-AU"/>
        </w:rPr>
      </w:pPr>
      <w:r w:rsidRPr="00A06CD1">
        <w:rPr>
          <w:lang w:val="en-AU"/>
        </w:rPr>
        <w:t>Importance of comparative data</w:t>
      </w:r>
    </w:p>
    <w:p w14:paraId="05E659E9" w14:textId="0360FAFF" w:rsidR="003611D5" w:rsidRPr="00A06CD1" w:rsidRDefault="003611D5" w:rsidP="00384FEA">
      <w:pPr>
        <w:pStyle w:val="BodyText"/>
        <w:rPr>
          <w:lang w:val="en-AU"/>
        </w:rPr>
      </w:pPr>
      <w:r w:rsidRPr="00A06CD1">
        <w:rPr>
          <w:lang w:val="en-AU"/>
        </w:rPr>
        <w:t xml:space="preserve">Comparisons between higher education institutions are an important tool for understanding and benchmarking institutional equity performance and identifying areas for improvement. For instance, an institution with a student retention rate of 80% might want to see how this compares to other institutions to gauge its relative performance. </w:t>
      </w:r>
      <w:r w:rsidR="00CD217F" w:rsidRPr="00A06CD1">
        <w:rPr>
          <w:lang w:val="en-AU"/>
        </w:rPr>
        <w:t>While</w:t>
      </w:r>
      <w:r w:rsidRPr="00A06CD1">
        <w:rPr>
          <w:lang w:val="en-AU"/>
        </w:rPr>
        <w:t xml:space="preserve"> such comparisons are valuable, they require careful consideration due to a range of factors that can complicate meaningful analysis</w:t>
      </w:r>
      <w:r w:rsidR="00EA0B16" w:rsidRPr="00A06CD1">
        <w:rPr>
          <w:lang w:val="en-AU"/>
        </w:rPr>
        <w:t>, including</w:t>
      </w:r>
      <w:r w:rsidRPr="00A06CD1">
        <w:rPr>
          <w:lang w:val="en-AU"/>
        </w:rPr>
        <w:t xml:space="preserve"> geographical, institutional, and operational differences</w:t>
      </w:r>
      <w:r w:rsidR="00EA0B16" w:rsidRPr="00A06CD1">
        <w:rPr>
          <w:lang w:val="en-AU"/>
        </w:rPr>
        <w:t xml:space="preserve">. For further information, please </w:t>
      </w:r>
      <w:r w:rsidR="00674E22">
        <w:rPr>
          <w:lang w:val="en-AU"/>
        </w:rPr>
        <w:t>see</w:t>
      </w:r>
      <w:r w:rsidR="00271637">
        <w:rPr>
          <w:lang w:val="en-AU"/>
        </w:rPr>
        <w:t xml:space="preserve"> </w:t>
      </w:r>
      <w:hyperlink r:id="rId10" w:history="1">
        <w:r w:rsidR="00271637" w:rsidRPr="003142D9">
          <w:rPr>
            <w:rStyle w:val="Hyperlink"/>
            <w:lang w:val="en-AU"/>
          </w:rPr>
          <w:t>Student Equity Data Guide: Challenges in Comparing Student Outcomes Across Higher Education Institutions</w:t>
        </w:r>
      </w:hyperlink>
      <w:r w:rsidR="00271637">
        <w:rPr>
          <w:lang w:val="en-AU"/>
        </w:rPr>
        <w:t xml:space="preserve">. </w:t>
      </w:r>
      <w:r w:rsidR="00674E22" w:rsidRPr="00A06CD1">
        <w:rPr>
          <w:lang w:val="en-AU"/>
        </w:rPr>
        <w:t xml:space="preserve"> </w:t>
      </w:r>
    </w:p>
    <w:p w14:paraId="7A3C79CA" w14:textId="5BE14C67" w:rsidR="00182856" w:rsidRPr="00A06CD1" w:rsidRDefault="00F77014" w:rsidP="00384FEA">
      <w:pPr>
        <w:pStyle w:val="Heading1"/>
        <w:rPr>
          <w:lang w:val="en-AU"/>
        </w:rPr>
      </w:pPr>
      <w:bookmarkStart w:id="5" w:name="retention-rates-between-2016-and-2022"/>
      <w:bookmarkEnd w:id="4"/>
      <w:r w:rsidRPr="00A06CD1">
        <w:rPr>
          <w:lang w:val="en-AU"/>
        </w:rPr>
        <w:lastRenderedPageBreak/>
        <w:t>Retention</w:t>
      </w:r>
      <w:r w:rsidR="00182856" w:rsidRPr="00A06CD1">
        <w:rPr>
          <w:lang w:val="en-AU"/>
        </w:rPr>
        <w:t xml:space="preserve"> rates</w:t>
      </w:r>
      <w:r w:rsidR="008C4D9D" w:rsidRPr="00A06CD1">
        <w:rPr>
          <w:lang w:val="en-AU"/>
        </w:rPr>
        <w:t xml:space="preserve"> over the past </w:t>
      </w:r>
      <w:r w:rsidR="0016762F">
        <w:rPr>
          <w:lang w:val="en-AU"/>
        </w:rPr>
        <w:t>seven</w:t>
      </w:r>
      <w:r w:rsidR="008C4D9D" w:rsidRPr="00A06CD1">
        <w:rPr>
          <w:lang w:val="en-AU"/>
        </w:rPr>
        <w:t xml:space="preserve"> years</w:t>
      </w:r>
    </w:p>
    <w:p w14:paraId="20BCE587" w14:textId="110D5928" w:rsidR="00527B7B" w:rsidRPr="00A06CD1" w:rsidRDefault="009C66AE" w:rsidP="00376EFA">
      <w:pPr>
        <w:pStyle w:val="Heading2"/>
        <w:rPr>
          <w:lang w:val="en-AU"/>
        </w:rPr>
      </w:pPr>
      <w:r w:rsidRPr="00A06CD1">
        <w:rPr>
          <w:lang w:val="en-AU"/>
        </w:rPr>
        <w:t>Overall r</w:t>
      </w:r>
      <w:r w:rsidR="00E84684" w:rsidRPr="00A06CD1">
        <w:rPr>
          <w:lang w:val="en-AU"/>
        </w:rPr>
        <w:t xml:space="preserve">etention </w:t>
      </w:r>
      <w:r w:rsidRPr="00A06CD1">
        <w:rPr>
          <w:lang w:val="en-AU"/>
        </w:rPr>
        <w:t xml:space="preserve">has decreased </w:t>
      </w:r>
      <w:r w:rsidR="00E84684" w:rsidRPr="00A06CD1">
        <w:rPr>
          <w:lang w:val="en-AU"/>
        </w:rPr>
        <w:t>between 2016 and 2022</w:t>
      </w:r>
    </w:p>
    <w:p w14:paraId="733B2A4B" w14:textId="10E94ED3" w:rsidR="00600BCF" w:rsidRPr="00A06CD1" w:rsidRDefault="00E84684" w:rsidP="00384FEA">
      <w:pPr>
        <w:pStyle w:val="FirstParagraph"/>
        <w:rPr>
          <w:lang w:val="en-AU"/>
        </w:rPr>
      </w:pPr>
      <w:r w:rsidRPr="00A06CD1">
        <w:rPr>
          <w:lang w:val="en-AU"/>
        </w:rPr>
        <w:t xml:space="preserve">Over the past </w:t>
      </w:r>
      <w:r w:rsidR="0016762F">
        <w:rPr>
          <w:lang w:val="en-AU"/>
        </w:rPr>
        <w:t>seven</w:t>
      </w:r>
      <w:r w:rsidRPr="00A06CD1">
        <w:rPr>
          <w:lang w:val="en-AU"/>
        </w:rPr>
        <w:t xml:space="preserve"> years, the retention rate of domestic undergraduate students has decreased by 2.3%. The retention rate across all Table A institutions was 84.2% in 2016, increasing to 85.5% in 2019, and decreasing to 83.2% in 2022.</w:t>
      </w:r>
    </w:p>
    <w:p w14:paraId="2BB5C737" w14:textId="4F5CD4A1" w:rsidR="00376EFA" w:rsidRPr="00A06CD1" w:rsidRDefault="00376EFA" w:rsidP="00376EFA">
      <w:pPr>
        <w:pStyle w:val="Figure"/>
        <w:rPr>
          <w:lang w:val="en-AU"/>
        </w:rPr>
      </w:pPr>
      <w:r w:rsidRPr="00A06CD1">
        <w:rPr>
          <w:lang w:val="en-AU"/>
        </w:rPr>
        <w:t xml:space="preserve">Figure 1: Retention rate of domestic undergraduate students between 2016 and 2022 enrolled at Table A </w:t>
      </w:r>
      <w:r w:rsidR="00C0365A">
        <w:rPr>
          <w:lang w:val="en-AU"/>
        </w:rPr>
        <w:t>institutions</w:t>
      </w:r>
      <w:r w:rsidRPr="00A06CD1">
        <w:rPr>
          <w:lang w:val="en-AU"/>
        </w:rPr>
        <w:t>.</w:t>
      </w:r>
    </w:p>
    <w:p w14:paraId="20BCE58B" w14:textId="04A0C63A" w:rsidR="00527B7B" w:rsidRPr="002C310D" w:rsidRDefault="00E84684" w:rsidP="00384FEA">
      <w:pPr>
        <w:pStyle w:val="FirstParagraph"/>
        <w:rPr>
          <w:lang w:val="en-AU"/>
        </w:rPr>
      </w:pPr>
      <w:r w:rsidRPr="00451F08">
        <w:rPr>
          <w:noProof/>
          <w:lang w:val="en-AU"/>
        </w:rPr>
        <w:drawing>
          <wp:inline distT="0" distB="0" distL="0" distR="0" wp14:anchorId="20BCE59C" wp14:editId="4A09B153">
            <wp:extent cx="6600825" cy="3771900"/>
            <wp:effectExtent l="0" t="0" r="9525" b="0"/>
            <wp:docPr id="29" name="Picture" descr="A line graph showing the retention rate of domestic undergraduate students between 2016 and 2022 enrolled at Table A universities. Year is plotted on the x axis and retention rate is plotted on the y-axis. &#10;&#10;The chart shows that in 2016, retention was at 84.2%, and steadily increased to 85.5% in 2019, and then decreased to 83.2% in 2022. "/>
            <wp:cNvGraphicFramePr/>
            <a:graphic xmlns:a="http://schemas.openxmlformats.org/drawingml/2006/main">
              <a:graphicData uri="http://schemas.openxmlformats.org/drawingml/2006/picture">
                <pic:pic xmlns:pic="http://schemas.openxmlformats.org/drawingml/2006/picture">
                  <pic:nvPicPr>
                    <pic:cNvPr id="29" name="Picture" descr="A line graph showing the retention rate of domestic undergraduate students between 2016 and 2022 enrolled at Table A universities. Year is plotted on the x axis and retention rate is plotted on the y-axis. &#10;&#10;The chart shows that in 2016, retention was at 84.2%, and steadily increased to 85.5% in 2019, and then decreased to 83.2% in 2022. "/>
                    <pic:cNvPicPr>
                      <a:picLocks noChangeAspect="1" noChangeArrowheads="1"/>
                    </pic:cNvPicPr>
                  </pic:nvPicPr>
                  <pic:blipFill>
                    <a:blip r:embed="rId11"/>
                    <a:stretch>
                      <a:fillRect/>
                    </a:stretch>
                  </pic:blipFill>
                  <pic:spPr bwMode="auto">
                    <a:xfrm>
                      <a:off x="0" y="0"/>
                      <a:ext cx="6600825" cy="3771900"/>
                    </a:xfrm>
                    <a:prstGeom prst="rect">
                      <a:avLst/>
                    </a:prstGeom>
                    <a:noFill/>
                    <a:ln w="9525">
                      <a:noFill/>
                      <a:headEnd/>
                      <a:tailEnd/>
                    </a:ln>
                  </pic:spPr>
                </pic:pic>
              </a:graphicData>
            </a:graphic>
          </wp:inline>
        </w:drawing>
      </w:r>
      <w:r w:rsidRPr="002C310D">
        <w:rPr>
          <w:lang w:val="en-AU"/>
        </w:rPr>
        <w:br w:type="page"/>
      </w:r>
    </w:p>
    <w:p w14:paraId="3C3A5E74" w14:textId="791E82B4" w:rsidR="00F22478" w:rsidRPr="002C310D" w:rsidRDefault="00F22478" w:rsidP="00376EFA">
      <w:pPr>
        <w:pStyle w:val="Heading2"/>
        <w:rPr>
          <w:lang w:val="en-AU"/>
        </w:rPr>
      </w:pPr>
      <w:r w:rsidRPr="002C310D">
        <w:rPr>
          <w:lang w:val="en-AU"/>
        </w:rPr>
        <w:lastRenderedPageBreak/>
        <w:t xml:space="preserve">There are significant differences in </w:t>
      </w:r>
      <w:r w:rsidR="00332625" w:rsidRPr="002C310D">
        <w:rPr>
          <w:lang w:val="en-AU"/>
        </w:rPr>
        <w:t>retention rate</w:t>
      </w:r>
      <w:r w:rsidR="00D35A6E" w:rsidRPr="002C310D">
        <w:rPr>
          <w:lang w:val="en-AU"/>
        </w:rPr>
        <w:t>s</w:t>
      </w:r>
      <w:r w:rsidR="00332625" w:rsidRPr="002C310D">
        <w:rPr>
          <w:lang w:val="en-AU"/>
        </w:rPr>
        <w:t xml:space="preserve"> between equity student groups</w:t>
      </w:r>
    </w:p>
    <w:p w14:paraId="20BCE58C" w14:textId="23420241" w:rsidR="00527B7B" w:rsidRPr="002C310D" w:rsidRDefault="00E84684" w:rsidP="00384FEA">
      <w:pPr>
        <w:pStyle w:val="BodyText"/>
        <w:rPr>
          <w:lang w:val="en-AU"/>
        </w:rPr>
      </w:pPr>
      <w:r w:rsidRPr="002C310D">
        <w:rPr>
          <w:lang w:val="en-AU"/>
        </w:rPr>
        <w:t xml:space="preserve">Between 2016 and 2022, non-equity students consistently had higher retention rates than each of the equity groups. All student groups, including non-equity students, had lower retention rates in 2022, compared to 2016. The largest </w:t>
      </w:r>
      <w:r w:rsidR="001C2A0A" w:rsidRPr="002C310D">
        <w:rPr>
          <w:lang w:val="en-AU"/>
        </w:rPr>
        <w:t xml:space="preserve">decline </w:t>
      </w:r>
      <w:r w:rsidR="009457EF" w:rsidRPr="002C310D">
        <w:rPr>
          <w:lang w:val="en-AU"/>
        </w:rPr>
        <w:t xml:space="preserve">in retention rates </w:t>
      </w:r>
      <w:r w:rsidRPr="002C310D">
        <w:rPr>
          <w:lang w:val="en-AU"/>
        </w:rPr>
        <w:t xml:space="preserve">was for First Nations Australian students, who had a decrease in retention of </w:t>
      </w:r>
      <w:r w:rsidR="009B5998" w:rsidRPr="002C310D">
        <w:rPr>
          <w:lang w:val="en-AU"/>
        </w:rPr>
        <w:t xml:space="preserve">3.2 </w:t>
      </w:r>
      <w:r w:rsidRPr="002C310D">
        <w:rPr>
          <w:lang w:val="en-AU"/>
        </w:rPr>
        <w:t>percentage points (</w:t>
      </w:r>
      <w:r w:rsidR="009B5998" w:rsidRPr="002C310D">
        <w:rPr>
          <w:lang w:val="en-AU"/>
        </w:rPr>
        <w:t>73.9</w:t>
      </w:r>
      <w:r w:rsidRPr="002C310D">
        <w:rPr>
          <w:lang w:val="en-AU"/>
        </w:rPr>
        <w:t xml:space="preserve">% in 2016 and </w:t>
      </w:r>
      <w:r w:rsidR="009B5998" w:rsidRPr="002C310D">
        <w:rPr>
          <w:lang w:val="en-AU"/>
        </w:rPr>
        <w:t>70.7</w:t>
      </w:r>
      <w:r w:rsidRPr="002C310D">
        <w:rPr>
          <w:lang w:val="en-AU"/>
        </w:rPr>
        <w:t xml:space="preserve">% in 2022). First Nations Australian students </w:t>
      </w:r>
      <w:r w:rsidR="00A76666" w:rsidRPr="002C310D">
        <w:rPr>
          <w:lang w:val="en-AU"/>
        </w:rPr>
        <w:t xml:space="preserve">had the lowest retention rate across all years, </w:t>
      </w:r>
      <w:r w:rsidR="00DF3C47" w:rsidRPr="002C310D">
        <w:rPr>
          <w:lang w:val="en-AU"/>
        </w:rPr>
        <w:t>followed by s</w:t>
      </w:r>
      <w:r w:rsidR="00D919B3" w:rsidRPr="002C310D">
        <w:rPr>
          <w:lang w:val="en-AU"/>
        </w:rPr>
        <w:t>tudents from remote areas</w:t>
      </w:r>
      <w:r w:rsidR="00DF3C47" w:rsidRPr="002C310D">
        <w:rPr>
          <w:lang w:val="en-AU"/>
        </w:rPr>
        <w:t>.</w:t>
      </w:r>
    </w:p>
    <w:p w14:paraId="0F19CFF4" w14:textId="77777777" w:rsidR="00376EFA" w:rsidRPr="002C310D" w:rsidRDefault="00376EFA" w:rsidP="00376EFA">
      <w:pPr>
        <w:pStyle w:val="Figure"/>
        <w:rPr>
          <w:lang w:val="en-AU"/>
        </w:rPr>
      </w:pPr>
      <w:r w:rsidRPr="002C310D">
        <w:rPr>
          <w:lang w:val="en-AU"/>
        </w:rPr>
        <w:t>Figure 2: Retention rate of domestic undergraduate students between 2016 and 2022 enrolled at Table A institutions, split by equity group.</w:t>
      </w:r>
    </w:p>
    <w:p w14:paraId="20BCE58D" w14:textId="77777777" w:rsidR="00527B7B" w:rsidRPr="002C310D" w:rsidRDefault="00E84684" w:rsidP="00376EFA">
      <w:pPr>
        <w:pStyle w:val="CaptionedFigure"/>
        <w:rPr>
          <w:lang w:val="en-AU"/>
        </w:rPr>
      </w:pPr>
      <w:r w:rsidRPr="002C310D">
        <w:rPr>
          <w:noProof/>
          <w:lang w:val="en-AU"/>
        </w:rPr>
        <w:drawing>
          <wp:inline distT="0" distB="0" distL="0" distR="0" wp14:anchorId="20BCE59E" wp14:editId="5AAC0910">
            <wp:extent cx="7444740" cy="3756660"/>
            <wp:effectExtent l="0" t="0" r="3810" b="0"/>
            <wp:docPr id="32" name="Picture" descr="The retention rate of domestic undergraduate students between 2016 and 2022 enrolled at Table A institutions, split by equity group. Year is plotted on the x-axis and retention rate is plotted on the y-axis. &#10;&#10;All lines are between 70% and 90%.  The chart shows all groups having an increased retention rate in 2019, compared to 2016, which then decreases to 2016 levels in 2022. The chart shows that non-equity students had the highest retention rate across all years, at approximately 87%.  First Nations Australians had the lowest retention rate over all years, ranging from 71% in 2017 to 75% in 2019 and 2020. The second lowest retention rate was for students from remote areas, . All other groups were reasonably similar, with retention rates of approximately 78% to 83%. "/>
            <wp:cNvGraphicFramePr/>
            <a:graphic xmlns:a="http://schemas.openxmlformats.org/drawingml/2006/main">
              <a:graphicData uri="http://schemas.openxmlformats.org/drawingml/2006/picture">
                <pic:pic xmlns:pic="http://schemas.openxmlformats.org/drawingml/2006/picture">
                  <pic:nvPicPr>
                    <pic:cNvPr id="32" name="Picture" descr="The retention rate of domestic undergraduate students between 2016 and 2022 enrolled at Table A institutions, split by equity group. Year is plotted on the x-axis and retention rate is plotted on the y-axis. &#10;&#10;All lines are between 70% and 90%.  The chart shows all groups having an increased retention rate in 2019, compared to 2016, which then decreases to 2016 levels in 2022. The chart shows that non-equity students had the highest retention rate across all years, at approximately 87%.  First Nations Australians had the lowest retention rate over all years, ranging from 71% in 2017 to 75% in 2019 and 2020. The second lowest retention rate was for students from remote areas, . All other groups were reasonably similar, with retention rates of approximately 78% to 83%. "/>
                    <pic:cNvPicPr>
                      <a:picLocks noChangeAspect="1" noChangeArrowheads="1"/>
                    </pic:cNvPicPr>
                  </pic:nvPicPr>
                  <pic:blipFill>
                    <a:blip r:embed="rId12"/>
                    <a:stretch>
                      <a:fillRect/>
                    </a:stretch>
                  </pic:blipFill>
                  <pic:spPr bwMode="auto">
                    <a:xfrm>
                      <a:off x="0" y="0"/>
                      <a:ext cx="7444740" cy="3756660"/>
                    </a:xfrm>
                    <a:prstGeom prst="rect">
                      <a:avLst/>
                    </a:prstGeom>
                    <a:noFill/>
                    <a:ln w="9525">
                      <a:noFill/>
                      <a:headEnd/>
                      <a:tailEnd/>
                    </a:ln>
                  </pic:spPr>
                </pic:pic>
              </a:graphicData>
            </a:graphic>
          </wp:inline>
        </w:drawing>
      </w:r>
    </w:p>
    <w:p w14:paraId="2D0983F2" w14:textId="77777777" w:rsidR="00807D26" w:rsidRPr="002C310D" w:rsidRDefault="00807D26">
      <w:pPr>
        <w:spacing w:after="200" w:line="240" w:lineRule="auto"/>
        <w:rPr>
          <w:rFonts w:ascii="Inter Medium" w:eastAsiaTheme="majorEastAsia" w:hAnsi="Inter Medium" w:cstheme="majorBidi"/>
          <w:color w:val="6B3B57"/>
          <w:sz w:val="40"/>
          <w:szCs w:val="52"/>
          <w:lang w:val="en-AU"/>
        </w:rPr>
      </w:pPr>
      <w:r w:rsidRPr="002C310D">
        <w:rPr>
          <w:lang w:val="en-AU"/>
        </w:rPr>
        <w:br w:type="page"/>
      </w:r>
    </w:p>
    <w:p w14:paraId="2A4830BB" w14:textId="520AEA4F" w:rsidR="00F3202A" w:rsidRPr="002C310D" w:rsidRDefault="00F02EBE" w:rsidP="00376EFA">
      <w:pPr>
        <w:pStyle w:val="Heading2"/>
        <w:rPr>
          <w:lang w:val="en-AU"/>
        </w:rPr>
      </w:pPr>
      <w:r w:rsidRPr="002C310D">
        <w:rPr>
          <w:lang w:val="en-AU"/>
        </w:rPr>
        <w:lastRenderedPageBreak/>
        <w:t>Students</w:t>
      </w:r>
      <w:r w:rsidR="00845929" w:rsidRPr="002C310D">
        <w:rPr>
          <w:lang w:val="en-AU"/>
        </w:rPr>
        <w:t xml:space="preserve"> from remote and low SES areas had consistently low </w:t>
      </w:r>
      <w:r w:rsidR="00042A04">
        <w:rPr>
          <w:lang w:val="en-AU"/>
        </w:rPr>
        <w:br/>
      </w:r>
      <w:r w:rsidR="00845929" w:rsidRPr="002C310D">
        <w:rPr>
          <w:lang w:val="en-AU"/>
        </w:rPr>
        <w:t xml:space="preserve">retention rates </w:t>
      </w:r>
    </w:p>
    <w:p w14:paraId="2D5318C7" w14:textId="77777777" w:rsidR="00376EFA" w:rsidRPr="002C310D" w:rsidRDefault="00376EFA" w:rsidP="00376EFA">
      <w:pPr>
        <w:pStyle w:val="Figure"/>
        <w:rPr>
          <w:lang w:val="en-AU"/>
        </w:rPr>
      </w:pPr>
      <w:r w:rsidRPr="002C310D">
        <w:rPr>
          <w:lang w:val="en-AU"/>
        </w:rPr>
        <w:t xml:space="preserve">Figure 3: Retention rate of domestic undergraduate students between 2016 and 2022 enrolled at Table A institutions, split by multiple equity group membership. </w:t>
      </w:r>
    </w:p>
    <w:p w14:paraId="16C0E8AB" w14:textId="77777777" w:rsidR="007556F8" w:rsidRPr="002C310D" w:rsidRDefault="00B35B6F" w:rsidP="007556F8">
      <w:pPr>
        <w:pStyle w:val="BodyText"/>
        <w:rPr>
          <w:lang w:val="en-AU"/>
        </w:rPr>
      </w:pPr>
      <w:r w:rsidRPr="002C310D">
        <w:rPr>
          <w:noProof/>
          <w:lang w:val="en-AU"/>
        </w:rPr>
        <w:drawing>
          <wp:inline distT="0" distB="0" distL="0" distR="0" wp14:anchorId="16E4021E" wp14:editId="614AC51C">
            <wp:extent cx="8484685" cy="4242343"/>
            <wp:effectExtent l="0" t="0" r="0" b="6350"/>
            <wp:docPr id="303545631" name="Picture 1" descr="The retention rate of domestic undergraduate students between 2016 and 2022 enrolled at Table A institutions, split by low SES, remoteness and combinations of these groupings. Year is plotted on the x-axis and retention rate is plotted on the y-axis. &#10;&#10;All lines are between 72% and 88%.  The chart shows metropolitan students having the highest retention rate, at approximately 85 to 87%. Students from remote areas and low SES areas had the lowest retention rate over all years (except for 2020), at approximately 75%. On average, the order of groupings from highest to lowest retention is metropolitan, metropolitan and low SES, low SES, regional, remote, regional and low SES, and remote and low 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45631" name="Picture 1" descr="The retention rate of domestic undergraduate students between 2016 and 2022 enrolled at Table A institutions, split by low SES, remoteness and combinations of these groupings. Year is plotted on the x-axis and retention rate is plotted on the y-axis. &#10;&#10;All lines are between 72% and 88%.  The chart shows metropolitan students having the highest retention rate, at approximately 85 to 87%. Students from remote areas and low SES areas had the lowest retention rate over all years (except for 2020), at approximately 75%. On average, the order of groupings from highest to lowest retention is metropolitan, metropolitan and low SES, low SES, regional, remote, regional and low SES, and remote and low SES.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484685" cy="4242343"/>
                    </a:xfrm>
                    <a:prstGeom prst="rect">
                      <a:avLst/>
                    </a:prstGeom>
                    <a:noFill/>
                    <a:ln>
                      <a:noFill/>
                    </a:ln>
                  </pic:spPr>
                </pic:pic>
              </a:graphicData>
            </a:graphic>
          </wp:inline>
        </w:drawing>
      </w:r>
    </w:p>
    <w:p w14:paraId="0D787C35" w14:textId="77777777" w:rsidR="007556F8" w:rsidRPr="002C310D" w:rsidRDefault="007556F8">
      <w:pPr>
        <w:spacing w:after="200" w:line="240" w:lineRule="auto"/>
        <w:rPr>
          <w:rFonts w:ascii="Inter Medium" w:eastAsiaTheme="majorEastAsia" w:hAnsi="Inter Medium" w:cstheme="majorBidi"/>
          <w:color w:val="6B3B57"/>
          <w:sz w:val="40"/>
          <w:szCs w:val="52"/>
          <w:lang w:val="en-AU"/>
        </w:rPr>
      </w:pPr>
      <w:r w:rsidRPr="002C310D">
        <w:rPr>
          <w:lang w:val="en-AU"/>
        </w:rPr>
        <w:br w:type="page"/>
      </w:r>
    </w:p>
    <w:p w14:paraId="5594AB13" w14:textId="01AAB899" w:rsidR="006D328D" w:rsidRPr="002C310D" w:rsidRDefault="003F4112" w:rsidP="00376EFA">
      <w:pPr>
        <w:pStyle w:val="Heading2"/>
        <w:rPr>
          <w:lang w:val="en-AU"/>
        </w:rPr>
      </w:pPr>
      <w:r w:rsidRPr="002C310D">
        <w:rPr>
          <w:lang w:val="en-AU"/>
        </w:rPr>
        <w:lastRenderedPageBreak/>
        <w:t>First Nations Australian s</w:t>
      </w:r>
      <w:r w:rsidR="006D328D" w:rsidRPr="002C310D">
        <w:rPr>
          <w:lang w:val="en-AU"/>
        </w:rPr>
        <w:t xml:space="preserve">tudents from </w:t>
      </w:r>
      <w:r w:rsidR="004A2E28" w:rsidRPr="002C310D">
        <w:rPr>
          <w:lang w:val="en-AU"/>
        </w:rPr>
        <w:t xml:space="preserve">regional and </w:t>
      </w:r>
      <w:r w:rsidR="006D328D" w:rsidRPr="002C310D">
        <w:rPr>
          <w:lang w:val="en-AU"/>
        </w:rPr>
        <w:t>remote</w:t>
      </w:r>
      <w:r w:rsidR="004A2E28" w:rsidRPr="002C310D">
        <w:rPr>
          <w:lang w:val="en-AU"/>
        </w:rPr>
        <w:t xml:space="preserve"> areas had much lower retention rates than other regional and remote groupings </w:t>
      </w:r>
    </w:p>
    <w:p w14:paraId="686746C1" w14:textId="215F66C9" w:rsidR="00376EFA" w:rsidRPr="002C310D" w:rsidRDefault="00376EFA" w:rsidP="00376EFA">
      <w:pPr>
        <w:pStyle w:val="Figure"/>
        <w:rPr>
          <w:lang w:val="en-AU"/>
        </w:rPr>
      </w:pPr>
      <w:r w:rsidRPr="002C310D">
        <w:rPr>
          <w:lang w:val="en-AU"/>
        </w:rPr>
        <w:t xml:space="preserve">Figure 4: Retention rate of domestic undergraduate students between 2016 and 2022 enrolled at Table A institutions, split by multiple equity group membership. </w:t>
      </w:r>
    </w:p>
    <w:p w14:paraId="1AAA9B01" w14:textId="7F0C1CEB" w:rsidR="006D328D" w:rsidRPr="002C310D" w:rsidRDefault="006D328D" w:rsidP="00384FEA">
      <w:pPr>
        <w:pStyle w:val="ImageCaption"/>
        <w:rPr>
          <w:lang w:val="en-AU"/>
        </w:rPr>
      </w:pPr>
      <w:r w:rsidRPr="002C310D">
        <w:rPr>
          <w:noProof/>
          <w:lang w:val="en-AU"/>
        </w:rPr>
        <w:drawing>
          <wp:inline distT="0" distB="0" distL="0" distR="0" wp14:anchorId="6B8B7EA9" wp14:editId="517222DD">
            <wp:extent cx="8591550" cy="4295775"/>
            <wp:effectExtent l="0" t="0" r="0" b="9525"/>
            <wp:docPr id="1831165807" name="Picture 2" descr="The retention rate of domestic undergraduate students between 2016 and 2022 enrolled at Table A institutions, split by  remoteness and other equity groupings. Year is plotted on the x-axis and retention rate is plotted on the y-axis. &#10;&#10;Retention rates range from approximately 70% to 83%. Regional/remote non-low SES students have the highest retention, while regional/remote First Nations students have the lowest. Retention rates dip in 2017 and 2020 before stabilising. The order of groupings from highest to lowest retention rate are regional/remote non-low SES, regional/remote, with regional/remote disability and regional/remote low SES having similar values, followed by regional/remote First Nations. There is a large gap of approximately 5% between regional/remote First Nations and regional remote low SES and regional/remote disa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65807" name="Picture 2" descr="The retention rate of domestic undergraduate students between 2016 and 2022 enrolled at Table A institutions, split by  remoteness and other equity groupings. Year is plotted on the x-axis and retention rate is plotted on the y-axis. &#10;&#10;Retention rates range from approximately 70% to 83%. Regional/remote non-low SES students have the highest retention, while regional/remote First Nations students have the lowest. Retention rates dip in 2017 and 2020 before stabilising. The order of groupings from highest to lowest retention rate are regional/remote non-low SES, regional/remote, with regional/remote disability and regional/remote low SES having similar values, followed by regional/remote First Nations. There is a large gap of approximately 5% between regional/remote First Nations and regional remote low SES and regional/remote disability.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91550" cy="4295775"/>
                    </a:xfrm>
                    <a:prstGeom prst="rect">
                      <a:avLst/>
                    </a:prstGeom>
                  </pic:spPr>
                </pic:pic>
              </a:graphicData>
            </a:graphic>
          </wp:inline>
        </w:drawing>
      </w:r>
    </w:p>
    <w:p w14:paraId="6F41EC69" w14:textId="2D2862D3" w:rsidR="00AC42E2" w:rsidRPr="002C310D" w:rsidRDefault="00AC42E2" w:rsidP="00376EFA">
      <w:pPr>
        <w:pStyle w:val="Heading2"/>
        <w:rPr>
          <w:lang w:val="en-AU"/>
        </w:rPr>
      </w:pPr>
      <w:r w:rsidRPr="002C310D">
        <w:rPr>
          <w:lang w:val="en-AU"/>
        </w:rPr>
        <w:lastRenderedPageBreak/>
        <w:t xml:space="preserve">First Nations Australian students from metropolitan areas had </w:t>
      </w:r>
      <w:r w:rsidR="00042A04">
        <w:rPr>
          <w:lang w:val="en-AU"/>
        </w:rPr>
        <w:br/>
      </w:r>
      <w:r w:rsidRPr="002C310D">
        <w:rPr>
          <w:lang w:val="en-AU"/>
        </w:rPr>
        <w:t xml:space="preserve">higher retention rates than First Nations Australians from regional </w:t>
      </w:r>
      <w:r w:rsidR="00042A04">
        <w:rPr>
          <w:lang w:val="en-AU"/>
        </w:rPr>
        <w:br/>
      </w:r>
      <w:r w:rsidRPr="002C310D">
        <w:rPr>
          <w:lang w:val="en-AU"/>
        </w:rPr>
        <w:t xml:space="preserve">and remote areas </w:t>
      </w:r>
    </w:p>
    <w:p w14:paraId="1AA71C2C" w14:textId="36D4D9D4" w:rsidR="006D328D" w:rsidRPr="002C310D" w:rsidRDefault="00376EFA" w:rsidP="00376EFA">
      <w:pPr>
        <w:pStyle w:val="Figure"/>
        <w:rPr>
          <w:lang w:val="en-AU"/>
        </w:rPr>
      </w:pPr>
      <w:r w:rsidRPr="002C310D">
        <w:rPr>
          <w:lang w:val="en-AU"/>
        </w:rPr>
        <w:t xml:space="preserve">Figure 5: Retention rate of domestic undergraduate students between 2016 and 2022 enrolled at Table A institutions, split by multiple equity group membership. </w:t>
      </w:r>
    </w:p>
    <w:p w14:paraId="4329CC9E" w14:textId="18C9888B" w:rsidR="00F3202A" w:rsidRPr="002C310D" w:rsidRDefault="000273F3" w:rsidP="00384FEA">
      <w:pPr>
        <w:pStyle w:val="ImageCaption"/>
        <w:rPr>
          <w:lang w:val="en-AU"/>
        </w:rPr>
      </w:pPr>
      <w:r w:rsidRPr="002C310D">
        <w:rPr>
          <w:noProof/>
          <w:lang w:val="en-AU"/>
        </w:rPr>
        <w:drawing>
          <wp:inline distT="0" distB="0" distL="0" distR="0" wp14:anchorId="0687EF14" wp14:editId="333DAC8E">
            <wp:extent cx="8343900" cy="4171950"/>
            <wp:effectExtent l="0" t="0" r="0" b="0"/>
            <wp:docPr id="1209208135" name="Picture 3" descr="Line graph showing retention rates of domestic undergraduate students at Table A institutions from 2016 to 2022, segmented by First Nations and remoteness.  Retention rates range from approximately 70% to 78%. Metro First Nations students have the highest retention, while regional/remote First Nations students have the low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208135" name="Picture 3" descr="Line graph showing retention rates of domestic undergraduate students at Table A institutions from 2016 to 2022, segmented by First Nations and remoteness.  Retention rates range from approximately 70% to 78%. Metro First Nations students have the highest retention, while regional/remote First Nations students have the lowest.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3900" cy="4171950"/>
                    </a:xfrm>
                    <a:prstGeom prst="rect">
                      <a:avLst/>
                    </a:prstGeom>
                  </pic:spPr>
                </pic:pic>
              </a:graphicData>
            </a:graphic>
          </wp:inline>
        </w:drawing>
      </w:r>
    </w:p>
    <w:p w14:paraId="64EA17D9" w14:textId="52795517" w:rsidR="00197B0E" w:rsidRPr="002C310D" w:rsidRDefault="006D328D" w:rsidP="00376EFA">
      <w:pPr>
        <w:pStyle w:val="Heading2"/>
        <w:rPr>
          <w:lang w:val="en-AU"/>
        </w:rPr>
      </w:pPr>
      <w:r w:rsidRPr="002C310D">
        <w:rPr>
          <w:lang w:val="en-AU"/>
        </w:rPr>
        <w:lastRenderedPageBreak/>
        <w:t xml:space="preserve">Students </w:t>
      </w:r>
      <w:r w:rsidR="0066366F" w:rsidRPr="002C310D">
        <w:rPr>
          <w:lang w:val="en-AU"/>
        </w:rPr>
        <w:t xml:space="preserve">with disability </w:t>
      </w:r>
      <w:r w:rsidR="00993DCA" w:rsidRPr="002C310D">
        <w:rPr>
          <w:lang w:val="en-AU"/>
        </w:rPr>
        <w:t>from regional and remote areas had similar retention rates to students with disability from low SES areas</w:t>
      </w:r>
      <w:r w:rsidRPr="002C310D">
        <w:rPr>
          <w:lang w:val="en-AU"/>
        </w:rPr>
        <w:t xml:space="preserve"> </w:t>
      </w:r>
    </w:p>
    <w:p w14:paraId="724ADFE4" w14:textId="3B6A4D37" w:rsidR="00197B0E" w:rsidRPr="002C310D" w:rsidRDefault="00376EFA" w:rsidP="00376EFA">
      <w:pPr>
        <w:pStyle w:val="Figure"/>
        <w:rPr>
          <w:lang w:val="en-AU"/>
        </w:rPr>
      </w:pPr>
      <w:r w:rsidRPr="002C310D">
        <w:rPr>
          <w:lang w:val="en-AU"/>
        </w:rPr>
        <w:t xml:space="preserve">Figure 6: Retention rate of domestic undergraduate students between 2016 and 2022 enrolled at Table A institutions, split by multiple equity group membership. </w:t>
      </w:r>
    </w:p>
    <w:p w14:paraId="1B1CED52" w14:textId="77777777" w:rsidR="00807D26" w:rsidRPr="002C310D" w:rsidRDefault="000273F3" w:rsidP="007556F8">
      <w:pPr>
        <w:pStyle w:val="BodyText"/>
        <w:rPr>
          <w:lang w:val="en-AU"/>
        </w:rPr>
      </w:pPr>
      <w:r w:rsidRPr="002C310D">
        <w:rPr>
          <w:noProof/>
          <w:lang w:val="en-AU"/>
        </w:rPr>
        <w:drawing>
          <wp:inline distT="0" distB="0" distL="0" distR="0" wp14:anchorId="28C09AEC" wp14:editId="633A1030">
            <wp:extent cx="7719060" cy="3859530"/>
            <wp:effectExtent l="0" t="0" r="0" b="7620"/>
            <wp:docPr id="441156526" name="Picture 4" descr="Line graph showing retention rates of domestic undergraduate students at Table A institutions from 2016 to 2022, segmented by disability and combinations with other equity groups. Retention rates range from approximately 75% to 85%. There are two major groupings. Disability low SES and disability regional/remote have similar retention rates, of approximately 78%. Disability on its own, disability non-low SES and disability metro have similar retention rates, of approximately 8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56526" name="Picture 4" descr="Line graph showing retention rates of domestic undergraduate students at Table A institutions from 2016 to 2022, segmented by disability and combinations with other equity groups. Retention rates range from approximately 75% to 85%. There are two major groupings. Disability low SES and disability regional/remote have similar retention rates, of approximately 78%. Disability on its own, disability non-low SES and disability metro have similar retention rates, of approximately 84%. "/>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9060" cy="3859530"/>
                    </a:xfrm>
                    <a:prstGeom prst="rect">
                      <a:avLst/>
                    </a:prstGeom>
                  </pic:spPr>
                </pic:pic>
              </a:graphicData>
            </a:graphic>
          </wp:inline>
        </w:drawing>
      </w:r>
    </w:p>
    <w:p w14:paraId="22424B0A" w14:textId="77777777" w:rsidR="00807D26" w:rsidRPr="002C310D" w:rsidRDefault="00807D26">
      <w:pPr>
        <w:spacing w:after="200" w:line="240" w:lineRule="auto"/>
        <w:rPr>
          <w:rFonts w:ascii="Inter Medium" w:eastAsiaTheme="majorEastAsia" w:hAnsi="Inter Medium" w:cstheme="majorBidi"/>
          <w:color w:val="6B3B57"/>
          <w:sz w:val="40"/>
          <w:szCs w:val="52"/>
          <w:lang w:val="en-AU"/>
        </w:rPr>
      </w:pPr>
      <w:r w:rsidRPr="002C310D">
        <w:rPr>
          <w:lang w:val="en-AU"/>
        </w:rPr>
        <w:br w:type="page"/>
      </w:r>
    </w:p>
    <w:p w14:paraId="116B2E08" w14:textId="727A733E" w:rsidR="009F120C" w:rsidRPr="002C310D" w:rsidRDefault="00D35A6E" w:rsidP="001D2359">
      <w:pPr>
        <w:pStyle w:val="Heading2"/>
        <w:rPr>
          <w:lang w:val="en-AU"/>
        </w:rPr>
      </w:pPr>
      <w:r w:rsidRPr="002C310D">
        <w:rPr>
          <w:lang w:val="en-AU"/>
        </w:rPr>
        <w:lastRenderedPageBreak/>
        <w:t xml:space="preserve">There </w:t>
      </w:r>
      <w:r w:rsidR="00042A04" w:rsidRPr="002C310D">
        <w:rPr>
          <w:lang w:val="en-AU"/>
        </w:rPr>
        <w:t>is</w:t>
      </w:r>
      <w:r w:rsidRPr="002C310D">
        <w:rPr>
          <w:lang w:val="en-AU"/>
        </w:rPr>
        <w:t xml:space="preserve"> </w:t>
      </w:r>
      <w:r w:rsidR="002D736B" w:rsidRPr="002C310D">
        <w:rPr>
          <w:lang w:val="en-AU"/>
        </w:rPr>
        <w:t>substantial</w:t>
      </w:r>
      <w:r w:rsidRPr="002C310D">
        <w:rPr>
          <w:lang w:val="en-AU"/>
        </w:rPr>
        <w:t xml:space="preserve"> variation in </w:t>
      </w:r>
      <w:r w:rsidR="00FC0F20" w:rsidRPr="002C310D">
        <w:rPr>
          <w:lang w:val="en-AU"/>
        </w:rPr>
        <w:t xml:space="preserve">changes in retention rates over the past </w:t>
      </w:r>
      <w:r w:rsidR="0016762F">
        <w:rPr>
          <w:lang w:val="en-AU"/>
        </w:rPr>
        <w:t>seven</w:t>
      </w:r>
      <w:r w:rsidR="00FC0F20" w:rsidRPr="002C310D">
        <w:rPr>
          <w:lang w:val="en-AU"/>
        </w:rPr>
        <w:t xml:space="preserve"> years across institutions </w:t>
      </w:r>
    </w:p>
    <w:p w14:paraId="7CF60BF3" w14:textId="436BB00D" w:rsidR="009617E1" w:rsidRPr="002C310D" w:rsidRDefault="00E84684" w:rsidP="00384FEA">
      <w:pPr>
        <w:pStyle w:val="BodyText"/>
        <w:rPr>
          <w:lang w:val="en-AU"/>
        </w:rPr>
      </w:pPr>
      <w:r w:rsidRPr="002C310D">
        <w:rPr>
          <w:lang w:val="en-AU"/>
        </w:rPr>
        <w:t>When looking at changes in</w:t>
      </w:r>
      <w:r w:rsidR="00F7169A" w:rsidRPr="002C310D">
        <w:rPr>
          <w:lang w:val="en-AU"/>
        </w:rPr>
        <w:t xml:space="preserve"> </w:t>
      </w:r>
      <w:r w:rsidR="00FB1616" w:rsidRPr="002C310D">
        <w:rPr>
          <w:lang w:val="en-AU"/>
        </w:rPr>
        <w:t>institutional</w:t>
      </w:r>
      <w:r w:rsidRPr="002C310D">
        <w:rPr>
          <w:lang w:val="en-AU"/>
        </w:rPr>
        <w:t xml:space="preserve"> retention rate</w:t>
      </w:r>
      <w:r w:rsidR="003F4E08" w:rsidRPr="002C310D">
        <w:rPr>
          <w:lang w:val="en-AU"/>
        </w:rPr>
        <w:t>s</w:t>
      </w:r>
      <w:r w:rsidRPr="002C310D">
        <w:rPr>
          <w:lang w:val="en-AU"/>
        </w:rPr>
        <w:t xml:space="preserve"> from 2016 to 2022</w:t>
      </w:r>
      <w:r w:rsidR="00064B2E" w:rsidRPr="002C310D">
        <w:rPr>
          <w:lang w:val="en-AU"/>
        </w:rPr>
        <w:t xml:space="preserve">, </w:t>
      </w:r>
      <w:r w:rsidRPr="002C310D">
        <w:rPr>
          <w:lang w:val="en-AU"/>
        </w:rPr>
        <w:t>substantial</w:t>
      </w:r>
      <w:r w:rsidR="00CE6E7C" w:rsidRPr="002C310D">
        <w:rPr>
          <w:lang w:val="en-AU"/>
        </w:rPr>
        <w:t xml:space="preserve"> institutional</w:t>
      </w:r>
      <w:r w:rsidRPr="002C310D">
        <w:rPr>
          <w:lang w:val="en-AU"/>
        </w:rPr>
        <w:t xml:space="preserve"> variation </w:t>
      </w:r>
      <w:r w:rsidR="008323A8" w:rsidRPr="002C310D">
        <w:rPr>
          <w:lang w:val="en-AU"/>
        </w:rPr>
        <w:t>wa</w:t>
      </w:r>
      <w:r w:rsidR="00502E16" w:rsidRPr="002C310D">
        <w:rPr>
          <w:lang w:val="en-AU"/>
        </w:rPr>
        <w:t xml:space="preserve">s observed </w:t>
      </w:r>
      <w:r w:rsidR="00CE6E7C" w:rsidRPr="002C310D">
        <w:rPr>
          <w:lang w:val="en-AU"/>
        </w:rPr>
        <w:t>within each student equity group</w:t>
      </w:r>
      <w:r w:rsidR="009617E1" w:rsidRPr="002C310D">
        <w:rPr>
          <w:lang w:val="en-AU"/>
        </w:rPr>
        <w:t xml:space="preserve"> (Figure </w:t>
      </w:r>
      <w:r w:rsidR="00197B0E" w:rsidRPr="002C310D">
        <w:rPr>
          <w:lang w:val="en-AU"/>
        </w:rPr>
        <w:t>7</w:t>
      </w:r>
      <w:r w:rsidR="009617E1" w:rsidRPr="002C310D">
        <w:rPr>
          <w:lang w:val="en-AU"/>
        </w:rPr>
        <w:t xml:space="preserve">).  </w:t>
      </w:r>
      <w:r w:rsidR="00DC2986" w:rsidRPr="002C310D">
        <w:rPr>
          <w:lang w:val="en-AU"/>
        </w:rPr>
        <w:t>This is particularly evident for students from remote areas, where</w:t>
      </w:r>
      <w:r w:rsidR="00FA27E6" w:rsidRPr="002C310D">
        <w:rPr>
          <w:lang w:val="en-AU"/>
        </w:rPr>
        <w:t xml:space="preserve"> only</w:t>
      </w:r>
      <w:r w:rsidR="00DC2986" w:rsidRPr="002C310D">
        <w:rPr>
          <w:lang w:val="en-AU"/>
        </w:rPr>
        <w:t xml:space="preserve"> three institutions have seen an increase in retention of more than 10 percentage points in the past seven years, while eight </w:t>
      </w:r>
      <w:r w:rsidR="00FA27E6" w:rsidRPr="002C310D">
        <w:rPr>
          <w:lang w:val="en-AU"/>
        </w:rPr>
        <w:t>institutions</w:t>
      </w:r>
      <w:r w:rsidR="00DC2986" w:rsidRPr="002C310D">
        <w:rPr>
          <w:lang w:val="en-AU"/>
        </w:rPr>
        <w:t xml:space="preserve"> had a decrease in retention of more than 10 </w:t>
      </w:r>
      <w:r w:rsidR="00FA27E6" w:rsidRPr="002C310D">
        <w:rPr>
          <w:lang w:val="en-AU"/>
        </w:rPr>
        <w:t>percentage</w:t>
      </w:r>
      <w:r w:rsidR="00DC2986" w:rsidRPr="002C310D">
        <w:rPr>
          <w:lang w:val="en-AU"/>
        </w:rPr>
        <w:t xml:space="preserve"> </w:t>
      </w:r>
      <w:r w:rsidR="00111114" w:rsidRPr="002C310D">
        <w:rPr>
          <w:lang w:val="en-AU"/>
        </w:rPr>
        <w:t>points</w:t>
      </w:r>
      <w:r w:rsidR="00DC2986" w:rsidRPr="002C310D">
        <w:rPr>
          <w:lang w:val="en-AU"/>
        </w:rPr>
        <w:t xml:space="preserve">, with </w:t>
      </w:r>
      <w:r w:rsidR="00111114" w:rsidRPr="002C310D">
        <w:rPr>
          <w:lang w:val="en-AU"/>
        </w:rPr>
        <w:t>o</w:t>
      </w:r>
      <w:r w:rsidR="00DC2986" w:rsidRPr="002C310D">
        <w:rPr>
          <w:lang w:val="en-AU"/>
        </w:rPr>
        <w:t xml:space="preserve">ne institution </w:t>
      </w:r>
      <w:r w:rsidR="00111114" w:rsidRPr="002C310D">
        <w:rPr>
          <w:lang w:val="en-AU"/>
        </w:rPr>
        <w:t xml:space="preserve">showing a </w:t>
      </w:r>
      <w:r w:rsidR="00DC2986" w:rsidRPr="002C310D">
        <w:rPr>
          <w:lang w:val="en-AU"/>
        </w:rPr>
        <w:t>decrease of 44 percentage points.</w:t>
      </w:r>
      <w:r w:rsidR="001C176D" w:rsidRPr="002C310D">
        <w:rPr>
          <w:lang w:val="en-AU"/>
        </w:rPr>
        <w:t xml:space="preserve"> </w:t>
      </w:r>
      <w:r w:rsidR="00E3475C" w:rsidRPr="002C310D">
        <w:rPr>
          <w:lang w:val="en-AU"/>
        </w:rPr>
        <w:t xml:space="preserve">In Figure </w:t>
      </w:r>
      <w:r w:rsidR="002C310D">
        <w:rPr>
          <w:lang w:val="en-AU"/>
        </w:rPr>
        <w:t>7</w:t>
      </w:r>
      <w:r w:rsidR="00E3475C" w:rsidRPr="002C310D">
        <w:rPr>
          <w:lang w:val="en-AU"/>
        </w:rPr>
        <w:t xml:space="preserve"> a </w:t>
      </w:r>
      <w:r w:rsidR="006E137E" w:rsidRPr="002C310D">
        <w:rPr>
          <w:lang w:val="en-AU"/>
        </w:rPr>
        <w:t>positive</w:t>
      </w:r>
      <w:r w:rsidR="009617E1" w:rsidRPr="002C310D">
        <w:rPr>
          <w:lang w:val="en-AU"/>
        </w:rPr>
        <w:t xml:space="preserve"> value indicates a</w:t>
      </w:r>
      <w:r w:rsidR="006E137E" w:rsidRPr="002C310D">
        <w:rPr>
          <w:lang w:val="en-AU"/>
        </w:rPr>
        <w:t xml:space="preserve">n increase </w:t>
      </w:r>
      <w:r w:rsidR="009617E1" w:rsidRPr="002C310D">
        <w:rPr>
          <w:lang w:val="en-AU"/>
        </w:rPr>
        <w:t>from 2016 to 2022</w:t>
      </w:r>
      <w:r w:rsidR="00CE285B" w:rsidRPr="002C310D">
        <w:rPr>
          <w:lang w:val="en-AU"/>
        </w:rPr>
        <w:t xml:space="preserve">, </w:t>
      </w:r>
      <w:r w:rsidR="006E137E" w:rsidRPr="002C310D">
        <w:rPr>
          <w:lang w:val="en-AU"/>
        </w:rPr>
        <w:t xml:space="preserve">so a data point of 5 indicates the institution had an increased (improved) retention rate of five percentage points from 2016 to 2022. </w:t>
      </w:r>
    </w:p>
    <w:p w14:paraId="0FD9DB99" w14:textId="77777777" w:rsidR="00376EFA" w:rsidRPr="002C310D" w:rsidRDefault="00376EFA" w:rsidP="00376EFA">
      <w:pPr>
        <w:pStyle w:val="Figure"/>
        <w:rPr>
          <w:lang w:val="en-AU"/>
        </w:rPr>
      </w:pPr>
      <w:r w:rsidRPr="002C310D">
        <w:rPr>
          <w:lang w:val="en-AU"/>
        </w:rPr>
        <w:t xml:space="preserve">Figure 7: Change in retention rate of domestic undergraduate students between 2016 and 2022 enrolled at Table A institutions, split by equity group. Each dot represents a Table </w:t>
      </w:r>
      <w:proofErr w:type="spellStart"/>
      <w:r w:rsidRPr="002C310D">
        <w:rPr>
          <w:lang w:val="en-AU"/>
        </w:rPr>
        <w:t>A</w:t>
      </w:r>
      <w:proofErr w:type="spellEnd"/>
      <w:r w:rsidRPr="002C310D">
        <w:rPr>
          <w:lang w:val="en-AU"/>
        </w:rPr>
        <w:t xml:space="preserve"> institution.  A negative value indicates a decrease in retention from 2016 to 2022, and a positive value indicates an increase in retention from 2016 to 2022.</w:t>
      </w:r>
    </w:p>
    <w:p w14:paraId="0A802A16" w14:textId="71DB425D" w:rsidR="00D46136" w:rsidRPr="002C310D" w:rsidRDefault="00D46136">
      <w:pPr>
        <w:spacing w:after="200" w:line="240" w:lineRule="auto"/>
        <w:rPr>
          <w:rFonts w:ascii="Inter Medium" w:eastAsiaTheme="majorEastAsia" w:hAnsi="Inter Medium" w:cstheme="majorBidi"/>
          <w:color w:val="6B3B57"/>
          <w:sz w:val="52"/>
          <w:szCs w:val="36"/>
          <w:lang w:val="en-AU"/>
        </w:rPr>
      </w:pPr>
      <w:bookmarkStart w:id="6" w:name="retention-rates-in-2022"/>
      <w:bookmarkEnd w:id="5"/>
      <w:r w:rsidRPr="002C310D">
        <w:rPr>
          <w:noProof/>
          <w:lang w:val="en-AU"/>
        </w:rPr>
        <w:drawing>
          <wp:inline distT="0" distB="0" distL="0" distR="0" wp14:anchorId="038DE8B8" wp14:editId="08D9F553">
            <wp:extent cx="6950583" cy="3475292"/>
            <wp:effectExtent l="0" t="0" r="3175" b="0"/>
            <wp:docPr id="35" name="Picture" descr="Dot plot of change in retention rate of domestic undergraduate students between 2016 and 2022 enrolled at Table A universities, split by equity group. Each dot represents an institution. A negative value indicates a decrease from 2016 to 2022, and a positive value indicates an increase from 2016 to 2022.&#10;&#10;Changes in retention range from approximately -20% to +20%. On average, all groups saw a decrease of about 2 percentage points. The largest spread in institutional percentages was for students from remote areas, and First Nations Australian students. "/>
            <wp:cNvGraphicFramePr/>
            <a:graphic xmlns:a="http://schemas.openxmlformats.org/drawingml/2006/main">
              <a:graphicData uri="http://schemas.openxmlformats.org/drawingml/2006/picture">
                <pic:pic xmlns:pic="http://schemas.openxmlformats.org/drawingml/2006/picture">
                  <pic:nvPicPr>
                    <pic:cNvPr id="35" name="Picture" descr="Dot plot of change in retention rate of domestic undergraduate students between 2016 and 2022 enrolled at Table A universities, split by equity group. Each dot represents an institution. A negative value indicates a decrease from 2016 to 2022, and a positive value indicates an increase from 2016 to 2022.&#10;&#10;Changes in retention range from approximately -20% to +20%. On average, all groups saw a decrease of about 2 percentage points. The largest spread in institutional percentages was for students from remote areas, and First Nations Australian students. "/>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950583" cy="3475292"/>
                    </a:xfrm>
                    <a:prstGeom prst="rect">
                      <a:avLst/>
                    </a:prstGeom>
                    <a:noFill/>
                    <a:ln w="9525">
                      <a:noFill/>
                      <a:headEnd/>
                      <a:tailEnd/>
                    </a:ln>
                  </pic:spPr>
                </pic:pic>
              </a:graphicData>
            </a:graphic>
          </wp:inline>
        </w:drawing>
      </w:r>
      <w:r w:rsidRPr="002C310D">
        <w:rPr>
          <w:lang w:val="en-AU"/>
        </w:rPr>
        <w:br w:type="page"/>
      </w:r>
    </w:p>
    <w:p w14:paraId="5338E0F5" w14:textId="74F2324A" w:rsidR="008C4D9D" w:rsidRPr="002C310D" w:rsidRDefault="008C4D9D" w:rsidP="00384FEA">
      <w:pPr>
        <w:pStyle w:val="Heading1"/>
        <w:rPr>
          <w:lang w:val="en-AU"/>
        </w:rPr>
      </w:pPr>
      <w:r w:rsidRPr="002C310D">
        <w:rPr>
          <w:lang w:val="en-AU"/>
        </w:rPr>
        <w:lastRenderedPageBreak/>
        <w:t>Retention rates in 2022 (</w:t>
      </w:r>
      <w:r w:rsidR="00FA3DD8" w:rsidRPr="002C310D">
        <w:rPr>
          <w:lang w:val="en-AU"/>
        </w:rPr>
        <w:t>students returning in 2023)</w:t>
      </w:r>
    </w:p>
    <w:p w14:paraId="20BCE594" w14:textId="5EA4054A" w:rsidR="00527B7B" w:rsidRPr="002C310D" w:rsidRDefault="00E84684" w:rsidP="00376EFA">
      <w:pPr>
        <w:pStyle w:val="Heading2"/>
        <w:rPr>
          <w:lang w:val="en-AU"/>
        </w:rPr>
      </w:pPr>
      <w:r w:rsidRPr="002C310D">
        <w:rPr>
          <w:lang w:val="en-AU"/>
        </w:rPr>
        <w:t xml:space="preserve">Retention rates </w:t>
      </w:r>
      <w:r w:rsidR="00110CC4" w:rsidRPr="002C310D">
        <w:rPr>
          <w:lang w:val="en-AU"/>
        </w:rPr>
        <w:t xml:space="preserve">vary across institutional groupings and states </w:t>
      </w:r>
      <w:r w:rsidR="00042A04">
        <w:rPr>
          <w:lang w:val="en-AU"/>
        </w:rPr>
        <w:br/>
      </w:r>
      <w:r w:rsidR="00110CC4" w:rsidRPr="002C310D">
        <w:rPr>
          <w:lang w:val="en-AU"/>
        </w:rPr>
        <w:t xml:space="preserve">and territories </w:t>
      </w:r>
    </w:p>
    <w:p w14:paraId="69FF8EC5" w14:textId="2A421794" w:rsidR="00376EFA" w:rsidRPr="002C310D" w:rsidRDefault="00376EFA" w:rsidP="00376EFA">
      <w:pPr>
        <w:pStyle w:val="Figure"/>
        <w:rPr>
          <w:rFonts w:asciiTheme="majorHAnsi" w:eastAsiaTheme="majorEastAsia" w:hAnsiTheme="majorHAnsi" w:cstheme="majorBidi"/>
          <w:b/>
          <w:bCs/>
          <w:color w:val="351C26" w:themeColor="accent1"/>
          <w:sz w:val="32"/>
          <w:szCs w:val="32"/>
          <w:lang w:val="en-AU"/>
        </w:rPr>
      </w:pPr>
      <w:bookmarkStart w:id="7" w:name="X955de45e444d0d7de3804fa6ceae087ca5c4307"/>
      <w:bookmarkStart w:id="8" w:name="Xb565dd37fec49d65b650bdb22636ec3e531dc17"/>
      <w:bookmarkStart w:id="9" w:name="results"/>
      <w:r w:rsidRPr="002C310D">
        <w:rPr>
          <w:lang w:val="en-AU"/>
        </w:rPr>
        <w:t xml:space="preserve">Table 1: 2022 retention rates (%) for equity groups, by Institutional Groupings and State and Territory for Table A </w:t>
      </w:r>
      <w:r w:rsidR="0016762F">
        <w:rPr>
          <w:lang w:val="en-AU"/>
        </w:rPr>
        <w:t>i</w:t>
      </w:r>
      <w:r w:rsidRPr="002C310D">
        <w:rPr>
          <w:lang w:val="en-AU"/>
        </w:rPr>
        <w:t xml:space="preserve">nstitutions. </w:t>
      </w:r>
    </w:p>
    <w:tbl>
      <w:tblPr>
        <w:tblStyle w:val="GridTable4-Accent1"/>
        <w:tblW w:w="5143" w:type="pct"/>
        <w:tblLayout w:type="fixed"/>
        <w:tblLook w:val="04A0" w:firstRow="1" w:lastRow="0" w:firstColumn="1" w:lastColumn="0" w:noHBand="0" w:noVBand="1"/>
      </w:tblPr>
      <w:tblGrid>
        <w:gridCol w:w="4014"/>
        <w:gridCol w:w="1501"/>
        <w:gridCol w:w="1533"/>
        <w:gridCol w:w="1380"/>
        <w:gridCol w:w="1533"/>
        <w:gridCol w:w="1688"/>
        <w:gridCol w:w="1377"/>
        <w:gridCol w:w="1380"/>
      </w:tblGrid>
      <w:tr w:rsidR="00C2769B" w:rsidRPr="00D46136" w14:paraId="0C310144" w14:textId="2283968A" w:rsidTr="00807D26">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393" w:type="pct"/>
            <w:tcBorders>
              <w:right w:val="single" w:sz="4" w:space="0" w:color="EDE8E0" w:themeColor="background2"/>
            </w:tcBorders>
          </w:tcPr>
          <w:p w14:paraId="0A3AE653" w14:textId="77777777" w:rsidR="00C2769B" w:rsidRPr="002C310D" w:rsidRDefault="00C2769B" w:rsidP="00384FEA">
            <w:pPr>
              <w:rPr>
                <w:lang w:val="en-AU"/>
              </w:rPr>
            </w:pPr>
          </w:p>
        </w:tc>
        <w:tc>
          <w:tcPr>
            <w:tcW w:w="521" w:type="pct"/>
            <w:tcBorders>
              <w:left w:val="single" w:sz="4" w:space="0" w:color="EDE8E0" w:themeColor="background2"/>
              <w:right w:val="single" w:sz="4" w:space="0" w:color="EDE8E0" w:themeColor="background2"/>
            </w:tcBorders>
            <w:noWrap/>
            <w:hideMark/>
          </w:tcPr>
          <w:p w14:paraId="10A2B980" w14:textId="77777777" w:rsidR="00C2769B" w:rsidRPr="002C310D" w:rsidRDefault="00C2769B" w:rsidP="00384FEA">
            <w:pPr>
              <w:cnfStyle w:val="100000000000" w:firstRow="1" w:lastRow="0" w:firstColumn="0" w:lastColumn="0" w:oddVBand="0" w:evenVBand="0" w:oddHBand="0" w:evenHBand="0" w:firstRowFirstColumn="0" w:firstRowLastColumn="0" w:lastRowFirstColumn="0" w:lastRowLastColumn="0"/>
              <w:rPr>
                <w:b w:val="0"/>
                <w:bCs w:val="0"/>
                <w:lang w:val="en-AU"/>
              </w:rPr>
            </w:pPr>
            <w:r w:rsidRPr="002C310D">
              <w:rPr>
                <w:lang w:val="en-AU"/>
              </w:rPr>
              <w:t>Students with disability</w:t>
            </w:r>
          </w:p>
        </w:tc>
        <w:tc>
          <w:tcPr>
            <w:tcW w:w="532" w:type="pct"/>
            <w:tcBorders>
              <w:left w:val="single" w:sz="4" w:space="0" w:color="EDE8E0" w:themeColor="background2"/>
              <w:right w:val="single" w:sz="4" w:space="0" w:color="EDE8E0" w:themeColor="background2"/>
            </w:tcBorders>
            <w:noWrap/>
          </w:tcPr>
          <w:p w14:paraId="4DB31195" w14:textId="77777777" w:rsidR="00C2769B" w:rsidRPr="002C310D" w:rsidRDefault="00C2769B" w:rsidP="00384FEA">
            <w:pPr>
              <w:cnfStyle w:val="100000000000" w:firstRow="1" w:lastRow="0" w:firstColumn="0" w:lastColumn="0" w:oddVBand="0" w:evenVBand="0" w:oddHBand="0" w:evenHBand="0" w:firstRowFirstColumn="0" w:firstRowLastColumn="0" w:lastRowFirstColumn="0" w:lastRowLastColumn="0"/>
              <w:rPr>
                <w:b w:val="0"/>
                <w:bCs w:val="0"/>
                <w:lang w:val="en-AU"/>
              </w:rPr>
            </w:pPr>
            <w:r w:rsidRPr="002C310D">
              <w:rPr>
                <w:lang w:val="en-AU"/>
              </w:rPr>
              <w:t>Low SES</w:t>
            </w:r>
          </w:p>
        </w:tc>
        <w:tc>
          <w:tcPr>
            <w:tcW w:w="479" w:type="pct"/>
            <w:tcBorders>
              <w:left w:val="single" w:sz="4" w:space="0" w:color="EDE8E0" w:themeColor="background2"/>
              <w:right w:val="single" w:sz="4" w:space="0" w:color="EDE8E0" w:themeColor="background2"/>
            </w:tcBorders>
            <w:noWrap/>
          </w:tcPr>
          <w:p w14:paraId="69B64FCD" w14:textId="77777777" w:rsidR="00C2769B" w:rsidRPr="002C310D" w:rsidRDefault="00C2769B" w:rsidP="00384FEA">
            <w:pPr>
              <w:cnfStyle w:val="100000000000" w:firstRow="1" w:lastRow="0" w:firstColumn="0" w:lastColumn="0" w:oddVBand="0" w:evenVBand="0" w:oddHBand="0" w:evenHBand="0" w:firstRowFirstColumn="0" w:firstRowLastColumn="0" w:lastRowFirstColumn="0" w:lastRowLastColumn="0"/>
              <w:rPr>
                <w:b w:val="0"/>
                <w:bCs w:val="0"/>
                <w:lang w:val="en-AU"/>
              </w:rPr>
            </w:pPr>
            <w:r w:rsidRPr="002C310D">
              <w:rPr>
                <w:lang w:val="en-AU"/>
              </w:rPr>
              <w:t>Regional</w:t>
            </w:r>
          </w:p>
        </w:tc>
        <w:tc>
          <w:tcPr>
            <w:tcW w:w="532" w:type="pct"/>
            <w:tcBorders>
              <w:left w:val="single" w:sz="4" w:space="0" w:color="EDE8E0" w:themeColor="background2"/>
              <w:right w:val="single" w:sz="4" w:space="0" w:color="EDE8E0" w:themeColor="background2"/>
            </w:tcBorders>
          </w:tcPr>
          <w:p w14:paraId="1220610A" w14:textId="77777777" w:rsidR="00C2769B" w:rsidRPr="002C310D" w:rsidRDefault="00C2769B" w:rsidP="00384FEA">
            <w:pPr>
              <w:cnfStyle w:val="100000000000" w:firstRow="1" w:lastRow="0" w:firstColumn="0" w:lastColumn="0" w:oddVBand="0" w:evenVBand="0" w:oddHBand="0" w:evenHBand="0" w:firstRowFirstColumn="0" w:firstRowLastColumn="0" w:lastRowFirstColumn="0" w:lastRowLastColumn="0"/>
              <w:rPr>
                <w:b w:val="0"/>
                <w:bCs w:val="0"/>
                <w:lang w:val="en-AU"/>
              </w:rPr>
            </w:pPr>
            <w:r w:rsidRPr="002C310D">
              <w:rPr>
                <w:lang w:val="en-AU"/>
              </w:rPr>
              <w:t>Remote</w:t>
            </w:r>
          </w:p>
        </w:tc>
        <w:tc>
          <w:tcPr>
            <w:tcW w:w="586" w:type="pct"/>
            <w:tcBorders>
              <w:left w:val="single" w:sz="4" w:space="0" w:color="EDE8E0" w:themeColor="background2"/>
              <w:right w:val="single" w:sz="4" w:space="0" w:color="EDE8E0" w:themeColor="background2"/>
            </w:tcBorders>
          </w:tcPr>
          <w:p w14:paraId="7F376FE1" w14:textId="77777777" w:rsidR="00C2769B" w:rsidRPr="002C310D" w:rsidRDefault="00C2769B" w:rsidP="00384FEA">
            <w:pPr>
              <w:cnfStyle w:val="100000000000" w:firstRow="1" w:lastRow="0" w:firstColumn="0" w:lastColumn="0" w:oddVBand="0" w:evenVBand="0" w:oddHBand="0" w:evenHBand="0" w:firstRowFirstColumn="0" w:firstRowLastColumn="0" w:lastRowFirstColumn="0" w:lastRowLastColumn="0"/>
              <w:rPr>
                <w:b w:val="0"/>
                <w:bCs w:val="0"/>
                <w:lang w:val="en-AU"/>
              </w:rPr>
            </w:pPr>
            <w:r w:rsidRPr="002C310D">
              <w:rPr>
                <w:lang w:val="en-AU"/>
              </w:rPr>
              <w:t>First Nations Australians</w:t>
            </w:r>
          </w:p>
        </w:tc>
        <w:tc>
          <w:tcPr>
            <w:tcW w:w="478" w:type="pct"/>
            <w:tcBorders>
              <w:left w:val="single" w:sz="4" w:space="0" w:color="EDE8E0" w:themeColor="background2"/>
              <w:right w:val="single" w:sz="4" w:space="0" w:color="EDE8E0" w:themeColor="background2"/>
            </w:tcBorders>
          </w:tcPr>
          <w:p w14:paraId="0CCC143C" w14:textId="435AE708" w:rsidR="00C2769B" w:rsidRPr="002C310D" w:rsidRDefault="00C2769B" w:rsidP="00384FEA">
            <w:pPr>
              <w:cnfStyle w:val="100000000000" w:firstRow="1" w:lastRow="0" w:firstColumn="0" w:lastColumn="0" w:oddVBand="0" w:evenVBand="0" w:oddHBand="0" w:evenHBand="0" w:firstRowFirstColumn="0" w:firstRowLastColumn="0" w:lastRowFirstColumn="0" w:lastRowLastColumn="0"/>
              <w:rPr>
                <w:b w:val="0"/>
                <w:bCs w:val="0"/>
                <w:lang w:val="en-AU"/>
              </w:rPr>
            </w:pPr>
            <w:r w:rsidRPr="002C310D">
              <w:rPr>
                <w:lang w:val="en-AU"/>
              </w:rPr>
              <w:t>Non-equity</w:t>
            </w:r>
            <w:r w:rsidR="00E142E6" w:rsidRPr="002C310D">
              <w:rPr>
                <w:lang w:val="en-AU"/>
              </w:rPr>
              <w:t xml:space="preserve"> students</w:t>
            </w:r>
          </w:p>
        </w:tc>
        <w:tc>
          <w:tcPr>
            <w:tcW w:w="479" w:type="pct"/>
            <w:tcBorders>
              <w:left w:val="single" w:sz="4" w:space="0" w:color="EDE8E0" w:themeColor="background2"/>
            </w:tcBorders>
          </w:tcPr>
          <w:p w14:paraId="2D32F1F8" w14:textId="03428FE8" w:rsidR="00C2769B" w:rsidRPr="002C310D" w:rsidRDefault="00C2769B" w:rsidP="00384FEA">
            <w:pPr>
              <w:cnfStyle w:val="100000000000" w:firstRow="1" w:lastRow="0" w:firstColumn="0" w:lastColumn="0" w:oddVBand="0" w:evenVBand="0" w:oddHBand="0" w:evenHBand="0" w:firstRowFirstColumn="0" w:firstRowLastColumn="0" w:lastRowFirstColumn="0" w:lastRowLastColumn="0"/>
              <w:rPr>
                <w:lang w:val="en-AU"/>
              </w:rPr>
            </w:pPr>
            <w:r w:rsidRPr="002C310D">
              <w:rPr>
                <w:lang w:val="en-AU"/>
              </w:rPr>
              <w:t>Equit</w:t>
            </w:r>
            <w:r w:rsidR="00E142E6" w:rsidRPr="002C310D">
              <w:rPr>
                <w:lang w:val="en-AU"/>
              </w:rPr>
              <w:t>y students</w:t>
            </w:r>
          </w:p>
        </w:tc>
      </w:tr>
      <w:tr w:rsidR="00C2769B" w:rsidRPr="00D46136" w14:paraId="612DB519" w14:textId="3C7A3B53" w:rsidTr="00376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pct"/>
          </w:tcPr>
          <w:p w14:paraId="4F0A3B69" w14:textId="2197AC05" w:rsidR="00C2769B" w:rsidRPr="002C310D" w:rsidRDefault="00C2769B" w:rsidP="00384FEA">
            <w:pPr>
              <w:rPr>
                <w:b w:val="0"/>
                <w:bCs w:val="0"/>
                <w:lang w:val="en-AU"/>
              </w:rPr>
            </w:pPr>
            <w:r w:rsidRPr="002C310D">
              <w:rPr>
                <w:lang w:val="en-AU"/>
              </w:rPr>
              <w:t xml:space="preserve">National — Table A </w:t>
            </w:r>
            <w:r w:rsidR="00042A04">
              <w:rPr>
                <w:lang w:val="en-AU"/>
              </w:rPr>
              <w:t>i</w:t>
            </w:r>
            <w:r w:rsidR="00EF26D6" w:rsidRPr="002C310D">
              <w:rPr>
                <w:lang w:val="en-AU"/>
              </w:rPr>
              <w:t>nstitutions</w:t>
            </w:r>
          </w:p>
        </w:tc>
        <w:tc>
          <w:tcPr>
            <w:tcW w:w="521" w:type="pct"/>
            <w:noWrap/>
          </w:tcPr>
          <w:p w14:paraId="5695FD57"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81.3</w:t>
            </w:r>
          </w:p>
        </w:tc>
        <w:tc>
          <w:tcPr>
            <w:tcW w:w="532" w:type="pct"/>
            <w:noWrap/>
          </w:tcPr>
          <w:p w14:paraId="5324D669" w14:textId="671A4B5A"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78.</w:t>
            </w:r>
            <w:r w:rsidR="00E51D3E" w:rsidRPr="002C310D">
              <w:rPr>
                <w:lang w:val="en-AU"/>
              </w:rPr>
              <w:t>7</w:t>
            </w:r>
          </w:p>
        </w:tc>
        <w:tc>
          <w:tcPr>
            <w:tcW w:w="479" w:type="pct"/>
            <w:noWrap/>
          </w:tcPr>
          <w:p w14:paraId="474251E3" w14:textId="0AC6C155"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w:t>
            </w:r>
            <w:r w:rsidR="00CA1790" w:rsidRPr="002C310D">
              <w:rPr>
                <w:lang w:val="en-AU"/>
              </w:rPr>
              <w:t>9</w:t>
            </w:r>
            <w:r w:rsidRPr="002C310D">
              <w:rPr>
                <w:lang w:val="en-AU"/>
              </w:rPr>
              <w:t>.</w:t>
            </w:r>
            <w:r w:rsidR="00CA1790" w:rsidRPr="002C310D">
              <w:rPr>
                <w:lang w:val="en-AU"/>
              </w:rPr>
              <w:t>2</w:t>
            </w:r>
          </w:p>
        </w:tc>
        <w:tc>
          <w:tcPr>
            <w:tcW w:w="532" w:type="pct"/>
          </w:tcPr>
          <w:p w14:paraId="564C3FD7" w14:textId="6FAB992B" w:rsidR="00C2769B" w:rsidRPr="002C310D" w:rsidRDefault="00CA1790"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76.6</w:t>
            </w:r>
          </w:p>
        </w:tc>
        <w:tc>
          <w:tcPr>
            <w:tcW w:w="586" w:type="pct"/>
          </w:tcPr>
          <w:p w14:paraId="4639F4CB" w14:textId="1D110AB2"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w:t>
            </w:r>
            <w:r w:rsidR="00BD409E" w:rsidRPr="002C310D">
              <w:rPr>
                <w:lang w:val="en-AU"/>
              </w:rPr>
              <w:t>1</w:t>
            </w:r>
            <w:r w:rsidRPr="002C310D">
              <w:rPr>
                <w:lang w:val="en-AU"/>
              </w:rPr>
              <w:t>.</w:t>
            </w:r>
            <w:r w:rsidR="00BD409E" w:rsidRPr="002C310D">
              <w:rPr>
                <w:lang w:val="en-AU"/>
              </w:rPr>
              <w:t>1</w:t>
            </w:r>
          </w:p>
        </w:tc>
        <w:tc>
          <w:tcPr>
            <w:tcW w:w="478" w:type="pct"/>
          </w:tcPr>
          <w:p w14:paraId="3870F9D8" w14:textId="5B10ACD8"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85.</w:t>
            </w:r>
            <w:r w:rsidR="00BD409E" w:rsidRPr="002C310D">
              <w:rPr>
                <w:lang w:val="en-AU"/>
              </w:rPr>
              <w:t>7</w:t>
            </w:r>
          </w:p>
        </w:tc>
        <w:tc>
          <w:tcPr>
            <w:tcW w:w="479" w:type="pct"/>
          </w:tcPr>
          <w:p w14:paraId="3842BE76" w14:textId="3FA77301" w:rsidR="00C2769B" w:rsidRPr="002C310D" w:rsidRDefault="00BB3DB4"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80.1</w:t>
            </w:r>
          </w:p>
        </w:tc>
      </w:tr>
      <w:tr w:rsidR="00C2769B" w:rsidRPr="00D46136" w14:paraId="45CFB51B" w14:textId="621E2783" w:rsidTr="00376EFA">
        <w:tc>
          <w:tcPr>
            <w:cnfStyle w:val="001000000000" w:firstRow="0" w:lastRow="0" w:firstColumn="1" w:lastColumn="0" w:oddVBand="0" w:evenVBand="0" w:oddHBand="0" w:evenHBand="0" w:firstRowFirstColumn="0" w:firstRowLastColumn="0" w:lastRowFirstColumn="0" w:lastRowLastColumn="0"/>
            <w:tcW w:w="1393" w:type="pct"/>
          </w:tcPr>
          <w:p w14:paraId="318973EC" w14:textId="479C8DB3" w:rsidR="00C2769B" w:rsidRPr="002C310D" w:rsidRDefault="007556F8" w:rsidP="00384FEA">
            <w:pPr>
              <w:rPr>
                <w:lang w:val="en-AU"/>
              </w:rPr>
            </w:pPr>
            <w:r w:rsidRPr="002C310D">
              <w:rPr>
                <w:lang w:val="en-AU"/>
              </w:rPr>
              <w:t>Institutional Groupings</w:t>
            </w:r>
          </w:p>
        </w:tc>
        <w:tc>
          <w:tcPr>
            <w:tcW w:w="521" w:type="pct"/>
            <w:noWrap/>
          </w:tcPr>
          <w:p w14:paraId="0130F789"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532" w:type="pct"/>
            <w:noWrap/>
          </w:tcPr>
          <w:p w14:paraId="4E94EB3B"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479" w:type="pct"/>
            <w:noWrap/>
          </w:tcPr>
          <w:p w14:paraId="42111392"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532" w:type="pct"/>
          </w:tcPr>
          <w:p w14:paraId="2428A4E1"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586" w:type="pct"/>
          </w:tcPr>
          <w:p w14:paraId="464A013D"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478" w:type="pct"/>
          </w:tcPr>
          <w:p w14:paraId="201E4F2A"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479" w:type="pct"/>
          </w:tcPr>
          <w:p w14:paraId="39DEB1BE"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r>
      <w:tr w:rsidR="00C2769B" w:rsidRPr="00D46136" w14:paraId="6A50908F" w14:textId="3039BA5E" w:rsidTr="00376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pct"/>
          </w:tcPr>
          <w:p w14:paraId="4C63A526" w14:textId="77777777" w:rsidR="00C2769B" w:rsidRPr="002C310D" w:rsidRDefault="00C2769B" w:rsidP="00384FEA">
            <w:pPr>
              <w:rPr>
                <w:b w:val="0"/>
                <w:bCs w:val="0"/>
                <w:lang w:val="en-AU"/>
              </w:rPr>
            </w:pPr>
            <w:r w:rsidRPr="002C310D">
              <w:rPr>
                <w:lang w:val="en-AU"/>
              </w:rPr>
              <w:t>Group of Eight (Go8)</w:t>
            </w:r>
          </w:p>
        </w:tc>
        <w:tc>
          <w:tcPr>
            <w:tcW w:w="521" w:type="pct"/>
            <w:noWrap/>
          </w:tcPr>
          <w:p w14:paraId="25C38291"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89.0</w:t>
            </w:r>
          </w:p>
        </w:tc>
        <w:tc>
          <w:tcPr>
            <w:tcW w:w="532" w:type="pct"/>
            <w:noWrap/>
          </w:tcPr>
          <w:p w14:paraId="5874AD65"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90.7</w:t>
            </w:r>
          </w:p>
        </w:tc>
        <w:tc>
          <w:tcPr>
            <w:tcW w:w="479" w:type="pct"/>
            <w:noWrap/>
          </w:tcPr>
          <w:p w14:paraId="0F2CE8CA"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90.5</w:t>
            </w:r>
          </w:p>
        </w:tc>
        <w:tc>
          <w:tcPr>
            <w:tcW w:w="532" w:type="pct"/>
          </w:tcPr>
          <w:p w14:paraId="48EB52D7"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90.2</w:t>
            </w:r>
          </w:p>
        </w:tc>
        <w:tc>
          <w:tcPr>
            <w:tcW w:w="586" w:type="pct"/>
          </w:tcPr>
          <w:p w14:paraId="06D5EA8F"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83.6</w:t>
            </w:r>
          </w:p>
        </w:tc>
        <w:tc>
          <w:tcPr>
            <w:tcW w:w="478" w:type="pct"/>
          </w:tcPr>
          <w:p w14:paraId="57942B5E"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93.6</w:t>
            </w:r>
          </w:p>
        </w:tc>
        <w:tc>
          <w:tcPr>
            <w:tcW w:w="479" w:type="pct"/>
          </w:tcPr>
          <w:p w14:paraId="31AF7939" w14:textId="6AEBFF85" w:rsidR="00C2769B" w:rsidRPr="002C310D" w:rsidRDefault="0046762A"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90.3</w:t>
            </w:r>
          </w:p>
        </w:tc>
      </w:tr>
      <w:tr w:rsidR="00C2769B" w:rsidRPr="00D46136" w14:paraId="228EDAD0" w14:textId="69CEC5D1" w:rsidTr="00376EFA">
        <w:tc>
          <w:tcPr>
            <w:cnfStyle w:val="001000000000" w:firstRow="0" w:lastRow="0" w:firstColumn="1" w:lastColumn="0" w:oddVBand="0" w:evenVBand="0" w:oddHBand="0" w:evenHBand="0" w:firstRowFirstColumn="0" w:firstRowLastColumn="0" w:lastRowFirstColumn="0" w:lastRowLastColumn="0"/>
            <w:tcW w:w="1393" w:type="pct"/>
          </w:tcPr>
          <w:p w14:paraId="2FC6AEDE" w14:textId="77777777" w:rsidR="00C2769B" w:rsidRPr="002C310D" w:rsidRDefault="00C2769B" w:rsidP="00384FEA">
            <w:pPr>
              <w:rPr>
                <w:b w:val="0"/>
                <w:bCs w:val="0"/>
                <w:lang w:val="en-AU"/>
              </w:rPr>
            </w:pPr>
            <w:r w:rsidRPr="002C310D">
              <w:rPr>
                <w:lang w:val="en-AU"/>
              </w:rPr>
              <w:t>Australian Technology Network (ATN)</w:t>
            </w:r>
          </w:p>
        </w:tc>
        <w:tc>
          <w:tcPr>
            <w:tcW w:w="521" w:type="pct"/>
            <w:noWrap/>
          </w:tcPr>
          <w:p w14:paraId="742F4A38"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81.4</w:t>
            </w:r>
          </w:p>
        </w:tc>
        <w:tc>
          <w:tcPr>
            <w:tcW w:w="532" w:type="pct"/>
            <w:noWrap/>
          </w:tcPr>
          <w:p w14:paraId="553F42CC"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79.9</w:t>
            </w:r>
          </w:p>
        </w:tc>
        <w:tc>
          <w:tcPr>
            <w:tcW w:w="479" w:type="pct"/>
            <w:noWrap/>
          </w:tcPr>
          <w:p w14:paraId="76F28112"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80.5</w:t>
            </w:r>
          </w:p>
        </w:tc>
        <w:tc>
          <w:tcPr>
            <w:tcW w:w="532" w:type="pct"/>
          </w:tcPr>
          <w:p w14:paraId="504E7E22"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74.8</w:t>
            </w:r>
          </w:p>
        </w:tc>
        <w:tc>
          <w:tcPr>
            <w:tcW w:w="586" w:type="pct"/>
          </w:tcPr>
          <w:p w14:paraId="6E49BC16"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69.9</w:t>
            </w:r>
          </w:p>
        </w:tc>
        <w:tc>
          <w:tcPr>
            <w:tcW w:w="478" w:type="pct"/>
          </w:tcPr>
          <w:p w14:paraId="1DC17AC0"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85.3</w:t>
            </w:r>
          </w:p>
        </w:tc>
        <w:tc>
          <w:tcPr>
            <w:tcW w:w="479" w:type="pct"/>
          </w:tcPr>
          <w:p w14:paraId="3C87CB27" w14:textId="7CB1B8E7" w:rsidR="00C2769B" w:rsidRPr="002C310D" w:rsidRDefault="00F93BA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80.8</w:t>
            </w:r>
          </w:p>
        </w:tc>
      </w:tr>
      <w:tr w:rsidR="00C2769B" w:rsidRPr="00D46136" w14:paraId="21428A0E" w14:textId="4F15325C" w:rsidTr="00376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pct"/>
          </w:tcPr>
          <w:p w14:paraId="5D6D26D7" w14:textId="77777777" w:rsidR="00C2769B" w:rsidRPr="002C310D" w:rsidRDefault="00C2769B" w:rsidP="00384FEA">
            <w:pPr>
              <w:rPr>
                <w:b w:val="0"/>
                <w:bCs w:val="0"/>
                <w:lang w:val="en-AU"/>
              </w:rPr>
            </w:pPr>
            <w:r w:rsidRPr="002C310D">
              <w:rPr>
                <w:lang w:val="en-AU"/>
              </w:rPr>
              <w:t>Innovative Research Universities (IRU)</w:t>
            </w:r>
          </w:p>
        </w:tc>
        <w:tc>
          <w:tcPr>
            <w:tcW w:w="521" w:type="pct"/>
            <w:noWrap/>
          </w:tcPr>
          <w:p w14:paraId="3F77F8AC"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78.0</w:t>
            </w:r>
          </w:p>
        </w:tc>
        <w:tc>
          <w:tcPr>
            <w:tcW w:w="532" w:type="pct"/>
            <w:noWrap/>
          </w:tcPr>
          <w:p w14:paraId="788BADE8"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77.2</w:t>
            </w:r>
          </w:p>
        </w:tc>
        <w:tc>
          <w:tcPr>
            <w:tcW w:w="479" w:type="pct"/>
            <w:noWrap/>
          </w:tcPr>
          <w:p w14:paraId="219B8BCD"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81.0</w:t>
            </w:r>
          </w:p>
        </w:tc>
        <w:tc>
          <w:tcPr>
            <w:tcW w:w="532" w:type="pct"/>
          </w:tcPr>
          <w:p w14:paraId="674F0E50"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79.7</w:t>
            </w:r>
          </w:p>
        </w:tc>
        <w:tc>
          <w:tcPr>
            <w:tcW w:w="586" w:type="pct"/>
          </w:tcPr>
          <w:p w14:paraId="5EE500E8"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67.0</w:t>
            </w:r>
          </w:p>
        </w:tc>
        <w:tc>
          <w:tcPr>
            <w:tcW w:w="478" w:type="pct"/>
          </w:tcPr>
          <w:p w14:paraId="1260A910"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80.7</w:t>
            </w:r>
          </w:p>
        </w:tc>
        <w:tc>
          <w:tcPr>
            <w:tcW w:w="479" w:type="pct"/>
          </w:tcPr>
          <w:p w14:paraId="7B39CD8F" w14:textId="422652CD" w:rsidR="00C2769B" w:rsidRPr="002C310D" w:rsidRDefault="0046762A"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78.6</w:t>
            </w:r>
          </w:p>
        </w:tc>
      </w:tr>
      <w:tr w:rsidR="00C2769B" w:rsidRPr="00D46136" w14:paraId="3063F91E" w14:textId="461A9689" w:rsidTr="00376EFA">
        <w:tc>
          <w:tcPr>
            <w:cnfStyle w:val="001000000000" w:firstRow="0" w:lastRow="0" w:firstColumn="1" w:lastColumn="0" w:oddVBand="0" w:evenVBand="0" w:oddHBand="0" w:evenHBand="0" w:firstRowFirstColumn="0" w:firstRowLastColumn="0" w:lastRowFirstColumn="0" w:lastRowLastColumn="0"/>
            <w:tcW w:w="1393" w:type="pct"/>
          </w:tcPr>
          <w:p w14:paraId="10B6FA41" w14:textId="77777777" w:rsidR="00C2769B" w:rsidRPr="002C310D" w:rsidRDefault="00C2769B" w:rsidP="00384FEA">
            <w:pPr>
              <w:rPr>
                <w:b w:val="0"/>
                <w:bCs w:val="0"/>
                <w:lang w:val="en-AU"/>
              </w:rPr>
            </w:pPr>
            <w:r w:rsidRPr="002C310D">
              <w:rPr>
                <w:lang w:val="en-AU"/>
              </w:rPr>
              <w:t>Regional University Network (RUN)</w:t>
            </w:r>
          </w:p>
        </w:tc>
        <w:tc>
          <w:tcPr>
            <w:tcW w:w="521" w:type="pct"/>
            <w:noWrap/>
          </w:tcPr>
          <w:p w14:paraId="56AB47CF"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73.5</w:t>
            </w:r>
          </w:p>
        </w:tc>
        <w:tc>
          <w:tcPr>
            <w:tcW w:w="532" w:type="pct"/>
            <w:noWrap/>
          </w:tcPr>
          <w:p w14:paraId="03EEB2E2"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74.2</w:t>
            </w:r>
          </w:p>
        </w:tc>
        <w:tc>
          <w:tcPr>
            <w:tcW w:w="479" w:type="pct"/>
            <w:noWrap/>
          </w:tcPr>
          <w:p w14:paraId="7751440B"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75.7</w:t>
            </w:r>
          </w:p>
        </w:tc>
        <w:tc>
          <w:tcPr>
            <w:tcW w:w="532" w:type="pct"/>
          </w:tcPr>
          <w:p w14:paraId="03AC3FD4"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76.3</w:t>
            </w:r>
          </w:p>
        </w:tc>
        <w:tc>
          <w:tcPr>
            <w:tcW w:w="586" w:type="pct"/>
          </w:tcPr>
          <w:p w14:paraId="021955CD"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70.2</w:t>
            </w:r>
          </w:p>
        </w:tc>
        <w:tc>
          <w:tcPr>
            <w:tcW w:w="478" w:type="pct"/>
          </w:tcPr>
          <w:p w14:paraId="20FD4C47"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77.5</w:t>
            </w:r>
          </w:p>
        </w:tc>
        <w:tc>
          <w:tcPr>
            <w:tcW w:w="479" w:type="pct"/>
          </w:tcPr>
          <w:p w14:paraId="050DE89B" w14:textId="169F353F" w:rsidR="00C2769B" w:rsidRPr="002C310D" w:rsidRDefault="0046762A"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75.3</w:t>
            </w:r>
          </w:p>
        </w:tc>
      </w:tr>
      <w:tr w:rsidR="00C2769B" w:rsidRPr="00D46136" w14:paraId="10461E30" w14:textId="6F7E11FA" w:rsidTr="00376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pct"/>
          </w:tcPr>
          <w:p w14:paraId="0658BCA8" w14:textId="77777777" w:rsidR="00C2769B" w:rsidRPr="002C310D" w:rsidRDefault="00C2769B" w:rsidP="00384FEA">
            <w:pPr>
              <w:rPr>
                <w:b w:val="0"/>
                <w:bCs w:val="0"/>
                <w:lang w:val="en-AU"/>
              </w:rPr>
            </w:pPr>
            <w:r w:rsidRPr="002C310D">
              <w:rPr>
                <w:lang w:val="en-AU"/>
              </w:rPr>
              <w:t xml:space="preserve">Non-aligned </w:t>
            </w:r>
          </w:p>
        </w:tc>
        <w:tc>
          <w:tcPr>
            <w:tcW w:w="521" w:type="pct"/>
            <w:noWrap/>
          </w:tcPr>
          <w:p w14:paraId="154A3AD2"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80.3</w:t>
            </w:r>
          </w:p>
        </w:tc>
        <w:tc>
          <w:tcPr>
            <w:tcW w:w="532" w:type="pct"/>
            <w:noWrap/>
          </w:tcPr>
          <w:p w14:paraId="5BBF5032"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77.6</w:t>
            </w:r>
          </w:p>
        </w:tc>
        <w:tc>
          <w:tcPr>
            <w:tcW w:w="479" w:type="pct"/>
            <w:noWrap/>
          </w:tcPr>
          <w:p w14:paraId="55747A0F"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77.0</w:t>
            </w:r>
          </w:p>
        </w:tc>
        <w:tc>
          <w:tcPr>
            <w:tcW w:w="532" w:type="pct"/>
          </w:tcPr>
          <w:p w14:paraId="707B80DD"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69.4</w:t>
            </w:r>
          </w:p>
        </w:tc>
        <w:tc>
          <w:tcPr>
            <w:tcW w:w="586" w:type="pct"/>
          </w:tcPr>
          <w:p w14:paraId="4D0BA24F"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71.3</w:t>
            </w:r>
          </w:p>
        </w:tc>
        <w:tc>
          <w:tcPr>
            <w:tcW w:w="478" w:type="pct"/>
          </w:tcPr>
          <w:p w14:paraId="525E8CA3"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83.9</w:t>
            </w:r>
          </w:p>
        </w:tc>
        <w:tc>
          <w:tcPr>
            <w:tcW w:w="479" w:type="pct"/>
          </w:tcPr>
          <w:p w14:paraId="5284A0D6" w14:textId="10F5A4E3" w:rsidR="00C2769B" w:rsidRPr="002C310D" w:rsidRDefault="0046762A"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78.7</w:t>
            </w:r>
          </w:p>
        </w:tc>
      </w:tr>
      <w:tr w:rsidR="00C2769B" w:rsidRPr="00D46136" w14:paraId="0A024760" w14:textId="65196DEF" w:rsidTr="00376EFA">
        <w:tc>
          <w:tcPr>
            <w:cnfStyle w:val="001000000000" w:firstRow="0" w:lastRow="0" w:firstColumn="1" w:lastColumn="0" w:oddVBand="0" w:evenVBand="0" w:oddHBand="0" w:evenHBand="0" w:firstRowFirstColumn="0" w:firstRowLastColumn="0" w:lastRowFirstColumn="0" w:lastRowLastColumn="0"/>
            <w:tcW w:w="1393" w:type="pct"/>
          </w:tcPr>
          <w:p w14:paraId="6D00CA29" w14:textId="51B0BDB6" w:rsidR="00C2769B" w:rsidRPr="002C310D" w:rsidRDefault="007556F8" w:rsidP="00384FEA">
            <w:pPr>
              <w:rPr>
                <w:lang w:val="en-AU"/>
              </w:rPr>
            </w:pPr>
            <w:r w:rsidRPr="002C310D">
              <w:rPr>
                <w:lang w:val="en-AU"/>
              </w:rPr>
              <w:t>States and Territories</w:t>
            </w:r>
          </w:p>
        </w:tc>
        <w:tc>
          <w:tcPr>
            <w:tcW w:w="521" w:type="pct"/>
            <w:noWrap/>
          </w:tcPr>
          <w:p w14:paraId="525885F9"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532" w:type="pct"/>
            <w:noWrap/>
          </w:tcPr>
          <w:p w14:paraId="29187DB2"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479" w:type="pct"/>
            <w:noWrap/>
          </w:tcPr>
          <w:p w14:paraId="2B9AE025"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532" w:type="pct"/>
          </w:tcPr>
          <w:p w14:paraId="6F95B40B"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586" w:type="pct"/>
          </w:tcPr>
          <w:p w14:paraId="5D290A92"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478" w:type="pct"/>
          </w:tcPr>
          <w:p w14:paraId="0A87778E"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c>
          <w:tcPr>
            <w:tcW w:w="479" w:type="pct"/>
          </w:tcPr>
          <w:p w14:paraId="1B9B58B8"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p>
        </w:tc>
      </w:tr>
      <w:tr w:rsidR="00C2769B" w:rsidRPr="00D46136" w14:paraId="319D4AF0" w14:textId="08F466E7" w:rsidTr="00376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pct"/>
          </w:tcPr>
          <w:p w14:paraId="1478D79D" w14:textId="77777777" w:rsidR="00C2769B" w:rsidRPr="002C310D" w:rsidRDefault="00C2769B" w:rsidP="00384FEA">
            <w:pPr>
              <w:rPr>
                <w:b w:val="0"/>
                <w:bCs w:val="0"/>
                <w:lang w:val="en-AU"/>
              </w:rPr>
            </w:pPr>
            <w:r w:rsidRPr="002C310D">
              <w:rPr>
                <w:lang w:val="en-AU"/>
              </w:rPr>
              <w:t xml:space="preserve">New South Wales </w:t>
            </w:r>
          </w:p>
        </w:tc>
        <w:tc>
          <w:tcPr>
            <w:tcW w:w="521" w:type="pct"/>
            <w:noWrap/>
          </w:tcPr>
          <w:p w14:paraId="7AF45C2D"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82.2</w:t>
            </w:r>
          </w:p>
        </w:tc>
        <w:tc>
          <w:tcPr>
            <w:tcW w:w="532" w:type="pct"/>
            <w:noWrap/>
          </w:tcPr>
          <w:p w14:paraId="0B8128C1"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80.3</w:t>
            </w:r>
          </w:p>
        </w:tc>
        <w:tc>
          <w:tcPr>
            <w:tcW w:w="479" w:type="pct"/>
            <w:noWrap/>
          </w:tcPr>
          <w:p w14:paraId="75053812"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79.7</w:t>
            </w:r>
          </w:p>
        </w:tc>
        <w:tc>
          <w:tcPr>
            <w:tcW w:w="532" w:type="pct"/>
          </w:tcPr>
          <w:p w14:paraId="64450113"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80.0</w:t>
            </w:r>
          </w:p>
        </w:tc>
        <w:tc>
          <w:tcPr>
            <w:tcW w:w="586" w:type="pct"/>
          </w:tcPr>
          <w:p w14:paraId="46471D87"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72.2</w:t>
            </w:r>
          </w:p>
        </w:tc>
        <w:tc>
          <w:tcPr>
            <w:tcW w:w="478" w:type="pct"/>
          </w:tcPr>
          <w:p w14:paraId="3144A5E7"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87.8</w:t>
            </w:r>
          </w:p>
        </w:tc>
        <w:tc>
          <w:tcPr>
            <w:tcW w:w="479" w:type="pct"/>
          </w:tcPr>
          <w:p w14:paraId="231C5940" w14:textId="579D743D" w:rsidR="00C2769B" w:rsidRPr="002C310D" w:rsidRDefault="009221A3"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81.1</w:t>
            </w:r>
          </w:p>
        </w:tc>
      </w:tr>
      <w:tr w:rsidR="00C2769B" w:rsidRPr="00D46136" w14:paraId="385C840E" w14:textId="7E0F4FF1" w:rsidTr="00376EFA">
        <w:tc>
          <w:tcPr>
            <w:cnfStyle w:val="001000000000" w:firstRow="0" w:lastRow="0" w:firstColumn="1" w:lastColumn="0" w:oddVBand="0" w:evenVBand="0" w:oddHBand="0" w:evenHBand="0" w:firstRowFirstColumn="0" w:firstRowLastColumn="0" w:lastRowFirstColumn="0" w:lastRowLastColumn="0"/>
            <w:tcW w:w="1393" w:type="pct"/>
          </w:tcPr>
          <w:p w14:paraId="7A509F9E" w14:textId="77777777" w:rsidR="00C2769B" w:rsidRPr="002C310D" w:rsidRDefault="00C2769B" w:rsidP="00384FEA">
            <w:pPr>
              <w:rPr>
                <w:b w:val="0"/>
                <w:bCs w:val="0"/>
                <w:lang w:val="en-AU"/>
              </w:rPr>
            </w:pPr>
            <w:r w:rsidRPr="002C310D">
              <w:rPr>
                <w:lang w:val="en-AU"/>
              </w:rPr>
              <w:t xml:space="preserve">Victoria </w:t>
            </w:r>
          </w:p>
        </w:tc>
        <w:tc>
          <w:tcPr>
            <w:tcW w:w="521" w:type="pct"/>
            <w:noWrap/>
          </w:tcPr>
          <w:p w14:paraId="020866B7"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83.7</w:t>
            </w:r>
          </w:p>
        </w:tc>
        <w:tc>
          <w:tcPr>
            <w:tcW w:w="532" w:type="pct"/>
            <w:noWrap/>
          </w:tcPr>
          <w:p w14:paraId="175926C4"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82.2</w:t>
            </w:r>
          </w:p>
        </w:tc>
        <w:tc>
          <w:tcPr>
            <w:tcW w:w="479" w:type="pct"/>
            <w:noWrap/>
          </w:tcPr>
          <w:p w14:paraId="5230EE18"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81.7</w:t>
            </w:r>
          </w:p>
        </w:tc>
        <w:tc>
          <w:tcPr>
            <w:tcW w:w="532" w:type="pct"/>
          </w:tcPr>
          <w:p w14:paraId="3A2AE4BD"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79.6</w:t>
            </w:r>
          </w:p>
        </w:tc>
        <w:tc>
          <w:tcPr>
            <w:tcW w:w="586" w:type="pct"/>
          </w:tcPr>
          <w:p w14:paraId="1A95EE38"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75.8</w:t>
            </w:r>
          </w:p>
        </w:tc>
        <w:tc>
          <w:tcPr>
            <w:tcW w:w="478" w:type="pct"/>
          </w:tcPr>
          <w:p w14:paraId="04E09FBB"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87.1</w:t>
            </w:r>
          </w:p>
        </w:tc>
        <w:tc>
          <w:tcPr>
            <w:tcW w:w="479" w:type="pct"/>
          </w:tcPr>
          <w:p w14:paraId="2C7AD6E6" w14:textId="2B80DDD9" w:rsidR="00C2769B" w:rsidRPr="002C310D" w:rsidRDefault="00250434"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83.0</w:t>
            </w:r>
          </w:p>
        </w:tc>
      </w:tr>
      <w:tr w:rsidR="00C2769B" w:rsidRPr="00D46136" w14:paraId="18FE7A0B" w14:textId="3F7531E3" w:rsidTr="00376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pct"/>
          </w:tcPr>
          <w:p w14:paraId="5042CCA0" w14:textId="77777777" w:rsidR="00C2769B" w:rsidRPr="002C310D" w:rsidRDefault="00C2769B" w:rsidP="00384FEA">
            <w:pPr>
              <w:rPr>
                <w:b w:val="0"/>
                <w:bCs w:val="0"/>
                <w:lang w:val="en-AU"/>
              </w:rPr>
            </w:pPr>
            <w:r w:rsidRPr="002C310D">
              <w:rPr>
                <w:lang w:val="en-AU"/>
              </w:rPr>
              <w:t xml:space="preserve">Queensland </w:t>
            </w:r>
          </w:p>
        </w:tc>
        <w:tc>
          <w:tcPr>
            <w:tcW w:w="521" w:type="pct"/>
            <w:noWrap/>
          </w:tcPr>
          <w:p w14:paraId="2DB0F12A"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80.0</w:t>
            </w:r>
          </w:p>
        </w:tc>
        <w:tc>
          <w:tcPr>
            <w:tcW w:w="532" w:type="pct"/>
            <w:noWrap/>
          </w:tcPr>
          <w:p w14:paraId="7820A654"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77.8</w:t>
            </w:r>
          </w:p>
        </w:tc>
        <w:tc>
          <w:tcPr>
            <w:tcW w:w="479" w:type="pct"/>
            <w:noWrap/>
          </w:tcPr>
          <w:p w14:paraId="1799EF10"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80.4</w:t>
            </w:r>
          </w:p>
        </w:tc>
        <w:tc>
          <w:tcPr>
            <w:tcW w:w="532" w:type="pct"/>
          </w:tcPr>
          <w:p w14:paraId="0774E6BF"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78.8</w:t>
            </w:r>
          </w:p>
        </w:tc>
        <w:tc>
          <w:tcPr>
            <w:tcW w:w="586" w:type="pct"/>
          </w:tcPr>
          <w:p w14:paraId="2AC4EE20"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73.6</w:t>
            </w:r>
          </w:p>
        </w:tc>
        <w:tc>
          <w:tcPr>
            <w:tcW w:w="478" w:type="pct"/>
          </w:tcPr>
          <w:p w14:paraId="5FF01911"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84.1</w:t>
            </w:r>
          </w:p>
        </w:tc>
        <w:tc>
          <w:tcPr>
            <w:tcW w:w="479" w:type="pct"/>
          </w:tcPr>
          <w:p w14:paraId="0E07AFBA" w14:textId="178DADDA" w:rsidR="00C2769B" w:rsidRPr="002C310D" w:rsidRDefault="00250434"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79.8</w:t>
            </w:r>
          </w:p>
        </w:tc>
      </w:tr>
      <w:tr w:rsidR="00C2769B" w:rsidRPr="00D46136" w14:paraId="618DD691" w14:textId="36090016" w:rsidTr="00376EFA">
        <w:tc>
          <w:tcPr>
            <w:cnfStyle w:val="001000000000" w:firstRow="0" w:lastRow="0" w:firstColumn="1" w:lastColumn="0" w:oddVBand="0" w:evenVBand="0" w:oddHBand="0" w:evenHBand="0" w:firstRowFirstColumn="0" w:firstRowLastColumn="0" w:lastRowFirstColumn="0" w:lastRowLastColumn="0"/>
            <w:tcW w:w="1393" w:type="pct"/>
          </w:tcPr>
          <w:p w14:paraId="759CBBCE" w14:textId="77777777" w:rsidR="00C2769B" w:rsidRPr="002C310D" w:rsidRDefault="00C2769B" w:rsidP="00384FEA">
            <w:pPr>
              <w:rPr>
                <w:b w:val="0"/>
                <w:bCs w:val="0"/>
                <w:lang w:val="en-AU"/>
              </w:rPr>
            </w:pPr>
            <w:r w:rsidRPr="002C310D">
              <w:rPr>
                <w:lang w:val="en-AU"/>
              </w:rPr>
              <w:lastRenderedPageBreak/>
              <w:t xml:space="preserve">Western Australia </w:t>
            </w:r>
          </w:p>
        </w:tc>
        <w:tc>
          <w:tcPr>
            <w:tcW w:w="521" w:type="pct"/>
            <w:noWrap/>
          </w:tcPr>
          <w:p w14:paraId="18DDB670"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79.0</w:t>
            </w:r>
          </w:p>
        </w:tc>
        <w:tc>
          <w:tcPr>
            <w:tcW w:w="532" w:type="pct"/>
            <w:noWrap/>
          </w:tcPr>
          <w:p w14:paraId="0CACB00C"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76.1</w:t>
            </w:r>
          </w:p>
        </w:tc>
        <w:tc>
          <w:tcPr>
            <w:tcW w:w="479" w:type="pct"/>
            <w:noWrap/>
          </w:tcPr>
          <w:p w14:paraId="57EA692A"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75.4</w:t>
            </w:r>
          </w:p>
        </w:tc>
        <w:tc>
          <w:tcPr>
            <w:tcW w:w="532" w:type="pct"/>
          </w:tcPr>
          <w:p w14:paraId="56D161EC"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77.0</w:t>
            </w:r>
          </w:p>
        </w:tc>
        <w:tc>
          <w:tcPr>
            <w:tcW w:w="586" w:type="pct"/>
          </w:tcPr>
          <w:p w14:paraId="39A689A1"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63.7</w:t>
            </w:r>
          </w:p>
        </w:tc>
        <w:tc>
          <w:tcPr>
            <w:tcW w:w="478" w:type="pct"/>
          </w:tcPr>
          <w:p w14:paraId="44FAB8BC"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83.2</w:t>
            </w:r>
          </w:p>
        </w:tc>
        <w:tc>
          <w:tcPr>
            <w:tcW w:w="479" w:type="pct"/>
          </w:tcPr>
          <w:p w14:paraId="12552E27" w14:textId="5D792C0C" w:rsidR="00C2769B" w:rsidRPr="002C310D" w:rsidRDefault="00CC62AE"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77.6</w:t>
            </w:r>
          </w:p>
        </w:tc>
      </w:tr>
      <w:tr w:rsidR="00C2769B" w:rsidRPr="00D46136" w14:paraId="3E4AA021" w14:textId="500B2744" w:rsidTr="00376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pct"/>
          </w:tcPr>
          <w:p w14:paraId="196D6374" w14:textId="77777777" w:rsidR="00C2769B" w:rsidRPr="002C310D" w:rsidRDefault="00C2769B" w:rsidP="00384FEA">
            <w:pPr>
              <w:rPr>
                <w:b w:val="0"/>
                <w:bCs w:val="0"/>
                <w:lang w:val="en-AU"/>
              </w:rPr>
            </w:pPr>
            <w:r w:rsidRPr="002C310D">
              <w:rPr>
                <w:lang w:val="en-AU"/>
              </w:rPr>
              <w:t xml:space="preserve">South Australia </w:t>
            </w:r>
          </w:p>
        </w:tc>
        <w:tc>
          <w:tcPr>
            <w:tcW w:w="521" w:type="pct"/>
            <w:noWrap/>
          </w:tcPr>
          <w:p w14:paraId="148D0666"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79.4</w:t>
            </w:r>
          </w:p>
        </w:tc>
        <w:tc>
          <w:tcPr>
            <w:tcW w:w="532" w:type="pct"/>
            <w:noWrap/>
          </w:tcPr>
          <w:p w14:paraId="013B45CF"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75.3</w:t>
            </w:r>
          </w:p>
        </w:tc>
        <w:tc>
          <w:tcPr>
            <w:tcW w:w="479" w:type="pct"/>
            <w:noWrap/>
          </w:tcPr>
          <w:p w14:paraId="59F1C601"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76.7</w:t>
            </w:r>
          </w:p>
        </w:tc>
        <w:tc>
          <w:tcPr>
            <w:tcW w:w="532" w:type="pct"/>
          </w:tcPr>
          <w:p w14:paraId="2B45E9DC"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77.9</w:t>
            </w:r>
          </w:p>
        </w:tc>
        <w:tc>
          <w:tcPr>
            <w:tcW w:w="586" w:type="pct"/>
          </w:tcPr>
          <w:p w14:paraId="34296587"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63.4</w:t>
            </w:r>
          </w:p>
        </w:tc>
        <w:tc>
          <w:tcPr>
            <w:tcW w:w="478" w:type="pct"/>
          </w:tcPr>
          <w:p w14:paraId="3328C642"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78.4</w:t>
            </w:r>
          </w:p>
        </w:tc>
        <w:tc>
          <w:tcPr>
            <w:tcW w:w="479" w:type="pct"/>
          </w:tcPr>
          <w:p w14:paraId="56EE468D" w14:textId="47A55BE7" w:rsidR="00C2769B" w:rsidRPr="002C310D" w:rsidRDefault="00250434"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76.6</w:t>
            </w:r>
          </w:p>
        </w:tc>
      </w:tr>
      <w:tr w:rsidR="00C2769B" w:rsidRPr="00D46136" w14:paraId="2A92F630" w14:textId="34E4FD58" w:rsidTr="00376EFA">
        <w:tc>
          <w:tcPr>
            <w:cnfStyle w:val="001000000000" w:firstRow="0" w:lastRow="0" w:firstColumn="1" w:lastColumn="0" w:oddVBand="0" w:evenVBand="0" w:oddHBand="0" w:evenHBand="0" w:firstRowFirstColumn="0" w:firstRowLastColumn="0" w:lastRowFirstColumn="0" w:lastRowLastColumn="0"/>
            <w:tcW w:w="1393" w:type="pct"/>
          </w:tcPr>
          <w:p w14:paraId="4FEDD6C6" w14:textId="77777777" w:rsidR="00C2769B" w:rsidRPr="002C310D" w:rsidRDefault="00C2769B" w:rsidP="00384FEA">
            <w:pPr>
              <w:rPr>
                <w:b w:val="0"/>
                <w:bCs w:val="0"/>
                <w:lang w:val="en-AU"/>
              </w:rPr>
            </w:pPr>
            <w:r w:rsidRPr="002C310D">
              <w:rPr>
                <w:lang w:val="en-AU"/>
              </w:rPr>
              <w:t xml:space="preserve">Tasmania </w:t>
            </w:r>
          </w:p>
        </w:tc>
        <w:tc>
          <w:tcPr>
            <w:tcW w:w="521" w:type="pct"/>
            <w:noWrap/>
          </w:tcPr>
          <w:p w14:paraId="72553A06"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70.0</w:t>
            </w:r>
          </w:p>
        </w:tc>
        <w:tc>
          <w:tcPr>
            <w:tcW w:w="532" w:type="pct"/>
            <w:noWrap/>
          </w:tcPr>
          <w:p w14:paraId="4A9FFF0D"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65.0</w:t>
            </w:r>
          </w:p>
        </w:tc>
        <w:tc>
          <w:tcPr>
            <w:tcW w:w="479" w:type="pct"/>
            <w:noWrap/>
          </w:tcPr>
          <w:p w14:paraId="77086DC3"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70.6</w:t>
            </w:r>
          </w:p>
        </w:tc>
        <w:tc>
          <w:tcPr>
            <w:tcW w:w="532" w:type="pct"/>
          </w:tcPr>
          <w:p w14:paraId="1967BC17"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64.0</w:t>
            </w:r>
          </w:p>
        </w:tc>
        <w:tc>
          <w:tcPr>
            <w:tcW w:w="586" w:type="pct"/>
          </w:tcPr>
          <w:p w14:paraId="3BA787B6"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63.4</w:t>
            </w:r>
          </w:p>
        </w:tc>
        <w:tc>
          <w:tcPr>
            <w:tcW w:w="478" w:type="pct"/>
          </w:tcPr>
          <w:p w14:paraId="250E244A"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65.8</w:t>
            </w:r>
          </w:p>
        </w:tc>
        <w:tc>
          <w:tcPr>
            <w:tcW w:w="479" w:type="pct"/>
          </w:tcPr>
          <w:p w14:paraId="4FD7EAF1" w14:textId="733E2BD1" w:rsidR="00C2769B" w:rsidRPr="002C310D" w:rsidRDefault="00FE5DE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70.2</w:t>
            </w:r>
          </w:p>
        </w:tc>
      </w:tr>
      <w:tr w:rsidR="00C2769B" w:rsidRPr="00D46136" w14:paraId="5567AFFE" w14:textId="1566CC5B" w:rsidTr="00376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pct"/>
          </w:tcPr>
          <w:p w14:paraId="62FB57F7" w14:textId="77777777" w:rsidR="00C2769B" w:rsidRPr="002C310D" w:rsidRDefault="00C2769B" w:rsidP="00384FEA">
            <w:pPr>
              <w:rPr>
                <w:b w:val="0"/>
                <w:bCs w:val="0"/>
                <w:lang w:val="en-AU"/>
              </w:rPr>
            </w:pPr>
            <w:r w:rsidRPr="002C310D">
              <w:rPr>
                <w:lang w:val="en-AU"/>
              </w:rPr>
              <w:t xml:space="preserve">Northern Territory </w:t>
            </w:r>
          </w:p>
        </w:tc>
        <w:tc>
          <w:tcPr>
            <w:tcW w:w="521" w:type="pct"/>
            <w:noWrap/>
          </w:tcPr>
          <w:p w14:paraId="5F6A9856"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71.9</w:t>
            </w:r>
          </w:p>
        </w:tc>
        <w:tc>
          <w:tcPr>
            <w:tcW w:w="532" w:type="pct"/>
            <w:noWrap/>
          </w:tcPr>
          <w:p w14:paraId="176313E1"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71.4</w:t>
            </w:r>
          </w:p>
        </w:tc>
        <w:tc>
          <w:tcPr>
            <w:tcW w:w="479" w:type="pct"/>
            <w:noWrap/>
          </w:tcPr>
          <w:p w14:paraId="4EFE6326"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72.9</w:t>
            </w:r>
          </w:p>
        </w:tc>
        <w:tc>
          <w:tcPr>
            <w:tcW w:w="532" w:type="pct"/>
          </w:tcPr>
          <w:p w14:paraId="102E7C6E"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60.5</w:t>
            </w:r>
          </w:p>
        </w:tc>
        <w:tc>
          <w:tcPr>
            <w:tcW w:w="586" w:type="pct"/>
          </w:tcPr>
          <w:p w14:paraId="62683058"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62.2</w:t>
            </w:r>
          </w:p>
        </w:tc>
        <w:tc>
          <w:tcPr>
            <w:tcW w:w="478" w:type="pct"/>
          </w:tcPr>
          <w:p w14:paraId="52139C80"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73.0</w:t>
            </w:r>
          </w:p>
        </w:tc>
        <w:tc>
          <w:tcPr>
            <w:tcW w:w="479" w:type="pct"/>
          </w:tcPr>
          <w:p w14:paraId="23BA7D07" w14:textId="215AFA37" w:rsidR="00C2769B" w:rsidRPr="002C310D" w:rsidRDefault="00FE5DE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71.2</w:t>
            </w:r>
          </w:p>
        </w:tc>
      </w:tr>
      <w:tr w:rsidR="00C2769B" w:rsidRPr="00D46136" w14:paraId="4C3240F5" w14:textId="52F35CAA" w:rsidTr="00376EFA">
        <w:tc>
          <w:tcPr>
            <w:cnfStyle w:val="001000000000" w:firstRow="0" w:lastRow="0" w:firstColumn="1" w:lastColumn="0" w:oddVBand="0" w:evenVBand="0" w:oddHBand="0" w:evenHBand="0" w:firstRowFirstColumn="0" w:firstRowLastColumn="0" w:lastRowFirstColumn="0" w:lastRowLastColumn="0"/>
            <w:tcW w:w="1393" w:type="pct"/>
          </w:tcPr>
          <w:p w14:paraId="05D786C8" w14:textId="77777777" w:rsidR="00C2769B" w:rsidRPr="002C310D" w:rsidRDefault="00C2769B" w:rsidP="00384FEA">
            <w:pPr>
              <w:rPr>
                <w:b w:val="0"/>
                <w:bCs w:val="0"/>
                <w:lang w:val="en-AU"/>
              </w:rPr>
            </w:pPr>
            <w:r w:rsidRPr="002C310D">
              <w:rPr>
                <w:lang w:val="en-AU"/>
              </w:rPr>
              <w:t xml:space="preserve">Australian Capital Territory </w:t>
            </w:r>
          </w:p>
        </w:tc>
        <w:tc>
          <w:tcPr>
            <w:tcW w:w="521" w:type="pct"/>
            <w:noWrap/>
          </w:tcPr>
          <w:p w14:paraId="385A6286"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89.4</w:t>
            </w:r>
          </w:p>
        </w:tc>
        <w:tc>
          <w:tcPr>
            <w:tcW w:w="532" w:type="pct"/>
            <w:noWrap/>
          </w:tcPr>
          <w:p w14:paraId="7E828D89"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84.1</w:t>
            </w:r>
          </w:p>
        </w:tc>
        <w:tc>
          <w:tcPr>
            <w:tcW w:w="479" w:type="pct"/>
            <w:noWrap/>
          </w:tcPr>
          <w:p w14:paraId="717CBF52"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85.7</w:t>
            </w:r>
          </w:p>
        </w:tc>
        <w:tc>
          <w:tcPr>
            <w:tcW w:w="532" w:type="pct"/>
          </w:tcPr>
          <w:p w14:paraId="59C4A50C"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85.8</w:t>
            </w:r>
          </w:p>
        </w:tc>
        <w:tc>
          <w:tcPr>
            <w:tcW w:w="586" w:type="pct"/>
          </w:tcPr>
          <w:p w14:paraId="67FCABBA"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75.0</w:t>
            </w:r>
          </w:p>
        </w:tc>
        <w:tc>
          <w:tcPr>
            <w:tcW w:w="478" w:type="pct"/>
          </w:tcPr>
          <w:p w14:paraId="6354EDC3" w14:textId="77777777" w:rsidR="00C2769B" w:rsidRPr="002C310D" w:rsidRDefault="00C2769B"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89.4</w:t>
            </w:r>
          </w:p>
        </w:tc>
        <w:tc>
          <w:tcPr>
            <w:tcW w:w="479" w:type="pct"/>
          </w:tcPr>
          <w:p w14:paraId="5D36B734" w14:textId="7A7F58A9" w:rsidR="00C2769B" w:rsidRPr="002C310D" w:rsidRDefault="00766220" w:rsidP="00384FEA">
            <w:pPr>
              <w:cnfStyle w:val="000000000000" w:firstRow="0" w:lastRow="0" w:firstColumn="0" w:lastColumn="0" w:oddVBand="0" w:evenVBand="0" w:oddHBand="0" w:evenHBand="0" w:firstRowFirstColumn="0" w:firstRowLastColumn="0" w:lastRowFirstColumn="0" w:lastRowLastColumn="0"/>
              <w:rPr>
                <w:lang w:val="en-AU"/>
              </w:rPr>
            </w:pPr>
            <w:r w:rsidRPr="002C310D">
              <w:rPr>
                <w:lang w:val="en-AU"/>
              </w:rPr>
              <w:t>86.4</w:t>
            </w:r>
          </w:p>
        </w:tc>
      </w:tr>
      <w:tr w:rsidR="00C2769B" w:rsidRPr="00D46136" w14:paraId="538FAF17" w14:textId="13A66AE2" w:rsidTr="00376E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pct"/>
          </w:tcPr>
          <w:p w14:paraId="3EF2DF28" w14:textId="77777777" w:rsidR="00C2769B" w:rsidRPr="002C310D" w:rsidRDefault="00C2769B" w:rsidP="00384FEA">
            <w:pPr>
              <w:rPr>
                <w:b w:val="0"/>
                <w:bCs w:val="0"/>
                <w:lang w:val="en-AU"/>
              </w:rPr>
            </w:pPr>
            <w:r w:rsidRPr="002C310D">
              <w:rPr>
                <w:lang w:val="en-AU"/>
              </w:rPr>
              <w:t>Multi-State</w:t>
            </w:r>
          </w:p>
        </w:tc>
        <w:tc>
          <w:tcPr>
            <w:tcW w:w="521" w:type="pct"/>
            <w:noWrap/>
          </w:tcPr>
          <w:p w14:paraId="0667C771"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83.7</w:t>
            </w:r>
          </w:p>
        </w:tc>
        <w:tc>
          <w:tcPr>
            <w:tcW w:w="532" w:type="pct"/>
            <w:noWrap/>
          </w:tcPr>
          <w:p w14:paraId="565AFF95"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82.3</w:t>
            </w:r>
          </w:p>
        </w:tc>
        <w:tc>
          <w:tcPr>
            <w:tcW w:w="479" w:type="pct"/>
            <w:noWrap/>
          </w:tcPr>
          <w:p w14:paraId="7C0BE68B"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86.0</w:t>
            </w:r>
          </w:p>
        </w:tc>
        <w:tc>
          <w:tcPr>
            <w:tcW w:w="532" w:type="pct"/>
          </w:tcPr>
          <w:p w14:paraId="6F986684"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73.4</w:t>
            </w:r>
          </w:p>
        </w:tc>
        <w:tc>
          <w:tcPr>
            <w:tcW w:w="586" w:type="pct"/>
          </w:tcPr>
          <w:p w14:paraId="44A1D841"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68.9</w:t>
            </w:r>
          </w:p>
        </w:tc>
        <w:tc>
          <w:tcPr>
            <w:tcW w:w="478" w:type="pct"/>
          </w:tcPr>
          <w:p w14:paraId="0FF20AA9" w14:textId="77777777" w:rsidR="00C2769B" w:rsidRPr="002C310D" w:rsidRDefault="00C2769B"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84.7</w:t>
            </w:r>
          </w:p>
        </w:tc>
        <w:tc>
          <w:tcPr>
            <w:tcW w:w="479" w:type="pct"/>
          </w:tcPr>
          <w:p w14:paraId="725F1047" w14:textId="7F8390EF" w:rsidR="00C2769B" w:rsidRPr="002C310D" w:rsidRDefault="00766220" w:rsidP="00384FEA">
            <w:pPr>
              <w:cnfStyle w:val="000000100000" w:firstRow="0" w:lastRow="0" w:firstColumn="0" w:lastColumn="0" w:oddVBand="0" w:evenVBand="0" w:oddHBand="1" w:evenHBand="0" w:firstRowFirstColumn="0" w:firstRowLastColumn="0" w:lastRowFirstColumn="0" w:lastRowLastColumn="0"/>
              <w:rPr>
                <w:lang w:val="en-AU"/>
              </w:rPr>
            </w:pPr>
            <w:r w:rsidRPr="002C310D">
              <w:rPr>
                <w:lang w:val="en-AU"/>
              </w:rPr>
              <w:t>83.5</w:t>
            </w:r>
          </w:p>
        </w:tc>
      </w:tr>
      <w:bookmarkEnd w:id="7"/>
      <w:bookmarkEnd w:id="8"/>
      <w:bookmarkEnd w:id="9"/>
    </w:tbl>
    <w:p w14:paraId="3D402BF8" w14:textId="77777777" w:rsidR="00807D26" w:rsidRPr="002C310D" w:rsidRDefault="00807D26" w:rsidP="001D2359">
      <w:pPr>
        <w:rPr>
          <w:lang w:val="en-AU"/>
        </w:rPr>
      </w:pPr>
    </w:p>
    <w:p w14:paraId="2279D29A" w14:textId="6581BD18" w:rsidR="00FC2ACB" w:rsidRPr="002C310D" w:rsidRDefault="00EF26D6" w:rsidP="001D2359">
      <w:pPr>
        <w:rPr>
          <w:lang w:val="en-AU"/>
        </w:rPr>
      </w:pPr>
      <w:r w:rsidRPr="002C310D">
        <w:rPr>
          <w:lang w:val="en-AU"/>
        </w:rPr>
        <w:t xml:space="preserve">Across all Table A institutions, retention was highest </w:t>
      </w:r>
      <w:r w:rsidR="000C650D" w:rsidRPr="002C310D">
        <w:rPr>
          <w:lang w:val="en-AU"/>
        </w:rPr>
        <w:t>for non-equity students</w:t>
      </w:r>
      <w:r w:rsidR="007F651F" w:rsidRPr="002C310D">
        <w:rPr>
          <w:lang w:val="en-AU"/>
        </w:rPr>
        <w:t xml:space="preserve">. </w:t>
      </w:r>
      <w:r w:rsidR="00E07F8C" w:rsidRPr="002C310D">
        <w:rPr>
          <w:lang w:val="en-AU"/>
        </w:rPr>
        <w:t>Among i</w:t>
      </w:r>
      <w:r w:rsidR="00D63F95" w:rsidRPr="002C310D">
        <w:rPr>
          <w:lang w:val="en-AU"/>
        </w:rPr>
        <w:t xml:space="preserve">nstitutional groupings, </w:t>
      </w:r>
      <w:r w:rsidR="00FE1C79" w:rsidRPr="002C310D">
        <w:rPr>
          <w:lang w:val="en-AU"/>
        </w:rPr>
        <w:t xml:space="preserve">Go8 </w:t>
      </w:r>
      <w:r w:rsidR="00D63F95" w:rsidRPr="002C310D">
        <w:rPr>
          <w:lang w:val="en-AU"/>
        </w:rPr>
        <w:t xml:space="preserve">universities </w:t>
      </w:r>
      <w:r w:rsidR="00DD43BA" w:rsidRPr="002C310D">
        <w:rPr>
          <w:lang w:val="en-AU"/>
        </w:rPr>
        <w:t xml:space="preserve">had the highest average retention rate across all student groups. </w:t>
      </w:r>
      <w:r w:rsidR="00D63F95" w:rsidRPr="002C310D">
        <w:rPr>
          <w:lang w:val="en-AU"/>
        </w:rPr>
        <w:t xml:space="preserve">There are noticeable differences between the states and territories in terms of </w:t>
      </w:r>
      <w:r w:rsidR="00E36BC8" w:rsidRPr="002C310D">
        <w:rPr>
          <w:lang w:val="en-AU"/>
        </w:rPr>
        <w:t>retention rates</w:t>
      </w:r>
      <w:r w:rsidR="00D63F95" w:rsidRPr="002C310D">
        <w:rPr>
          <w:lang w:val="en-AU"/>
        </w:rPr>
        <w:t xml:space="preserve"> – for instance, </w:t>
      </w:r>
      <w:r w:rsidR="00DC696C" w:rsidRPr="002C310D">
        <w:rPr>
          <w:lang w:val="en-AU"/>
        </w:rPr>
        <w:t>non-equity students generally had higher retention than equity students, except for</w:t>
      </w:r>
      <w:r w:rsidR="00745CF7" w:rsidRPr="002C310D">
        <w:rPr>
          <w:lang w:val="en-AU"/>
        </w:rPr>
        <w:t xml:space="preserve"> in</w:t>
      </w:r>
      <w:r w:rsidR="00DC696C" w:rsidRPr="002C310D">
        <w:rPr>
          <w:lang w:val="en-AU"/>
        </w:rPr>
        <w:t xml:space="preserve"> Tasmania</w:t>
      </w:r>
      <w:r w:rsidR="00745CF7" w:rsidRPr="002C310D">
        <w:rPr>
          <w:lang w:val="en-AU"/>
        </w:rPr>
        <w:t xml:space="preserve">. </w:t>
      </w:r>
      <w:r w:rsidR="00BC3F4B" w:rsidRPr="002C310D">
        <w:rPr>
          <w:lang w:val="en-AU"/>
        </w:rPr>
        <w:t xml:space="preserve">The Australian Capital Territory had the highest retention rates across all equity groups, except for </w:t>
      </w:r>
      <w:r w:rsidR="00036888" w:rsidRPr="002C310D">
        <w:rPr>
          <w:lang w:val="en-AU"/>
        </w:rPr>
        <w:t xml:space="preserve">First Nations Australians where Victoria had the highest retention. </w:t>
      </w:r>
    </w:p>
    <w:p w14:paraId="72705934" w14:textId="77777777" w:rsidR="00807D26" w:rsidRPr="002C310D" w:rsidRDefault="00807D26">
      <w:pPr>
        <w:spacing w:after="200" w:line="240" w:lineRule="auto"/>
        <w:rPr>
          <w:rFonts w:ascii="Inter Medium" w:eastAsiaTheme="majorEastAsia" w:hAnsi="Inter Medium" w:cstheme="majorBidi"/>
          <w:color w:val="6B3B57"/>
          <w:sz w:val="40"/>
          <w:szCs w:val="52"/>
          <w:lang w:val="en-AU"/>
        </w:rPr>
      </w:pPr>
      <w:r w:rsidRPr="002C310D">
        <w:rPr>
          <w:lang w:val="en-AU"/>
        </w:rPr>
        <w:br w:type="page"/>
      </w:r>
    </w:p>
    <w:p w14:paraId="2ABC29FB" w14:textId="52AEFFA0" w:rsidR="00FC2ACB" w:rsidRPr="002C310D" w:rsidRDefault="00110CC4" w:rsidP="00376EFA">
      <w:pPr>
        <w:pStyle w:val="Heading2"/>
        <w:rPr>
          <w:lang w:val="en-AU"/>
        </w:rPr>
      </w:pPr>
      <w:r w:rsidRPr="002C310D">
        <w:rPr>
          <w:lang w:val="en-AU"/>
        </w:rPr>
        <w:lastRenderedPageBreak/>
        <w:t>Sector</w:t>
      </w:r>
      <w:r w:rsidR="0016762F">
        <w:rPr>
          <w:lang w:val="en-AU"/>
        </w:rPr>
        <w:t>-</w:t>
      </w:r>
      <w:r w:rsidRPr="002C310D">
        <w:rPr>
          <w:lang w:val="en-AU"/>
        </w:rPr>
        <w:t xml:space="preserve">wide </w:t>
      </w:r>
      <w:r w:rsidR="00450FA5" w:rsidRPr="002C310D">
        <w:rPr>
          <w:lang w:val="en-AU"/>
        </w:rPr>
        <w:t xml:space="preserve">2022 </w:t>
      </w:r>
      <w:r w:rsidRPr="002C310D">
        <w:rPr>
          <w:lang w:val="en-AU"/>
        </w:rPr>
        <w:t xml:space="preserve">retention rates </w:t>
      </w:r>
      <w:r w:rsidR="00A35165" w:rsidRPr="002C310D">
        <w:rPr>
          <w:lang w:val="en-AU"/>
        </w:rPr>
        <w:t xml:space="preserve">mask </w:t>
      </w:r>
      <w:r w:rsidRPr="002C310D">
        <w:rPr>
          <w:lang w:val="en-AU"/>
        </w:rPr>
        <w:t xml:space="preserve">substantial variation </w:t>
      </w:r>
      <w:r w:rsidR="00042A04">
        <w:rPr>
          <w:lang w:val="en-AU"/>
        </w:rPr>
        <w:br/>
      </w:r>
      <w:r w:rsidRPr="002C310D">
        <w:rPr>
          <w:lang w:val="en-AU"/>
        </w:rPr>
        <w:t xml:space="preserve">across institutions </w:t>
      </w:r>
    </w:p>
    <w:p w14:paraId="2557D53C" w14:textId="536E7CC3" w:rsidR="00BA3619" w:rsidRPr="002C310D" w:rsidRDefault="00BA3619" w:rsidP="00384FEA">
      <w:pPr>
        <w:pStyle w:val="FirstParagraph"/>
        <w:rPr>
          <w:lang w:val="en-AU"/>
        </w:rPr>
      </w:pPr>
      <w:r w:rsidRPr="002C310D">
        <w:rPr>
          <w:lang w:val="en-AU"/>
        </w:rPr>
        <w:t xml:space="preserve">Figure </w:t>
      </w:r>
      <w:r w:rsidR="00197B0E" w:rsidRPr="002C310D">
        <w:rPr>
          <w:lang w:val="en-AU"/>
        </w:rPr>
        <w:t>8</w:t>
      </w:r>
      <w:r w:rsidR="00BF7595" w:rsidRPr="002C310D">
        <w:rPr>
          <w:lang w:val="en-AU"/>
        </w:rPr>
        <w:t xml:space="preserve"> shows</w:t>
      </w:r>
      <w:r w:rsidRPr="002C310D">
        <w:rPr>
          <w:lang w:val="en-AU"/>
        </w:rPr>
        <w:t xml:space="preserve"> </w:t>
      </w:r>
      <w:r w:rsidR="00E84684" w:rsidRPr="002C310D">
        <w:rPr>
          <w:lang w:val="en-AU"/>
        </w:rPr>
        <w:t xml:space="preserve">that there </w:t>
      </w:r>
      <w:r w:rsidR="00A2563E" w:rsidRPr="002C310D">
        <w:rPr>
          <w:lang w:val="en-AU"/>
        </w:rPr>
        <w:t>was</w:t>
      </w:r>
      <w:r w:rsidR="00E84684" w:rsidRPr="002C310D">
        <w:rPr>
          <w:lang w:val="en-AU"/>
        </w:rPr>
        <w:t xml:space="preserve"> substantial variation in the retention rate of student groups across all institutions</w:t>
      </w:r>
      <w:r w:rsidR="000D4DA8" w:rsidRPr="002C310D">
        <w:rPr>
          <w:lang w:val="en-AU"/>
        </w:rPr>
        <w:t xml:space="preserve"> in 2022</w:t>
      </w:r>
      <w:r w:rsidR="00E84684" w:rsidRPr="002C310D">
        <w:rPr>
          <w:lang w:val="en-AU"/>
        </w:rPr>
        <w:t xml:space="preserve">. The largest variation across institutions was for students from </w:t>
      </w:r>
      <w:r w:rsidR="00A14B5C" w:rsidRPr="002C310D">
        <w:rPr>
          <w:lang w:val="en-AU"/>
        </w:rPr>
        <w:t>r</w:t>
      </w:r>
      <w:r w:rsidR="00E84684" w:rsidRPr="002C310D">
        <w:rPr>
          <w:lang w:val="en-AU"/>
        </w:rPr>
        <w:t>emote areas, with estimates ranging from 39.6% to 100%.</w:t>
      </w:r>
      <w:r w:rsidR="005046DD" w:rsidRPr="002C310D">
        <w:rPr>
          <w:lang w:val="en-AU"/>
        </w:rPr>
        <w:t xml:space="preserve"> </w:t>
      </w:r>
      <w:r w:rsidR="00661102" w:rsidRPr="002C310D">
        <w:rPr>
          <w:lang w:val="en-AU"/>
        </w:rPr>
        <w:t xml:space="preserve">All </w:t>
      </w:r>
      <w:r w:rsidR="00A520AB" w:rsidRPr="002C310D">
        <w:rPr>
          <w:lang w:val="en-AU"/>
        </w:rPr>
        <w:t xml:space="preserve">other student equity groups showed </w:t>
      </w:r>
      <w:r w:rsidR="007C6ED3" w:rsidRPr="002C310D">
        <w:rPr>
          <w:lang w:val="en-AU"/>
        </w:rPr>
        <w:t>a large</w:t>
      </w:r>
      <w:r w:rsidR="00A520AB" w:rsidRPr="002C310D">
        <w:rPr>
          <w:lang w:val="en-AU"/>
        </w:rPr>
        <w:t xml:space="preserve"> variation across institutions</w:t>
      </w:r>
      <w:r w:rsidR="00D30CD4" w:rsidRPr="002C310D">
        <w:rPr>
          <w:lang w:val="en-AU"/>
        </w:rPr>
        <w:t xml:space="preserve">, </w:t>
      </w:r>
      <w:r w:rsidR="00D10C27" w:rsidRPr="002C310D">
        <w:rPr>
          <w:lang w:val="en-AU"/>
        </w:rPr>
        <w:t xml:space="preserve">with the </w:t>
      </w:r>
      <w:r w:rsidR="00A14B5C" w:rsidRPr="002C310D">
        <w:rPr>
          <w:lang w:val="en-AU"/>
        </w:rPr>
        <w:t>highest</w:t>
      </w:r>
      <w:r w:rsidR="00D10C27" w:rsidRPr="002C310D">
        <w:rPr>
          <w:lang w:val="en-AU"/>
        </w:rPr>
        <w:t xml:space="preserve"> and lowest institutional retention rate in each student group </w:t>
      </w:r>
      <w:r w:rsidR="00F01975" w:rsidRPr="002C310D">
        <w:rPr>
          <w:lang w:val="en-AU"/>
        </w:rPr>
        <w:t xml:space="preserve">ranging from differences of 23 percentage points to </w:t>
      </w:r>
      <w:r w:rsidR="00407B23" w:rsidRPr="002C310D">
        <w:rPr>
          <w:lang w:val="en-AU"/>
        </w:rPr>
        <w:t xml:space="preserve">34 percentage points. </w:t>
      </w:r>
    </w:p>
    <w:p w14:paraId="58E1A702" w14:textId="7568926D" w:rsidR="00376EFA" w:rsidRPr="002C310D" w:rsidRDefault="00376EFA" w:rsidP="00376EFA">
      <w:pPr>
        <w:pStyle w:val="Figure"/>
        <w:rPr>
          <w:lang w:val="en-AU"/>
        </w:rPr>
      </w:pPr>
      <w:r w:rsidRPr="002C310D">
        <w:rPr>
          <w:lang w:val="en-AU"/>
        </w:rPr>
        <w:t xml:space="preserve">Figure 8: Retention rate of domestic undergraduate students in 2022, split by equity group. Each dot represents a Table </w:t>
      </w:r>
      <w:proofErr w:type="spellStart"/>
      <w:r w:rsidRPr="002C310D">
        <w:rPr>
          <w:lang w:val="en-AU"/>
        </w:rPr>
        <w:t>A</w:t>
      </w:r>
      <w:proofErr w:type="spellEnd"/>
      <w:r w:rsidRPr="002C310D">
        <w:rPr>
          <w:lang w:val="en-AU"/>
        </w:rPr>
        <w:t xml:space="preserve"> </w:t>
      </w:r>
      <w:r w:rsidR="0016762F" w:rsidRPr="0016762F">
        <w:rPr>
          <w:lang w:val="en-AU"/>
        </w:rPr>
        <w:t>institution,</w:t>
      </w:r>
      <w:r w:rsidRPr="002C310D">
        <w:rPr>
          <w:lang w:val="en-AU"/>
        </w:rPr>
        <w:t xml:space="preserve"> and the black horizontal line represents the overall retention rate across all institutions for each equity group.</w:t>
      </w:r>
    </w:p>
    <w:p w14:paraId="6AC449B0" w14:textId="5C9D9B33" w:rsidR="001F4818" w:rsidRPr="002C310D" w:rsidRDefault="001F4818" w:rsidP="00384FEA">
      <w:pPr>
        <w:pStyle w:val="FirstParagraph"/>
        <w:rPr>
          <w:lang w:val="en-AU"/>
        </w:rPr>
      </w:pPr>
      <w:r w:rsidRPr="002C310D">
        <w:rPr>
          <w:noProof/>
          <w:lang w:val="en-AU"/>
        </w:rPr>
        <w:drawing>
          <wp:inline distT="0" distB="0" distL="0" distR="0" wp14:anchorId="005E4468" wp14:editId="5FEFE1EC">
            <wp:extent cx="5591232" cy="3913863"/>
            <wp:effectExtent l="0" t="0" r="0" b="0"/>
            <wp:docPr id="39" name="Picture" descr="&#10;Dot plot showing retention rate of domestic undergraduate students in 2022, split by equity group. Each dot represents a Table A institution, and the black horizontal line represents the overall retention rate across all institutions for each equity group.&#10;&#10;All groupings show considerable spread in retention. The largest spread is for students from remote areas, with retention ranging from 40% to 100%. First Nations Australian students have the next largest spread, ranging from 58% to 90% retention. "/>
            <wp:cNvGraphicFramePr/>
            <a:graphic xmlns:a="http://schemas.openxmlformats.org/drawingml/2006/main">
              <a:graphicData uri="http://schemas.openxmlformats.org/drawingml/2006/picture">
                <pic:pic xmlns:pic="http://schemas.openxmlformats.org/drawingml/2006/picture">
                  <pic:nvPicPr>
                    <pic:cNvPr id="39" name="Picture" descr="&#10;Dot plot showing retention rate of domestic undergraduate students in 2022, split by equity group. Each dot represents a Table A institution, and the black horizontal line represents the overall retention rate across all institutions for each equity group.&#10;&#10;All groupings show considerable spread in retention. The largest spread is for students from remote areas, with retention ranging from 40% to 100%. First Nations Australian students have the next largest spread, ranging from 58% to 90% retention. "/>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591232" cy="3913863"/>
                    </a:xfrm>
                    <a:prstGeom prst="rect">
                      <a:avLst/>
                    </a:prstGeom>
                    <a:noFill/>
                    <a:ln w="9525">
                      <a:noFill/>
                      <a:headEnd/>
                      <a:tailEnd/>
                    </a:ln>
                  </pic:spPr>
                </pic:pic>
              </a:graphicData>
            </a:graphic>
          </wp:inline>
        </w:drawing>
      </w:r>
    </w:p>
    <w:p w14:paraId="01D0EAB8" w14:textId="54C3B17B" w:rsidR="00AA28C4" w:rsidRPr="0001624A" w:rsidRDefault="00AA28C4" w:rsidP="00376EFA">
      <w:pPr>
        <w:pStyle w:val="Heading2"/>
        <w:rPr>
          <w:lang w:val="en-AU"/>
        </w:rPr>
      </w:pPr>
      <w:r w:rsidRPr="002C310D">
        <w:rPr>
          <w:lang w:val="en-AU"/>
        </w:rPr>
        <w:lastRenderedPageBreak/>
        <w:t>Within</w:t>
      </w:r>
      <w:r w:rsidR="0016762F">
        <w:rPr>
          <w:lang w:val="en-AU"/>
        </w:rPr>
        <w:t>-</w:t>
      </w:r>
      <w:r w:rsidR="00205C1D" w:rsidRPr="0001624A">
        <w:rPr>
          <w:lang w:val="en-AU"/>
        </w:rPr>
        <w:t>i</w:t>
      </w:r>
      <w:r w:rsidRPr="0001624A">
        <w:rPr>
          <w:lang w:val="en-AU"/>
        </w:rPr>
        <w:t xml:space="preserve">nstitution </w:t>
      </w:r>
      <w:r w:rsidR="00205C1D" w:rsidRPr="0001624A">
        <w:rPr>
          <w:lang w:val="en-AU"/>
        </w:rPr>
        <w:t>r</w:t>
      </w:r>
      <w:r w:rsidRPr="0001624A">
        <w:rPr>
          <w:lang w:val="en-AU"/>
        </w:rPr>
        <w:t xml:space="preserve">etention </w:t>
      </w:r>
      <w:r w:rsidR="00205C1D" w:rsidRPr="0001624A">
        <w:rPr>
          <w:lang w:val="en-AU"/>
        </w:rPr>
        <w:t>r</w:t>
      </w:r>
      <w:r w:rsidRPr="0001624A">
        <w:rPr>
          <w:lang w:val="en-AU"/>
        </w:rPr>
        <w:t>ates</w:t>
      </w:r>
    </w:p>
    <w:p w14:paraId="61193C59" w14:textId="4B70E773" w:rsidR="00F76414" w:rsidRPr="0001624A" w:rsidRDefault="009716BA" w:rsidP="00384FEA">
      <w:pPr>
        <w:pStyle w:val="BodyText"/>
        <w:rPr>
          <w:lang w:val="en-AU"/>
        </w:rPr>
      </w:pPr>
      <w:r w:rsidRPr="0001624A">
        <w:rPr>
          <w:lang w:val="en-AU"/>
        </w:rPr>
        <w:t xml:space="preserve">To identify differences in retention between equity student groups and non-equity student groups within each institution, their retention rates can be compared (Figures </w:t>
      </w:r>
      <w:r w:rsidR="00197B0E" w:rsidRPr="0001624A">
        <w:rPr>
          <w:lang w:val="en-AU"/>
        </w:rPr>
        <w:t>9</w:t>
      </w:r>
      <w:r w:rsidRPr="0001624A">
        <w:rPr>
          <w:lang w:val="en-AU"/>
        </w:rPr>
        <w:t xml:space="preserve"> to </w:t>
      </w:r>
      <w:r w:rsidR="00197B0E" w:rsidRPr="0001624A">
        <w:rPr>
          <w:lang w:val="en-AU"/>
        </w:rPr>
        <w:t>13</w:t>
      </w:r>
      <w:r w:rsidRPr="0001624A">
        <w:rPr>
          <w:lang w:val="en-AU"/>
        </w:rPr>
        <w:t xml:space="preserve">). In Figure </w:t>
      </w:r>
      <w:r w:rsidR="00197B0E" w:rsidRPr="0001624A">
        <w:rPr>
          <w:lang w:val="en-AU"/>
        </w:rPr>
        <w:t>9</w:t>
      </w:r>
      <w:r w:rsidRPr="0001624A">
        <w:rPr>
          <w:lang w:val="en-AU"/>
        </w:rPr>
        <w:t>, the vertical (y-) axis represents the retention rate for students with disability, while the horizontal (x-) axis represents the retention rate for students without disability at the same institution. If retention rates are identical for both groups within an institution, its data point will lie on the 45-degree line</w:t>
      </w:r>
      <w:r w:rsidR="0078234F" w:rsidRPr="0001624A">
        <w:rPr>
          <w:lang w:val="en-AU"/>
        </w:rPr>
        <w:t>.</w:t>
      </w:r>
      <w:r w:rsidR="00747D5C" w:rsidRPr="0001624A">
        <w:rPr>
          <w:lang w:val="en-AU"/>
        </w:rPr>
        <w:t xml:space="preserve"> </w:t>
      </w:r>
      <w:r w:rsidR="00F76414" w:rsidRPr="0001624A">
        <w:rPr>
          <w:lang w:val="en-AU"/>
        </w:rPr>
        <w:t xml:space="preserve">If retention rates at an </w:t>
      </w:r>
      <w:r w:rsidR="00531FFD" w:rsidRPr="0001624A">
        <w:rPr>
          <w:lang w:val="en-AU"/>
        </w:rPr>
        <w:t>institution</w:t>
      </w:r>
      <w:r w:rsidR="00F76414" w:rsidRPr="0001624A">
        <w:rPr>
          <w:lang w:val="en-AU"/>
        </w:rPr>
        <w:t xml:space="preserve"> are higher for students with disability compared to students without disability, the dot will be above the 45-degree line, and if retention rates are lower for students with disability compared to </w:t>
      </w:r>
      <w:r w:rsidR="00531FFD" w:rsidRPr="0001624A">
        <w:rPr>
          <w:lang w:val="en-AU"/>
        </w:rPr>
        <w:t>students</w:t>
      </w:r>
      <w:r w:rsidR="00F76414" w:rsidRPr="0001624A">
        <w:rPr>
          <w:lang w:val="en-AU"/>
        </w:rPr>
        <w:t xml:space="preserve"> without </w:t>
      </w:r>
      <w:r w:rsidR="00531FFD" w:rsidRPr="0001624A">
        <w:rPr>
          <w:lang w:val="en-AU"/>
        </w:rPr>
        <w:t>disability</w:t>
      </w:r>
      <w:r w:rsidR="00F76414" w:rsidRPr="0001624A">
        <w:rPr>
          <w:lang w:val="en-AU"/>
        </w:rPr>
        <w:t xml:space="preserve">, </w:t>
      </w:r>
      <w:r w:rsidR="00531FFD" w:rsidRPr="0001624A">
        <w:rPr>
          <w:lang w:val="en-AU"/>
        </w:rPr>
        <w:t xml:space="preserve">the dot will be below the 45-degree line. </w:t>
      </w:r>
    </w:p>
    <w:p w14:paraId="3D4DB3ED" w14:textId="77777777" w:rsidR="007556F8" w:rsidRPr="0001624A" w:rsidRDefault="007556F8">
      <w:pPr>
        <w:spacing w:after="200" w:line="240" w:lineRule="auto"/>
        <w:rPr>
          <w:rFonts w:ascii="Inter Medium" w:eastAsiaTheme="majorEastAsia" w:hAnsi="Inter Medium" w:cstheme="majorBidi"/>
          <w:color w:val="6B3B57"/>
          <w:sz w:val="40"/>
          <w:szCs w:val="52"/>
          <w:lang w:val="en-AU"/>
        </w:rPr>
      </w:pPr>
      <w:r w:rsidRPr="0001624A">
        <w:rPr>
          <w:lang w:val="en-AU"/>
        </w:rPr>
        <w:br w:type="page"/>
      </w:r>
    </w:p>
    <w:p w14:paraId="0006503A" w14:textId="25D6D247" w:rsidR="00F76414" w:rsidRPr="0001624A" w:rsidRDefault="007556F8" w:rsidP="007556F8">
      <w:pPr>
        <w:pStyle w:val="Heading2"/>
        <w:rPr>
          <w:lang w:val="en-AU"/>
        </w:rPr>
      </w:pPr>
      <w:r w:rsidRPr="0001624A">
        <w:rPr>
          <w:lang w:val="en-AU"/>
        </w:rPr>
        <w:lastRenderedPageBreak/>
        <w:t>Retention rates for students with disability were similar to retention rates for students without disability</w:t>
      </w:r>
    </w:p>
    <w:p w14:paraId="0BC84C71" w14:textId="012A9201" w:rsidR="007556F8" w:rsidRPr="0001624A" w:rsidRDefault="007556F8" w:rsidP="007556F8">
      <w:pPr>
        <w:pStyle w:val="Figure"/>
        <w:rPr>
          <w:lang w:val="en-AU"/>
        </w:rPr>
      </w:pPr>
      <w:r w:rsidRPr="0001624A">
        <w:rPr>
          <w:lang w:val="en-AU"/>
        </w:rPr>
        <w:t xml:space="preserve">Figure 9: Relationship between the retention rate of students who did not report a disability and students with disability. Each dot represents a Table </w:t>
      </w:r>
      <w:proofErr w:type="spellStart"/>
      <w:r w:rsidRPr="0001624A">
        <w:rPr>
          <w:lang w:val="en-AU"/>
        </w:rPr>
        <w:t>A</w:t>
      </w:r>
      <w:proofErr w:type="spellEnd"/>
      <w:r w:rsidRPr="0001624A">
        <w:rPr>
          <w:lang w:val="en-AU"/>
        </w:rPr>
        <w:t xml:space="preserve"> institution. The dotted line represents x=y, where institutions falling on this line have the same retention rate in both student groups. Institutions falling above the dotted line have higher retention rates for students with disability compared to students not reporting a disability.  </w:t>
      </w:r>
    </w:p>
    <w:p w14:paraId="4DC9B371" w14:textId="76EC6BFC" w:rsidR="00AA28C4" w:rsidRPr="0001624A" w:rsidRDefault="007556F8" w:rsidP="00384FEA">
      <w:pPr>
        <w:pStyle w:val="BodyText"/>
        <w:rPr>
          <w:lang w:val="en-AU"/>
        </w:rPr>
      </w:pPr>
      <w:r w:rsidRPr="0001624A">
        <w:rPr>
          <w:noProof/>
          <w:lang w:val="en-AU"/>
        </w:rPr>
        <w:drawing>
          <wp:inline distT="0" distB="0" distL="0" distR="0" wp14:anchorId="66F7A7EB" wp14:editId="6F92F3D9">
            <wp:extent cx="5553132" cy="4759827"/>
            <wp:effectExtent l="0" t="0" r="0" b="3175"/>
            <wp:docPr id="479201905" name="Picture 1" descr="Scatterplot showing the relationship between the retention rate of students who did not report a disability and students with disability. Each dot represents a Table A institution. A diagonal line represents x=y, where institutions falling on this line have the same retention rate in both student groups. Institutions falling above the dotted line have higher retention rates for students with disability compared to students not reporting a disability. Each institution is labelled. &#10;&#10;Across institutions, retention rates were between 70% and 96%. There was not a large difference between rates for students with disability and students without disability, however, retention for students with disability was lower, on ave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01905" name="Picture 1" descr="Scatterplot showing the relationship between the retention rate of students who did not report a disability and students with disability. Each dot represents a Table A institution. A diagonal line represents x=y, where institutions falling on this line have the same retention rate in both student groups. Institutions falling above the dotted line have higher retention rates for students with disability compared to students not reporting a disability. Each institution is labelled. &#10;&#10;Across institutions, retention rates were between 70% and 96%. There was not a large difference between rates for students with disability and students without disability, however, retention for students with disability was lower, on average. "/>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53132" cy="4759827"/>
                    </a:xfrm>
                    <a:prstGeom prst="rect">
                      <a:avLst/>
                    </a:prstGeom>
                  </pic:spPr>
                </pic:pic>
              </a:graphicData>
            </a:graphic>
          </wp:inline>
        </w:drawing>
      </w:r>
    </w:p>
    <w:p w14:paraId="7C9F49C2" w14:textId="4FC3F9ED" w:rsidR="00F520A1" w:rsidRPr="0001624A" w:rsidRDefault="007556F8" w:rsidP="007556F8">
      <w:pPr>
        <w:pStyle w:val="Heading2"/>
        <w:rPr>
          <w:lang w:val="en-AU"/>
        </w:rPr>
      </w:pPr>
      <w:r w:rsidRPr="0001624A">
        <w:rPr>
          <w:lang w:val="en-AU"/>
        </w:rPr>
        <w:lastRenderedPageBreak/>
        <w:t xml:space="preserve">Retention rates for First Nation Australian students were </w:t>
      </w:r>
      <w:r w:rsidR="00042A04">
        <w:rPr>
          <w:lang w:val="en-AU"/>
        </w:rPr>
        <w:br/>
      </w:r>
      <w:r w:rsidRPr="0001624A">
        <w:rPr>
          <w:lang w:val="en-AU"/>
        </w:rPr>
        <w:t xml:space="preserve">substantially lower than non-First Nation Australian students, </w:t>
      </w:r>
      <w:r w:rsidR="00042A04">
        <w:rPr>
          <w:lang w:val="en-AU"/>
        </w:rPr>
        <w:br/>
      </w:r>
      <w:r w:rsidRPr="0001624A">
        <w:rPr>
          <w:lang w:val="en-AU"/>
        </w:rPr>
        <w:t>except for two institutions</w:t>
      </w:r>
    </w:p>
    <w:p w14:paraId="77AE2465" w14:textId="12B6A1F3" w:rsidR="007556F8" w:rsidRPr="0001624A" w:rsidRDefault="007556F8" w:rsidP="007556F8">
      <w:pPr>
        <w:pStyle w:val="Figure"/>
        <w:rPr>
          <w:lang w:val="en-AU"/>
        </w:rPr>
      </w:pPr>
      <w:r w:rsidRPr="0001624A">
        <w:rPr>
          <w:lang w:val="en-AU"/>
        </w:rPr>
        <w:t xml:space="preserve">Figure 10: Relationship between the retention rate of students who do not identify as First Nations Australians and First Nations Australian students. Each dot represents a Table </w:t>
      </w:r>
      <w:proofErr w:type="spellStart"/>
      <w:r w:rsidRPr="0001624A">
        <w:rPr>
          <w:lang w:val="en-AU"/>
        </w:rPr>
        <w:t>A</w:t>
      </w:r>
      <w:proofErr w:type="spellEnd"/>
      <w:r w:rsidRPr="0001624A">
        <w:rPr>
          <w:lang w:val="en-AU"/>
        </w:rPr>
        <w:t xml:space="preserve"> institution. The dotted line represents x=y, where institutions falling on this line have the same retention rate in both student groups. Institutions falling above the dotted line have higher retention rates for First Nations Australian students compared to students who are not First Nations Australians.  </w:t>
      </w:r>
    </w:p>
    <w:p w14:paraId="73860DF3" w14:textId="4F69D589" w:rsidR="007556F8" w:rsidRPr="0001624A" w:rsidRDefault="007556F8" w:rsidP="007556F8">
      <w:pPr>
        <w:pStyle w:val="BodyText"/>
        <w:rPr>
          <w:lang w:val="en-AU"/>
        </w:rPr>
      </w:pPr>
      <w:r w:rsidRPr="0001624A">
        <w:rPr>
          <w:noProof/>
          <w:lang w:val="en-AU"/>
        </w:rPr>
        <w:drawing>
          <wp:inline distT="0" distB="0" distL="0" distR="0" wp14:anchorId="2A31CE99" wp14:editId="14FE05B3">
            <wp:extent cx="5012310" cy="4296265"/>
            <wp:effectExtent l="0" t="0" r="0" b="9525"/>
            <wp:docPr id="1337280662" name="Picture 1" descr="Scatterplot showing the relationship between the retention rate of First Nation Australian students and non-First Nation Australian students. Each dot represents a Table A institution. A diagonal line represents x=y, where institutions falling on this line have the same retention rate in both student groups. Institutions falling above the dotted line have higher retention rates for First Nations Australian students compared to non-First Nation Australian students. &#10;&#10;Across institutions, retention rates were between 55% and 90%. Retention rates for First Nation Australian students were much lower than for non-First Nation Australian students. Only two institutions, the University of Notre Dame and Victoria University had higher retention rates for First Nations Australian students, compared to non-First Nations Australian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80662" name="Picture 1" descr="Scatterplot showing the relationship between the retention rate of First Nation Australian students and non-First Nation Australian students. Each dot represents a Table A institution. A diagonal line represents x=y, where institutions falling on this line have the same retention rate in both student groups. Institutions falling above the dotted line have higher retention rates for First Nations Australian students compared to non-First Nation Australian students. &#10;&#10;Across institutions, retention rates were between 55% and 90%. Retention rates for First Nation Australian students were much lower than for non-First Nation Australian students. Only two institutions, the University of Notre Dame and Victoria University had higher retention rates for First Nations Australian students, compared to non-First Nations Australian students.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12310" cy="4296265"/>
                    </a:xfrm>
                    <a:prstGeom prst="rect">
                      <a:avLst/>
                    </a:prstGeom>
                  </pic:spPr>
                </pic:pic>
              </a:graphicData>
            </a:graphic>
          </wp:inline>
        </w:drawing>
      </w:r>
    </w:p>
    <w:p w14:paraId="6FDA82E4" w14:textId="719C702C" w:rsidR="00610685" w:rsidRPr="0001624A" w:rsidRDefault="007556F8" w:rsidP="007556F8">
      <w:pPr>
        <w:pStyle w:val="Heading2"/>
        <w:rPr>
          <w:lang w:val="en-AU"/>
        </w:rPr>
      </w:pPr>
      <w:r w:rsidRPr="0001624A">
        <w:rPr>
          <w:lang w:val="en-AU"/>
        </w:rPr>
        <w:lastRenderedPageBreak/>
        <w:t>Retention rates for students from low SES areas were lower than students from high SES areas, except for seven institutions</w:t>
      </w:r>
    </w:p>
    <w:p w14:paraId="685BC7F9" w14:textId="554F40CA" w:rsidR="007556F8" w:rsidRPr="0001624A" w:rsidRDefault="007556F8" w:rsidP="007556F8">
      <w:pPr>
        <w:pStyle w:val="Figure"/>
        <w:rPr>
          <w:lang w:val="en-AU"/>
        </w:rPr>
      </w:pPr>
      <w:r w:rsidRPr="0001624A">
        <w:rPr>
          <w:lang w:val="en-AU"/>
        </w:rPr>
        <w:t xml:space="preserve">Figure 11: Relationship between the retention rate of students from high SES areas and low SES areas. Each dot represents a Table </w:t>
      </w:r>
      <w:proofErr w:type="spellStart"/>
      <w:r w:rsidRPr="0001624A">
        <w:rPr>
          <w:lang w:val="en-AU"/>
        </w:rPr>
        <w:t>A</w:t>
      </w:r>
      <w:proofErr w:type="spellEnd"/>
      <w:r w:rsidRPr="0001624A">
        <w:rPr>
          <w:lang w:val="en-AU"/>
        </w:rPr>
        <w:t xml:space="preserve"> institution. The dotted line represents x=y, where institutions falling on this line have the same retention rate in both student groups. Institutions falling above the dotted line have higher retention rates for students from low SES areas compared to students from high SES areas.</w:t>
      </w:r>
    </w:p>
    <w:p w14:paraId="03985B97" w14:textId="06FE6788" w:rsidR="007556F8" w:rsidRPr="0001624A" w:rsidRDefault="007556F8" w:rsidP="007556F8">
      <w:pPr>
        <w:pStyle w:val="Figure"/>
        <w:rPr>
          <w:lang w:val="en-AU"/>
        </w:rPr>
      </w:pPr>
      <w:r w:rsidRPr="0001624A">
        <w:rPr>
          <w:noProof/>
          <w:lang w:val="en-AU"/>
        </w:rPr>
        <w:drawing>
          <wp:inline distT="0" distB="0" distL="0" distR="0" wp14:anchorId="68D67E4E" wp14:editId="4047FA1E">
            <wp:extent cx="5571075" cy="4775207"/>
            <wp:effectExtent l="0" t="0" r="0" b="6350"/>
            <wp:docPr id="1269433518" name="Picture 1" descr="Scatterplot showing the relationship between the retention rate of high SES students and low SES students. Each dot represents a Table A institution. A diagonal line represents x=y, where institutions falling on this line have the same retention rate in both student groups. Institutions falling above the dotted line have higher retention rates for low SES students compared to high SES students. &#10;&#10;Across institutions, retention rates were between 65% and 100%. Retention rates for low SES students were lower than for high SES students. Only seven institutions - Victoria University, La Trobe,  University of New South Wales, University of Melbourne, University of Sydney, the Australian National University and University of South Australia had higher retention rates for low SES students compared to high SES student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33518" name="Picture 1" descr="Scatterplot showing the relationship between the retention rate of high SES students and low SES students. Each dot represents a Table A institution. A diagonal line represents x=y, where institutions falling on this line have the same retention rate in both student groups. Institutions falling above the dotted line have higher retention rates for low SES students compared to high SES students. &#10;&#10;Across institutions, retention rates were between 65% and 100%. Retention rates for low SES students were lower than for high SES students. Only seven institutions - Victoria University, La Trobe,  University of New South Wales, University of Melbourne, University of Sydney, the Australian National University and University of South Australia had higher retention rates for low SES students compared to high SES students. ">
                      <a:extLst>
                        <a:ext uri="{C183D7F6-B498-43B3-948B-1728B52AA6E4}">
                          <adec:decorative xmlns:adec="http://schemas.microsoft.com/office/drawing/2017/decorative" val="0"/>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71075" cy="4775207"/>
                    </a:xfrm>
                    <a:prstGeom prst="rect">
                      <a:avLst/>
                    </a:prstGeom>
                  </pic:spPr>
                </pic:pic>
              </a:graphicData>
            </a:graphic>
          </wp:inline>
        </w:drawing>
      </w:r>
    </w:p>
    <w:p w14:paraId="0586F9E9" w14:textId="0F17DEC1" w:rsidR="00610685" w:rsidRPr="0001624A" w:rsidRDefault="007556F8" w:rsidP="007556F8">
      <w:pPr>
        <w:pStyle w:val="Heading2"/>
        <w:rPr>
          <w:lang w:val="en-AU"/>
        </w:rPr>
      </w:pPr>
      <w:r w:rsidRPr="0001624A">
        <w:rPr>
          <w:lang w:val="en-AU"/>
        </w:rPr>
        <w:lastRenderedPageBreak/>
        <w:t>Retention rates for students from regional areas were relatively similar to students from metropolitan areas</w:t>
      </w:r>
    </w:p>
    <w:p w14:paraId="43F7E713" w14:textId="0E72102E" w:rsidR="007556F8" w:rsidRPr="0001624A" w:rsidRDefault="007556F8" w:rsidP="007556F8">
      <w:pPr>
        <w:pStyle w:val="Figure"/>
        <w:rPr>
          <w:lang w:val="en-AU"/>
        </w:rPr>
      </w:pPr>
      <w:r w:rsidRPr="0001624A">
        <w:rPr>
          <w:lang w:val="en-AU"/>
        </w:rPr>
        <w:t xml:space="preserve">Figure 12: Relationship between the retention rate of students from metropolitan areas and regional areas. Each dot represents a Table </w:t>
      </w:r>
      <w:proofErr w:type="spellStart"/>
      <w:r w:rsidRPr="0001624A">
        <w:rPr>
          <w:lang w:val="en-AU"/>
        </w:rPr>
        <w:t>A</w:t>
      </w:r>
      <w:proofErr w:type="spellEnd"/>
      <w:r w:rsidRPr="0001624A">
        <w:rPr>
          <w:lang w:val="en-AU"/>
        </w:rPr>
        <w:t xml:space="preserve"> institution. The dotted line represents x=y, where institutions falling on this line have the same retention rate in both student groups. Institutions falling above the dotted line have higher retention rates for students from regional areas compared to students from metropolitan areas.</w:t>
      </w:r>
    </w:p>
    <w:p w14:paraId="28CC6BA1" w14:textId="30753BDF" w:rsidR="007556F8" w:rsidRPr="0001624A" w:rsidRDefault="007556F8" w:rsidP="007556F8">
      <w:pPr>
        <w:pStyle w:val="Figure"/>
        <w:rPr>
          <w:lang w:val="en-AU"/>
        </w:rPr>
      </w:pPr>
      <w:r w:rsidRPr="0001624A">
        <w:rPr>
          <w:noProof/>
          <w:lang w:val="en-AU"/>
        </w:rPr>
        <w:drawing>
          <wp:inline distT="0" distB="0" distL="0" distR="0" wp14:anchorId="386BF381" wp14:editId="398137A5">
            <wp:extent cx="5595817" cy="4796414"/>
            <wp:effectExtent l="0" t="0" r="5080" b="4445"/>
            <wp:docPr id="226282385" name="Picture 1" descr="Scatterplot showing the relationship between the retention rate of regional students and metropolitan students. Each dot represents a Table A institution. A diagonal line represents x=y, where institutions falling on this line have the same retention rate in both student groups. Institutions falling above the dotted line have higher retention rates for regional students compared to metro students. &#10;&#10;Across institutions, retention rates were between 70% and 95%. Retention rates for regional students were reasonably similar to that for metro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82385" name="Picture 1" descr="Scatterplot showing the relationship between the retention rate of regional students and metropolitan students. Each dot represents a Table A institution. A diagonal line represents x=y, where institutions falling on this line have the same retention rate in both student groups. Institutions falling above the dotted line have higher retention rates for regional students compared to metro students. &#10;&#10;Across institutions, retention rates were between 70% and 95%. Retention rates for regional students were reasonably similar to that for metro students.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95817" cy="4796414"/>
                    </a:xfrm>
                    <a:prstGeom prst="rect">
                      <a:avLst/>
                    </a:prstGeom>
                  </pic:spPr>
                </pic:pic>
              </a:graphicData>
            </a:graphic>
          </wp:inline>
        </w:drawing>
      </w:r>
    </w:p>
    <w:p w14:paraId="7E915AC7" w14:textId="46057F15" w:rsidR="00610685" w:rsidRPr="0001624A" w:rsidRDefault="007556F8" w:rsidP="007556F8">
      <w:pPr>
        <w:pStyle w:val="Heading2"/>
        <w:rPr>
          <w:lang w:val="en-AU"/>
        </w:rPr>
      </w:pPr>
      <w:r w:rsidRPr="0001624A">
        <w:rPr>
          <w:lang w:val="en-AU"/>
        </w:rPr>
        <w:lastRenderedPageBreak/>
        <w:t>Retention rates for students from remote areas were lower compared to students from metropolitan areas</w:t>
      </w:r>
    </w:p>
    <w:p w14:paraId="23A1F700" w14:textId="1390C6B0" w:rsidR="007556F8" w:rsidRPr="0001624A" w:rsidRDefault="007556F8" w:rsidP="007556F8">
      <w:pPr>
        <w:pStyle w:val="Figure"/>
        <w:rPr>
          <w:lang w:val="en-AU"/>
        </w:rPr>
      </w:pPr>
      <w:r w:rsidRPr="0001624A">
        <w:rPr>
          <w:lang w:val="en-AU"/>
        </w:rPr>
        <w:t xml:space="preserve">Figure 13: Relationship between the retention rate of students from metropolitan areas and remote areas. Each dot represents a Table </w:t>
      </w:r>
      <w:proofErr w:type="spellStart"/>
      <w:r w:rsidRPr="0001624A">
        <w:rPr>
          <w:lang w:val="en-AU"/>
        </w:rPr>
        <w:t>A</w:t>
      </w:r>
      <w:proofErr w:type="spellEnd"/>
      <w:r w:rsidRPr="0001624A">
        <w:rPr>
          <w:lang w:val="en-AU"/>
        </w:rPr>
        <w:t xml:space="preserve"> institution. The dotted line represents x=y, where institutions falling on this line have the same retention rate in both student groups. Institutions falling above the dotted line have higher retention rates for students from remote areas compared to students from metropolitan areas. </w:t>
      </w:r>
    </w:p>
    <w:p w14:paraId="412AD7B4" w14:textId="0AFEF909" w:rsidR="007556F8" w:rsidRPr="0001624A" w:rsidRDefault="007556F8" w:rsidP="007556F8">
      <w:pPr>
        <w:pStyle w:val="BodyText"/>
        <w:rPr>
          <w:lang w:val="en-AU"/>
        </w:rPr>
      </w:pPr>
      <w:r w:rsidRPr="0001624A">
        <w:rPr>
          <w:noProof/>
          <w:lang w:val="en-AU"/>
        </w:rPr>
        <w:drawing>
          <wp:inline distT="0" distB="0" distL="0" distR="0" wp14:anchorId="1350FEF5" wp14:editId="3B6C6530">
            <wp:extent cx="5577840" cy="4781005"/>
            <wp:effectExtent l="0" t="0" r="3810" b="635"/>
            <wp:docPr id="1059922274" name="Picture 1" descr="Scatterplot showing the relationship between the retention rate of remote students and metropolitan students. Each dot represents a Table A institution. A diagonal line represents x=y, where institutions falling on this line have the same retention rate in both student groups. Institutions falling above the dotted line have higher retention rates for remote students compared to metro students. &#10;&#10;Across institutions, retention rates were between 40% and 100%. Retention rates for remote students were lower than for metro students, although some institutions had higher rates for remote students. Two institutions - Federation University and Victoria University had retention rates in metro students of approximately 80% and retention rates in remote students of about 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22274" name="Picture 1" descr="Scatterplot showing the relationship between the retention rate of remote students and metropolitan students. Each dot represents a Table A institution. A diagonal line represents x=y, where institutions falling on this line have the same retention rate in both student groups. Institutions falling above the dotted line have higher retention rates for remote students compared to metro students. &#10;&#10;Across institutions, retention rates were between 40% and 100%. Retention rates for remote students were lower than for metro students, although some institutions had higher rates for remote students. Two institutions - Federation University and Victoria University had retention rates in metro students of approximately 80% and retention rates in remote students of about 40%.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77840" cy="4781005"/>
                    </a:xfrm>
                    <a:prstGeom prst="rect">
                      <a:avLst/>
                    </a:prstGeom>
                  </pic:spPr>
                </pic:pic>
              </a:graphicData>
            </a:graphic>
          </wp:inline>
        </w:drawing>
      </w:r>
    </w:p>
    <w:p w14:paraId="5B36A160" w14:textId="2C57CC45" w:rsidR="00510870" w:rsidRPr="0001624A" w:rsidRDefault="007556F8" w:rsidP="007556F8">
      <w:pPr>
        <w:pStyle w:val="Heading1"/>
        <w:rPr>
          <w:lang w:val="en-AU"/>
        </w:rPr>
      </w:pPr>
      <w:r w:rsidRPr="0001624A">
        <w:rPr>
          <w:lang w:val="en-AU"/>
        </w:rPr>
        <w:br w:type="page"/>
      </w:r>
      <w:r w:rsidR="00373713" w:rsidRPr="0001624A">
        <w:rPr>
          <w:lang w:val="en-AU"/>
        </w:rPr>
        <w:lastRenderedPageBreak/>
        <w:t xml:space="preserve">Relationship between </w:t>
      </w:r>
      <w:r w:rsidR="00295235" w:rsidRPr="0001624A">
        <w:rPr>
          <w:lang w:val="en-AU"/>
        </w:rPr>
        <w:t xml:space="preserve">retention rate and </w:t>
      </w:r>
      <w:r w:rsidR="00042A04">
        <w:rPr>
          <w:lang w:val="en-AU"/>
        </w:rPr>
        <w:br/>
      </w:r>
      <w:r w:rsidR="00373713" w:rsidRPr="0001624A">
        <w:rPr>
          <w:lang w:val="en-AU"/>
        </w:rPr>
        <w:t xml:space="preserve">participation </w:t>
      </w:r>
      <w:r w:rsidR="00295235" w:rsidRPr="0001624A">
        <w:rPr>
          <w:lang w:val="en-AU"/>
        </w:rPr>
        <w:t>share</w:t>
      </w:r>
      <w:r w:rsidR="00373713" w:rsidRPr="0001624A">
        <w:rPr>
          <w:lang w:val="en-AU"/>
        </w:rPr>
        <w:t xml:space="preserve"> </w:t>
      </w:r>
    </w:p>
    <w:p w14:paraId="6CD70130" w14:textId="4AC601D4" w:rsidR="003A46C9" w:rsidRPr="0001624A" w:rsidRDefault="00E84684" w:rsidP="00384FEA">
      <w:pPr>
        <w:pStyle w:val="BodyText"/>
        <w:rPr>
          <w:lang w:val="en-AU"/>
        </w:rPr>
      </w:pPr>
      <w:r w:rsidRPr="0001624A">
        <w:rPr>
          <w:lang w:val="en-AU"/>
        </w:rPr>
        <w:t>It is important to note that there are large variations in the number of students within each of these equity groups</w:t>
      </w:r>
      <w:r w:rsidR="00620AE7" w:rsidRPr="0001624A">
        <w:rPr>
          <w:lang w:val="en-AU"/>
        </w:rPr>
        <w:t xml:space="preserve"> </w:t>
      </w:r>
      <w:r w:rsidR="0095211B" w:rsidRPr="0001624A">
        <w:rPr>
          <w:lang w:val="en-AU"/>
        </w:rPr>
        <w:t>at different institutions. When examining t</w:t>
      </w:r>
      <w:r w:rsidRPr="0001624A">
        <w:rPr>
          <w:lang w:val="en-AU"/>
        </w:rPr>
        <w:t xml:space="preserve">he correlation between </w:t>
      </w:r>
      <w:r w:rsidR="00843356" w:rsidRPr="0001624A">
        <w:rPr>
          <w:lang w:val="en-AU"/>
        </w:rPr>
        <w:t xml:space="preserve">2022 </w:t>
      </w:r>
      <w:r w:rsidRPr="0001624A">
        <w:rPr>
          <w:lang w:val="en-AU"/>
        </w:rPr>
        <w:t>retention rates and</w:t>
      </w:r>
      <w:r w:rsidR="00843356" w:rsidRPr="0001624A">
        <w:rPr>
          <w:lang w:val="en-AU"/>
        </w:rPr>
        <w:t xml:space="preserve"> 2023</w:t>
      </w:r>
      <w:r w:rsidRPr="0001624A">
        <w:rPr>
          <w:lang w:val="en-AU"/>
        </w:rPr>
        <w:t xml:space="preserve"> participation </w:t>
      </w:r>
      <w:r w:rsidR="00AF44A4" w:rsidRPr="0001624A">
        <w:rPr>
          <w:lang w:val="en-AU"/>
        </w:rPr>
        <w:t>shares</w:t>
      </w:r>
      <w:r w:rsidRPr="0001624A">
        <w:rPr>
          <w:lang w:val="en-AU"/>
        </w:rPr>
        <w:t xml:space="preserve"> (Figure</w:t>
      </w:r>
      <w:r w:rsidR="005A4594" w:rsidRPr="0001624A">
        <w:rPr>
          <w:lang w:val="en-AU"/>
        </w:rPr>
        <w:t>s</w:t>
      </w:r>
      <w:r w:rsidRPr="0001624A">
        <w:rPr>
          <w:lang w:val="en-AU"/>
        </w:rPr>
        <w:t xml:space="preserve"> </w:t>
      </w:r>
      <w:r w:rsidR="0090117B" w:rsidRPr="0001624A">
        <w:rPr>
          <w:lang w:val="en-AU"/>
        </w:rPr>
        <w:t>1</w:t>
      </w:r>
      <w:r w:rsidR="00233487" w:rsidRPr="0001624A">
        <w:rPr>
          <w:lang w:val="en-AU"/>
        </w:rPr>
        <w:t xml:space="preserve">4 to </w:t>
      </w:r>
      <w:r w:rsidR="005A4594" w:rsidRPr="0001624A">
        <w:rPr>
          <w:lang w:val="en-AU"/>
        </w:rPr>
        <w:t>1</w:t>
      </w:r>
      <w:r w:rsidR="00233487" w:rsidRPr="0001624A">
        <w:rPr>
          <w:lang w:val="en-AU"/>
        </w:rPr>
        <w:t>8</w:t>
      </w:r>
      <w:r w:rsidRPr="0001624A">
        <w:rPr>
          <w:lang w:val="en-AU"/>
        </w:rPr>
        <w:t xml:space="preserve">), we </w:t>
      </w:r>
      <w:r w:rsidR="00843356" w:rsidRPr="0001624A">
        <w:rPr>
          <w:lang w:val="en-AU"/>
        </w:rPr>
        <w:t>observe</w:t>
      </w:r>
      <w:r w:rsidRPr="0001624A">
        <w:rPr>
          <w:lang w:val="en-AU"/>
        </w:rPr>
        <w:t xml:space="preserve"> a negative correlation for </w:t>
      </w:r>
      <w:r w:rsidR="0084649F">
        <w:rPr>
          <w:lang w:val="en-AU"/>
        </w:rPr>
        <w:t>l</w:t>
      </w:r>
      <w:r w:rsidRPr="0001624A">
        <w:rPr>
          <w:lang w:val="en-AU"/>
        </w:rPr>
        <w:t xml:space="preserve">ow SES, </w:t>
      </w:r>
      <w:r w:rsidR="0084649F">
        <w:rPr>
          <w:lang w:val="en-AU"/>
        </w:rPr>
        <w:t>r</w:t>
      </w:r>
      <w:r w:rsidRPr="0001624A">
        <w:rPr>
          <w:lang w:val="en-AU"/>
        </w:rPr>
        <w:t xml:space="preserve">egional, </w:t>
      </w:r>
      <w:r w:rsidR="0084649F">
        <w:rPr>
          <w:lang w:val="en-AU"/>
        </w:rPr>
        <w:t>r</w:t>
      </w:r>
      <w:r w:rsidRPr="0001624A">
        <w:rPr>
          <w:lang w:val="en-AU"/>
        </w:rPr>
        <w:t xml:space="preserve">emote, and First Nations Australian students. That is, institutions with a lower share of </w:t>
      </w:r>
      <w:r w:rsidR="00883C72" w:rsidRPr="0001624A">
        <w:rPr>
          <w:lang w:val="en-AU"/>
        </w:rPr>
        <w:t xml:space="preserve">students from these </w:t>
      </w:r>
      <w:r w:rsidRPr="0001624A">
        <w:rPr>
          <w:lang w:val="en-AU"/>
        </w:rPr>
        <w:t xml:space="preserve">equity </w:t>
      </w:r>
      <w:r w:rsidR="00883C72" w:rsidRPr="0001624A">
        <w:rPr>
          <w:lang w:val="en-AU"/>
        </w:rPr>
        <w:t>groups</w:t>
      </w:r>
      <w:r w:rsidRPr="0001624A">
        <w:rPr>
          <w:lang w:val="en-AU"/>
        </w:rPr>
        <w:t xml:space="preserve"> </w:t>
      </w:r>
      <w:r w:rsidR="00883C72" w:rsidRPr="0001624A">
        <w:rPr>
          <w:lang w:val="en-AU"/>
        </w:rPr>
        <w:t>tend to have</w:t>
      </w:r>
      <w:r w:rsidRPr="0001624A">
        <w:rPr>
          <w:lang w:val="en-AU"/>
        </w:rPr>
        <w:t xml:space="preserve"> higher retention rates for these groups. In contrast, we find </w:t>
      </w:r>
      <w:r w:rsidR="002F09F5" w:rsidRPr="0001624A">
        <w:rPr>
          <w:lang w:val="en-AU"/>
        </w:rPr>
        <w:t xml:space="preserve">no </w:t>
      </w:r>
      <w:r w:rsidRPr="0001624A">
        <w:rPr>
          <w:lang w:val="en-AU"/>
        </w:rPr>
        <w:t xml:space="preserve">correlation between retention </w:t>
      </w:r>
      <w:r w:rsidR="003C57E7" w:rsidRPr="0001624A">
        <w:rPr>
          <w:lang w:val="en-AU"/>
        </w:rPr>
        <w:t xml:space="preserve">rates </w:t>
      </w:r>
      <w:r w:rsidRPr="0001624A">
        <w:rPr>
          <w:lang w:val="en-AU"/>
        </w:rPr>
        <w:t>and participation share</w:t>
      </w:r>
      <w:r w:rsidR="003C57E7" w:rsidRPr="0001624A">
        <w:rPr>
          <w:lang w:val="en-AU"/>
        </w:rPr>
        <w:t>s for students with disability</w:t>
      </w:r>
      <w:r w:rsidR="00911DA9" w:rsidRPr="0001624A">
        <w:rPr>
          <w:lang w:val="en-AU"/>
        </w:rPr>
        <w:t>.</w:t>
      </w:r>
      <w:r w:rsidR="007B041A" w:rsidRPr="0001624A">
        <w:rPr>
          <w:lang w:val="en-AU"/>
        </w:rPr>
        <w:t xml:space="preserve"> </w:t>
      </w:r>
    </w:p>
    <w:p w14:paraId="1E5FDA6D" w14:textId="0FD3EB25" w:rsidR="00DE2026" w:rsidRPr="0001624A" w:rsidRDefault="007B041A" w:rsidP="00384FEA">
      <w:pPr>
        <w:pStyle w:val="BodyText"/>
        <w:rPr>
          <w:lang w:val="en-AU"/>
        </w:rPr>
      </w:pPr>
      <w:r w:rsidRPr="0001624A">
        <w:rPr>
          <w:lang w:val="en-AU"/>
        </w:rPr>
        <w:t xml:space="preserve">These </w:t>
      </w:r>
      <w:r w:rsidR="003A46C9" w:rsidRPr="0001624A">
        <w:rPr>
          <w:lang w:val="en-AU"/>
        </w:rPr>
        <w:t>findings</w:t>
      </w:r>
      <w:r w:rsidRPr="0001624A">
        <w:rPr>
          <w:lang w:val="en-AU"/>
        </w:rPr>
        <w:t xml:space="preserve"> highlight the importance of considering </w:t>
      </w:r>
      <w:r w:rsidR="0040572D" w:rsidRPr="0001624A">
        <w:rPr>
          <w:lang w:val="en-AU"/>
        </w:rPr>
        <w:t>both</w:t>
      </w:r>
      <w:r w:rsidRPr="0001624A">
        <w:rPr>
          <w:lang w:val="en-AU"/>
        </w:rPr>
        <w:t xml:space="preserve"> retention rates </w:t>
      </w:r>
      <w:r w:rsidR="0040572D" w:rsidRPr="0001624A">
        <w:rPr>
          <w:lang w:val="en-AU"/>
        </w:rPr>
        <w:t>and</w:t>
      </w:r>
      <w:r w:rsidRPr="0001624A">
        <w:rPr>
          <w:lang w:val="en-AU"/>
        </w:rPr>
        <w:t xml:space="preserve"> participation shares</w:t>
      </w:r>
      <w:r w:rsidR="0040572D" w:rsidRPr="0001624A">
        <w:rPr>
          <w:lang w:val="en-AU"/>
        </w:rPr>
        <w:t xml:space="preserve"> together</w:t>
      </w:r>
      <w:r w:rsidR="0084649F">
        <w:rPr>
          <w:lang w:val="en-AU"/>
        </w:rPr>
        <w:t>,</w:t>
      </w:r>
      <w:r w:rsidR="0040572D" w:rsidRPr="0001624A">
        <w:rPr>
          <w:lang w:val="en-AU"/>
        </w:rPr>
        <w:t xml:space="preserve"> rather than</w:t>
      </w:r>
      <w:r w:rsidRPr="0001624A">
        <w:rPr>
          <w:lang w:val="en-AU"/>
        </w:rPr>
        <w:t xml:space="preserve"> in isolation</w:t>
      </w:r>
      <w:r w:rsidR="00261252" w:rsidRPr="0001624A">
        <w:rPr>
          <w:lang w:val="en-AU"/>
        </w:rPr>
        <w:t xml:space="preserve">. </w:t>
      </w:r>
      <w:r w:rsidR="00041BAD" w:rsidRPr="0001624A">
        <w:rPr>
          <w:lang w:val="en-AU"/>
        </w:rPr>
        <w:t xml:space="preserve">When </w:t>
      </w:r>
      <w:r w:rsidR="005B3B44" w:rsidRPr="0001624A">
        <w:rPr>
          <w:lang w:val="en-AU"/>
        </w:rPr>
        <w:t>comparing retention rates</w:t>
      </w:r>
      <w:r w:rsidR="00041BAD" w:rsidRPr="0001624A">
        <w:rPr>
          <w:lang w:val="en-AU"/>
        </w:rPr>
        <w:t xml:space="preserve"> between </w:t>
      </w:r>
      <w:r w:rsidR="003A46C9" w:rsidRPr="0001624A">
        <w:rPr>
          <w:lang w:val="en-AU"/>
        </w:rPr>
        <w:t>institutions</w:t>
      </w:r>
      <w:r w:rsidR="00041BAD" w:rsidRPr="0001624A">
        <w:rPr>
          <w:lang w:val="en-AU"/>
        </w:rPr>
        <w:t>, it is important to compare institutions with similar participation shares rather than focusing solely on retention rates. Comparing a</w:t>
      </w:r>
      <w:r w:rsidR="005B3B44" w:rsidRPr="0001624A">
        <w:rPr>
          <w:lang w:val="en-AU"/>
        </w:rPr>
        <w:t xml:space="preserve">n institution </w:t>
      </w:r>
      <w:r w:rsidR="00041BAD" w:rsidRPr="0001624A">
        <w:rPr>
          <w:lang w:val="en-AU"/>
        </w:rPr>
        <w:t xml:space="preserve">with a high proportion of equity students to a highly selective institution with very few equity students may not provide meaningful insights. Instead, benchmarking retention rates against </w:t>
      </w:r>
      <w:r w:rsidR="00C0365A">
        <w:rPr>
          <w:lang w:val="en-AU"/>
        </w:rPr>
        <w:t>institutions</w:t>
      </w:r>
      <w:r w:rsidR="00C0365A" w:rsidRPr="0001624A">
        <w:rPr>
          <w:lang w:val="en-AU"/>
        </w:rPr>
        <w:t xml:space="preserve"> </w:t>
      </w:r>
      <w:r w:rsidR="00041BAD" w:rsidRPr="0001624A">
        <w:rPr>
          <w:lang w:val="en-AU"/>
        </w:rPr>
        <w:t>with similar student demographics can help identify which institutions are particularly effective at supporting equity students and where targeted interventions may be needed.</w:t>
      </w:r>
    </w:p>
    <w:p w14:paraId="26F28CF1" w14:textId="77777777" w:rsidR="007556F8" w:rsidRPr="0001624A" w:rsidRDefault="007556F8">
      <w:pPr>
        <w:spacing w:after="200" w:line="240" w:lineRule="auto"/>
        <w:rPr>
          <w:rFonts w:ascii="Inter Medium" w:eastAsiaTheme="majorEastAsia" w:hAnsi="Inter Medium" w:cstheme="majorBidi"/>
          <w:color w:val="6B3B57"/>
          <w:sz w:val="40"/>
          <w:szCs w:val="52"/>
          <w:lang w:val="en-AU"/>
        </w:rPr>
      </w:pPr>
      <w:r w:rsidRPr="0001624A">
        <w:rPr>
          <w:lang w:val="en-AU"/>
        </w:rPr>
        <w:br w:type="page"/>
      </w:r>
    </w:p>
    <w:p w14:paraId="0763F159" w14:textId="72F47327" w:rsidR="007556F8" w:rsidRPr="0001624A" w:rsidRDefault="007556F8" w:rsidP="007556F8">
      <w:pPr>
        <w:pStyle w:val="Heading2"/>
        <w:rPr>
          <w:lang w:val="en-AU"/>
        </w:rPr>
      </w:pPr>
      <w:r w:rsidRPr="0001624A">
        <w:rPr>
          <w:lang w:val="en-AU"/>
        </w:rPr>
        <w:lastRenderedPageBreak/>
        <w:t>There was no relationship between the participation share of students with disability and the retention rate</w:t>
      </w:r>
    </w:p>
    <w:p w14:paraId="41BFB7A1" w14:textId="05223464" w:rsidR="007556F8" w:rsidRPr="0001624A" w:rsidRDefault="007556F8" w:rsidP="007556F8">
      <w:pPr>
        <w:pStyle w:val="Figure"/>
        <w:rPr>
          <w:lang w:val="en-AU"/>
        </w:rPr>
      </w:pPr>
      <w:r w:rsidRPr="0001624A">
        <w:rPr>
          <w:lang w:val="en-AU"/>
        </w:rPr>
        <w:t xml:space="preserve">Figure 14: Relationship between institutional participation share and retention rate for students with disability. Each dot represents the Table </w:t>
      </w:r>
      <w:proofErr w:type="spellStart"/>
      <w:r w:rsidRPr="0001624A">
        <w:rPr>
          <w:lang w:val="en-AU"/>
        </w:rPr>
        <w:t>A</w:t>
      </w:r>
      <w:proofErr w:type="spellEnd"/>
      <w:r w:rsidRPr="0001624A">
        <w:rPr>
          <w:lang w:val="en-AU"/>
        </w:rPr>
        <w:t xml:space="preserve"> </w:t>
      </w:r>
      <w:r w:rsidR="0001624A">
        <w:rPr>
          <w:lang w:val="en-AU"/>
        </w:rPr>
        <w:t>institution</w:t>
      </w:r>
      <w:r w:rsidR="00042A04">
        <w:rPr>
          <w:lang w:val="en-AU"/>
        </w:rPr>
        <w:t>,</w:t>
      </w:r>
      <w:r w:rsidR="0001624A" w:rsidRPr="0001624A">
        <w:rPr>
          <w:lang w:val="en-AU"/>
        </w:rPr>
        <w:t xml:space="preserve"> </w:t>
      </w:r>
      <w:r w:rsidRPr="0001624A">
        <w:rPr>
          <w:lang w:val="en-AU"/>
        </w:rPr>
        <w:t>as labelled.</w:t>
      </w:r>
    </w:p>
    <w:p w14:paraId="5C4AEF00" w14:textId="5576319B" w:rsidR="007556F8" w:rsidRPr="0001624A" w:rsidRDefault="007556F8" w:rsidP="007556F8">
      <w:pPr>
        <w:pStyle w:val="BodyText"/>
        <w:rPr>
          <w:lang w:val="en-AU"/>
        </w:rPr>
      </w:pPr>
      <w:r w:rsidRPr="0001624A">
        <w:rPr>
          <w:noProof/>
          <w:lang w:val="en-AU"/>
        </w:rPr>
        <w:drawing>
          <wp:inline distT="0" distB="0" distL="0" distR="0" wp14:anchorId="3259FBF9" wp14:editId="23D0514D">
            <wp:extent cx="5395967" cy="4796414"/>
            <wp:effectExtent l="0" t="0" r="0" b="4445"/>
            <wp:docPr id="1031061517" name="Picture 1" descr="Scatterplot showing the relationship between the retention rate and participation share of students with disability. Each dot represents a Table A institution and is labelled.&#10;&#10;There were no relationship between retention and participation of students with disability, with a correlation of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61517" name="Picture 1" descr="Scatterplot showing the relationship between the retention rate and participation share of students with disability. Each dot represents a Table A institution and is labelled.&#10;&#10;There were no relationship between retention and participation of students with disability, with a correlation of 0.0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5967" cy="4796414"/>
                    </a:xfrm>
                    <a:prstGeom prst="rect">
                      <a:avLst/>
                    </a:prstGeom>
                  </pic:spPr>
                </pic:pic>
              </a:graphicData>
            </a:graphic>
          </wp:inline>
        </w:drawing>
      </w:r>
    </w:p>
    <w:p w14:paraId="1CCCB8A0" w14:textId="49F606D3" w:rsidR="004D592F" w:rsidRPr="0001624A" w:rsidRDefault="004D592F" w:rsidP="00384FEA">
      <w:pPr>
        <w:pStyle w:val="BodyText"/>
        <w:rPr>
          <w:lang w:val="en-AU"/>
        </w:rPr>
      </w:pPr>
    </w:p>
    <w:p w14:paraId="5ECFFDE6" w14:textId="18F85A2D" w:rsidR="00510870" w:rsidRPr="0001624A" w:rsidRDefault="007556F8" w:rsidP="007556F8">
      <w:pPr>
        <w:pStyle w:val="Heading2"/>
        <w:rPr>
          <w:lang w:val="en-AU"/>
        </w:rPr>
      </w:pPr>
      <w:r w:rsidRPr="0001624A">
        <w:rPr>
          <w:lang w:val="en-AU"/>
        </w:rPr>
        <w:t>There was a negative correlation between retention rates and participation share for First Nations Australian students</w:t>
      </w:r>
    </w:p>
    <w:p w14:paraId="40EBAED7" w14:textId="48C693D5" w:rsidR="007556F8" w:rsidRPr="0001624A" w:rsidRDefault="007556F8" w:rsidP="007556F8">
      <w:pPr>
        <w:pStyle w:val="Figure"/>
        <w:rPr>
          <w:lang w:val="en-AU"/>
        </w:rPr>
      </w:pPr>
      <w:r w:rsidRPr="0001624A">
        <w:rPr>
          <w:lang w:val="en-AU"/>
        </w:rPr>
        <w:t xml:space="preserve">Figure 15: Relationship between institutional participation share and retention rate for First Nations Australian students. Each dot represents the Table </w:t>
      </w:r>
      <w:proofErr w:type="spellStart"/>
      <w:r w:rsidRPr="0001624A">
        <w:rPr>
          <w:lang w:val="en-AU"/>
        </w:rPr>
        <w:t>A</w:t>
      </w:r>
      <w:proofErr w:type="spellEnd"/>
      <w:r w:rsidRPr="0001624A">
        <w:rPr>
          <w:lang w:val="en-AU"/>
        </w:rPr>
        <w:t xml:space="preserve"> </w:t>
      </w:r>
      <w:r w:rsidR="0001624A">
        <w:rPr>
          <w:lang w:val="en-AU"/>
        </w:rPr>
        <w:t>institution</w:t>
      </w:r>
      <w:r w:rsidR="00042A04">
        <w:rPr>
          <w:lang w:val="en-AU"/>
        </w:rPr>
        <w:t>,</w:t>
      </w:r>
      <w:r w:rsidR="0001624A" w:rsidRPr="0001624A">
        <w:rPr>
          <w:lang w:val="en-AU"/>
        </w:rPr>
        <w:t xml:space="preserve"> </w:t>
      </w:r>
      <w:r w:rsidRPr="0001624A">
        <w:rPr>
          <w:lang w:val="en-AU"/>
        </w:rPr>
        <w:t>as labelled.</w:t>
      </w:r>
    </w:p>
    <w:p w14:paraId="788C0716" w14:textId="2EF8C7E9" w:rsidR="007556F8" w:rsidRPr="0001624A" w:rsidRDefault="007556F8" w:rsidP="007556F8">
      <w:pPr>
        <w:pStyle w:val="Figure"/>
        <w:rPr>
          <w:lang w:val="en-AU"/>
        </w:rPr>
      </w:pPr>
      <w:r w:rsidRPr="0001624A">
        <w:rPr>
          <w:noProof/>
          <w:lang w:val="en-AU"/>
        </w:rPr>
        <w:drawing>
          <wp:inline distT="0" distB="0" distL="0" distR="0" wp14:anchorId="191A054C" wp14:editId="5B0FB69E">
            <wp:extent cx="5091953" cy="4526180"/>
            <wp:effectExtent l="0" t="0" r="0" b="8255"/>
            <wp:docPr id="699027738" name="Picture 1" descr="Scatterplot showing the relationship between the retention rate and participation share of First Nation Australian students. Each dot represents a Table A institution and is labelled.&#10;&#10;There is a negative relationship between retention and participation of First Nation Australian students, with a correlation of -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27738" name="Picture 1" descr="Scatterplot showing the relationship between the retention rate and participation share of First Nation Australian students. Each dot represents a Table A institution and is labelled.&#10;&#10;There is a negative relationship between retention and participation of First Nation Australian students, with a correlation of -0.4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11574" cy="4543621"/>
                    </a:xfrm>
                    <a:prstGeom prst="rect">
                      <a:avLst/>
                    </a:prstGeom>
                  </pic:spPr>
                </pic:pic>
              </a:graphicData>
            </a:graphic>
          </wp:inline>
        </w:drawing>
      </w:r>
    </w:p>
    <w:p w14:paraId="5A8DE749" w14:textId="5AB537A7" w:rsidR="00161B0E" w:rsidRPr="0001624A" w:rsidRDefault="007556F8" w:rsidP="007556F8">
      <w:pPr>
        <w:pStyle w:val="Heading2"/>
        <w:rPr>
          <w:lang w:val="en-AU"/>
        </w:rPr>
      </w:pPr>
      <w:r w:rsidRPr="0001624A">
        <w:rPr>
          <w:lang w:val="en-AU"/>
        </w:rPr>
        <w:lastRenderedPageBreak/>
        <w:t xml:space="preserve">There was a strong negative correlation between retention rates and participation share for students from </w:t>
      </w:r>
      <w:r w:rsidR="0084649F">
        <w:rPr>
          <w:lang w:val="en-AU"/>
        </w:rPr>
        <w:t>l</w:t>
      </w:r>
      <w:r w:rsidRPr="0001624A">
        <w:rPr>
          <w:lang w:val="en-AU"/>
        </w:rPr>
        <w:t>ow SES areas</w:t>
      </w:r>
    </w:p>
    <w:p w14:paraId="33B8AF74" w14:textId="2211B2ED" w:rsidR="007556F8" w:rsidRPr="0001624A" w:rsidRDefault="007556F8" w:rsidP="007556F8">
      <w:pPr>
        <w:pStyle w:val="Figure"/>
        <w:rPr>
          <w:lang w:val="en-AU"/>
        </w:rPr>
      </w:pPr>
      <w:r w:rsidRPr="0001624A">
        <w:rPr>
          <w:lang w:val="en-AU"/>
        </w:rPr>
        <w:t xml:space="preserve">Figure 16: Relationship between institutional participation rate and retention rate for students from low SES areas. Each dot represents the Table </w:t>
      </w:r>
      <w:proofErr w:type="spellStart"/>
      <w:r w:rsidRPr="0001624A">
        <w:rPr>
          <w:lang w:val="en-AU"/>
        </w:rPr>
        <w:t>A</w:t>
      </w:r>
      <w:proofErr w:type="spellEnd"/>
      <w:r w:rsidRPr="0001624A">
        <w:rPr>
          <w:lang w:val="en-AU"/>
        </w:rPr>
        <w:t xml:space="preserve"> </w:t>
      </w:r>
      <w:r w:rsidR="0001624A">
        <w:rPr>
          <w:lang w:val="en-AU"/>
        </w:rPr>
        <w:t>institution</w:t>
      </w:r>
      <w:r w:rsidR="00042A04">
        <w:rPr>
          <w:lang w:val="en-AU"/>
        </w:rPr>
        <w:t>,</w:t>
      </w:r>
      <w:r w:rsidR="0001624A" w:rsidRPr="0001624A">
        <w:rPr>
          <w:lang w:val="en-AU"/>
        </w:rPr>
        <w:t xml:space="preserve"> </w:t>
      </w:r>
      <w:r w:rsidR="00042A04">
        <w:rPr>
          <w:lang w:val="en-AU"/>
        </w:rPr>
        <w:br/>
      </w:r>
      <w:r w:rsidRPr="0001624A">
        <w:rPr>
          <w:lang w:val="en-AU"/>
        </w:rPr>
        <w:t xml:space="preserve">as labelled. </w:t>
      </w:r>
    </w:p>
    <w:p w14:paraId="0652DB6E" w14:textId="43981BB6" w:rsidR="007556F8" w:rsidRPr="003E55D9" w:rsidRDefault="007556F8" w:rsidP="007556F8">
      <w:pPr>
        <w:pStyle w:val="BodyText"/>
        <w:rPr>
          <w:lang w:val="en-AU"/>
        </w:rPr>
      </w:pPr>
      <w:r w:rsidRPr="0001624A">
        <w:rPr>
          <w:noProof/>
          <w:lang w:val="en-AU"/>
        </w:rPr>
        <w:drawing>
          <wp:inline distT="0" distB="0" distL="0" distR="0" wp14:anchorId="3D6BFD1E" wp14:editId="21DCC0E7">
            <wp:extent cx="5169377" cy="4595002"/>
            <wp:effectExtent l="0" t="0" r="0" b="0"/>
            <wp:docPr id="92165884" name="Picture 1" descr="Scatterplot showing the relationship between the retention rate and participation share of low SES students. Each dot represents a Table A institution and is labelled.&#10;&#10;There is a negative relationship between retention and participation of low SES students, with a correlation of -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5884" name="Picture 1" descr="Scatterplot showing the relationship between the retention rate and participation share of low SES students. Each dot represents a Table A institution and is labelled.&#10;&#10;There is a negative relationship between retention and participation of low SES students, with a correlation of -0.7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69377" cy="4595002"/>
                    </a:xfrm>
                    <a:prstGeom prst="rect">
                      <a:avLst/>
                    </a:prstGeom>
                  </pic:spPr>
                </pic:pic>
              </a:graphicData>
            </a:graphic>
          </wp:inline>
        </w:drawing>
      </w:r>
    </w:p>
    <w:p w14:paraId="46DF307B" w14:textId="1C7F4EC3" w:rsidR="006D0835" w:rsidRPr="003E55D9" w:rsidRDefault="006D0835" w:rsidP="00376EFA">
      <w:pPr>
        <w:pStyle w:val="Figure"/>
        <w:rPr>
          <w:lang w:val="en-AU"/>
        </w:rPr>
      </w:pPr>
    </w:p>
    <w:p w14:paraId="558A8A79" w14:textId="427F0A42" w:rsidR="004D592F" w:rsidRPr="003E55D9" w:rsidRDefault="00D4712C" w:rsidP="00D4712C">
      <w:pPr>
        <w:pStyle w:val="Heading2"/>
        <w:rPr>
          <w:lang w:val="en-AU"/>
        </w:rPr>
      </w:pPr>
      <w:r w:rsidRPr="003E55D9">
        <w:rPr>
          <w:lang w:val="en-AU"/>
        </w:rPr>
        <w:lastRenderedPageBreak/>
        <w:t>There was a negative correlation between retention rates and participation share for students from regional areas</w:t>
      </w:r>
    </w:p>
    <w:p w14:paraId="1A7E05A0" w14:textId="4680A3A3" w:rsidR="001028E4" w:rsidRPr="003E55D9" w:rsidRDefault="00D4712C" w:rsidP="00D4712C">
      <w:pPr>
        <w:pStyle w:val="Figure"/>
        <w:rPr>
          <w:lang w:val="en-AU"/>
        </w:rPr>
      </w:pPr>
      <w:r w:rsidRPr="003E55D9">
        <w:rPr>
          <w:lang w:val="en-AU"/>
        </w:rPr>
        <w:t xml:space="preserve">Figure 17: Relationship between institutional participation rate and retention rate for students from regional areas. Each dot represents the Table </w:t>
      </w:r>
      <w:proofErr w:type="spellStart"/>
      <w:r w:rsidRPr="003E55D9">
        <w:rPr>
          <w:lang w:val="en-AU"/>
        </w:rPr>
        <w:t>A</w:t>
      </w:r>
      <w:proofErr w:type="spellEnd"/>
      <w:r w:rsidRPr="003E55D9">
        <w:rPr>
          <w:lang w:val="en-AU"/>
        </w:rPr>
        <w:t xml:space="preserve"> </w:t>
      </w:r>
      <w:r w:rsidR="0001624A">
        <w:rPr>
          <w:lang w:val="en-AU"/>
        </w:rPr>
        <w:t>institution</w:t>
      </w:r>
      <w:r w:rsidR="00042A04">
        <w:rPr>
          <w:lang w:val="en-AU"/>
        </w:rPr>
        <w:t>,</w:t>
      </w:r>
      <w:r w:rsidR="0001624A" w:rsidRPr="0001624A">
        <w:rPr>
          <w:lang w:val="en-AU"/>
        </w:rPr>
        <w:t xml:space="preserve"> </w:t>
      </w:r>
      <w:r w:rsidR="00042A04">
        <w:rPr>
          <w:lang w:val="en-AU"/>
        </w:rPr>
        <w:br/>
      </w:r>
      <w:r w:rsidRPr="003E55D9">
        <w:rPr>
          <w:lang w:val="en-AU"/>
        </w:rPr>
        <w:t>as labelled.</w:t>
      </w:r>
    </w:p>
    <w:p w14:paraId="31FF8BFC" w14:textId="77777777" w:rsidR="004D592F" w:rsidRPr="003E55D9" w:rsidRDefault="00D4712C" w:rsidP="00D46136">
      <w:pPr>
        <w:pStyle w:val="Figure"/>
        <w:rPr>
          <w:lang w:val="en-AU"/>
        </w:rPr>
      </w:pPr>
      <w:r w:rsidRPr="003E55D9">
        <w:rPr>
          <w:noProof/>
          <w:lang w:val="en-AU"/>
        </w:rPr>
        <w:drawing>
          <wp:inline distT="0" distB="0" distL="0" distR="0" wp14:anchorId="62764743" wp14:editId="199CCBA9">
            <wp:extent cx="5510403" cy="4898135"/>
            <wp:effectExtent l="0" t="0" r="0" b="0"/>
            <wp:docPr id="1342477225" name="Picture 1" descr="Scatterplot showing the relationship between the retention rate and participation share of students from regional areas. Each dot represents a Table A institution and is labelled.&#10;&#10;There is a negative relationship between retention and participation of regional students, with a correlation of -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77225" name="Picture 1" descr="Scatterplot showing the relationship between the retention rate and participation share of students from regional areas. Each dot represents a Table A institution and is labelled.&#10;&#10;There is a negative relationship between retention and participation of regional students, with a correlation of -0.5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10403" cy="4898135"/>
                    </a:xfrm>
                    <a:prstGeom prst="rect">
                      <a:avLst/>
                    </a:prstGeom>
                  </pic:spPr>
                </pic:pic>
              </a:graphicData>
            </a:graphic>
          </wp:inline>
        </w:drawing>
      </w:r>
    </w:p>
    <w:p w14:paraId="1E603F38" w14:textId="74B2785A" w:rsidR="00890FB2" w:rsidRPr="003E55D9" w:rsidRDefault="00D4712C" w:rsidP="00D4712C">
      <w:pPr>
        <w:pStyle w:val="Heading2"/>
        <w:rPr>
          <w:lang w:val="en-AU"/>
        </w:rPr>
      </w:pPr>
      <w:r w:rsidRPr="003E55D9">
        <w:rPr>
          <w:lang w:val="en-AU"/>
        </w:rPr>
        <w:lastRenderedPageBreak/>
        <w:t>There was a negative correlation between retention rates and participation share for students from remote areas</w:t>
      </w:r>
    </w:p>
    <w:p w14:paraId="117E85C5" w14:textId="7104AA8C" w:rsidR="00D4712C" w:rsidRPr="003E55D9" w:rsidRDefault="00D4712C" w:rsidP="00D4712C">
      <w:pPr>
        <w:pStyle w:val="Figure"/>
        <w:rPr>
          <w:lang w:val="en-AU"/>
        </w:rPr>
      </w:pPr>
      <w:r w:rsidRPr="003E55D9">
        <w:rPr>
          <w:lang w:val="en-AU"/>
        </w:rPr>
        <w:t xml:space="preserve">Figure 18: Relationship between institutional participation rate and retention rate for students from remote areas. Each dot represents the Table </w:t>
      </w:r>
      <w:proofErr w:type="spellStart"/>
      <w:r w:rsidRPr="003E55D9">
        <w:rPr>
          <w:lang w:val="en-AU"/>
        </w:rPr>
        <w:t>A</w:t>
      </w:r>
      <w:proofErr w:type="spellEnd"/>
      <w:r w:rsidRPr="003E55D9">
        <w:rPr>
          <w:lang w:val="en-AU"/>
        </w:rPr>
        <w:t xml:space="preserve"> </w:t>
      </w:r>
      <w:r w:rsidR="0001624A">
        <w:rPr>
          <w:lang w:val="en-AU"/>
        </w:rPr>
        <w:t>institution</w:t>
      </w:r>
      <w:r w:rsidR="00042A04">
        <w:rPr>
          <w:lang w:val="en-AU"/>
        </w:rPr>
        <w:t>,</w:t>
      </w:r>
      <w:r w:rsidR="0001624A" w:rsidRPr="0001624A">
        <w:rPr>
          <w:lang w:val="en-AU"/>
        </w:rPr>
        <w:t xml:space="preserve"> </w:t>
      </w:r>
      <w:r w:rsidR="00042A04">
        <w:rPr>
          <w:lang w:val="en-AU"/>
        </w:rPr>
        <w:br/>
      </w:r>
      <w:r w:rsidRPr="003E55D9">
        <w:rPr>
          <w:lang w:val="en-AU"/>
        </w:rPr>
        <w:t xml:space="preserve">as labelled. </w:t>
      </w:r>
    </w:p>
    <w:p w14:paraId="4B4AE02F" w14:textId="45522E6A" w:rsidR="00D4712C" w:rsidRPr="003E55D9" w:rsidRDefault="00D4712C" w:rsidP="00D4712C">
      <w:pPr>
        <w:pStyle w:val="BodyText"/>
        <w:rPr>
          <w:lang w:val="en-AU"/>
        </w:rPr>
      </w:pPr>
      <w:r w:rsidRPr="003E55D9">
        <w:rPr>
          <w:noProof/>
          <w:lang w:val="en-AU"/>
        </w:rPr>
        <w:drawing>
          <wp:inline distT="0" distB="0" distL="0" distR="0" wp14:anchorId="7CCB6FCC" wp14:editId="4A9BEEC5">
            <wp:extent cx="5438981" cy="4834649"/>
            <wp:effectExtent l="0" t="0" r="0" b="4445"/>
            <wp:docPr id="1912595885" name="Picture 1" descr="Scatterplot showing the relationship between the retention rate and participation share of students from remote areas. Each dot represents a Table A institution and is labelled.&#10;&#10;There is a negative relationship between retention and participation of remote students, with a correlation of -0.25. Majority of institutions report a high remote student retention rate, but a low remote student participation r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95885" name="Picture 1" descr="Scatterplot showing the relationship between the retention rate and participation share of students from remote areas. Each dot represents a Table A institution and is labelled.&#10;&#10;There is a negative relationship between retention and participation of remote students, with a correlation of -0.25. Majority of institutions report a high remote student retention rate, but a low remote student participation rate. "/>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38981" cy="4834649"/>
                    </a:xfrm>
                    <a:prstGeom prst="rect">
                      <a:avLst/>
                    </a:prstGeom>
                  </pic:spPr>
                </pic:pic>
              </a:graphicData>
            </a:graphic>
          </wp:inline>
        </w:drawing>
      </w:r>
    </w:p>
    <w:p w14:paraId="4FB822E7" w14:textId="77777777" w:rsidR="00C45970" w:rsidRPr="00D46136" w:rsidRDefault="00C45970" w:rsidP="00384FEA">
      <w:pPr>
        <w:pStyle w:val="Heading1"/>
        <w:rPr>
          <w:lang w:val="en-AU"/>
        </w:rPr>
      </w:pPr>
      <w:r w:rsidRPr="00D46136">
        <w:rPr>
          <w:lang w:val="en-AU"/>
        </w:rPr>
        <w:lastRenderedPageBreak/>
        <w:t>References</w:t>
      </w:r>
    </w:p>
    <w:p w14:paraId="119A222B" w14:textId="5CAF9D8F" w:rsidR="00AF3451" w:rsidRPr="003E55D9" w:rsidRDefault="00AF3451" w:rsidP="00384FEA">
      <w:pPr>
        <w:pStyle w:val="ListParagraph"/>
        <w:numPr>
          <w:ilvl w:val="0"/>
          <w:numId w:val="4"/>
        </w:numPr>
        <w:rPr>
          <w:rStyle w:val="Emphasis"/>
          <w:rFonts w:cs="Arial"/>
          <w:i w:val="0"/>
          <w:iCs w:val="0"/>
          <w:szCs w:val="20"/>
          <w:lang w:val="en-AU"/>
        </w:rPr>
      </w:pPr>
      <w:r w:rsidRPr="00D46136">
        <w:rPr>
          <w:lang w:val="en-AU"/>
        </w:rPr>
        <w:t xml:space="preserve">Australian Government Department of Education (2025). Selected Higher Education Statistics – 2022 Student data. </w:t>
      </w:r>
      <w:hyperlink r:id="rId29" w:history="1">
        <w:r w:rsidRPr="003E55D9">
          <w:rPr>
            <w:rStyle w:val="Hyperlink"/>
            <w:lang w:val="en-AU"/>
          </w:rPr>
          <w:t>https://www.education.gov.au/higher-education-statistics/student-data/selected-higher-education-statistics-2022-student-data</w:t>
        </w:r>
      </w:hyperlink>
      <w:r w:rsidR="00DA6113" w:rsidRPr="003E55D9">
        <w:rPr>
          <w:lang w:val="en-AU"/>
        </w:rPr>
        <w:t xml:space="preserve"> </w:t>
      </w:r>
      <w:r w:rsidRPr="003E55D9">
        <w:rPr>
          <w:rStyle w:val="Emphasis"/>
          <w:rFonts w:cs="Arial"/>
          <w:i w:val="0"/>
          <w:iCs w:val="0"/>
          <w:szCs w:val="20"/>
          <w:lang w:val="en-AU"/>
        </w:rPr>
        <w:t xml:space="preserve"> </w:t>
      </w:r>
    </w:p>
    <w:p w14:paraId="0337350F" w14:textId="77777777" w:rsidR="00DA6113" w:rsidRPr="00D46136" w:rsidRDefault="00AF3451" w:rsidP="00384FEA">
      <w:pPr>
        <w:pStyle w:val="ImageCaption"/>
        <w:numPr>
          <w:ilvl w:val="0"/>
          <w:numId w:val="4"/>
        </w:numPr>
        <w:rPr>
          <w:lang w:val="en-AU"/>
        </w:rPr>
      </w:pPr>
      <w:r w:rsidRPr="00D46136">
        <w:rPr>
          <w:lang w:val="en-AU"/>
        </w:rPr>
        <w:t xml:space="preserve">Li, IW &amp; Carroll DR. (2019): Factors influencing dropout and academic performance: an Australian higher education equity perspective, Journal of Higher Education Policy and Management. </w:t>
      </w:r>
    </w:p>
    <w:p w14:paraId="661FE370" w14:textId="3ED16C5E" w:rsidR="00C45970" w:rsidRPr="00D46136" w:rsidRDefault="00C45970" w:rsidP="00384FEA">
      <w:pPr>
        <w:pStyle w:val="ImageCaption"/>
        <w:numPr>
          <w:ilvl w:val="0"/>
          <w:numId w:val="4"/>
        </w:numPr>
        <w:rPr>
          <w:lang w:val="en-AU"/>
        </w:rPr>
      </w:pPr>
      <w:r w:rsidRPr="00D46136">
        <w:rPr>
          <w:lang w:val="en-AU"/>
        </w:rPr>
        <w:t xml:space="preserve">National Centre for Student Equity in Higher Education (NCSEHE). (2016). </w:t>
      </w:r>
      <w:r w:rsidRPr="00D46136">
        <w:rPr>
          <w:i/>
          <w:iCs/>
          <w:lang w:val="en-AU"/>
        </w:rPr>
        <w:t>Exploring the Retention and Success of Students with Disability.</w:t>
      </w:r>
      <w:r w:rsidRPr="00D46136">
        <w:rPr>
          <w:lang w:val="en-AU"/>
        </w:rPr>
        <w:t xml:space="preserve"> Retrieved from </w:t>
      </w:r>
      <w:hyperlink r:id="rId30" w:tgtFrame="_new" w:history="1">
        <w:r w:rsidRPr="00D46136">
          <w:rPr>
            <w:rStyle w:val="Hyperlink"/>
            <w:lang w:val="en-AU"/>
          </w:rPr>
          <w:t>https://www.ncsehe.edu.au/app/uploads/2016/05/Exploring-the-Retention-and-Success-of-Students-with-Disability.pdf</w:t>
        </w:r>
      </w:hyperlink>
    </w:p>
    <w:p w14:paraId="706532A0" w14:textId="516DEFAE" w:rsidR="00C45970" w:rsidRPr="00D46136" w:rsidRDefault="00C45970" w:rsidP="00384FEA">
      <w:pPr>
        <w:pStyle w:val="ImageCaption"/>
        <w:numPr>
          <w:ilvl w:val="0"/>
          <w:numId w:val="4"/>
        </w:numPr>
        <w:rPr>
          <w:lang w:val="en-AU"/>
        </w:rPr>
      </w:pPr>
      <w:r w:rsidRPr="00D46136">
        <w:rPr>
          <w:lang w:val="en-AU"/>
        </w:rPr>
        <w:t xml:space="preserve">Tertiary Education Quality and Standards Agency (TEQSA). (2020). </w:t>
      </w:r>
      <w:r w:rsidRPr="00D46136">
        <w:rPr>
          <w:i/>
          <w:iCs/>
          <w:lang w:val="en-AU"/>
        </w:rPr>
        <w:t xml:space="preserve">Good Practice Note: Improving </w:t>
      </w:r>
      <w:r w:rsidR="009F6A27" w:rsidRPr="00D46136">
        <w:rPr>
          <w:i/>
          <w:iCs/>
          <w:lang w:val="en-AU"/>
        </w:rPr>
        <w:t>r</w:t>
      </w:r>
      <w:r w:rsidRPr="00D46136">
        <w:rPr>
          <w:i/>
          <w:iCs/>
          <w:lang w:val="en-AU"/>
        </w:rPr>
        <w:t xml:space="preserve">etention and </w:t>
      </w:r>
      <w:r w:rsidR="009F6A27" w:rsidRPr="00D46136">
        <w:rPr>
          <w:i/>
          <w:iCs/>
          <w:lang w:val="en-AU"/>
        </w:rPr>
        <w:t>c</w:t>
      </w:r>
      <w:r w:rsidRPr="00D46136">
        <w:rPr>
          <w:i/>
          <w:iCs/>
          <w:lang w:val="en-AU"/>
        </w:rPr>
        <w:t xml:space="preserve">ompletion </w:t>
      </w:r>
      <w:r w:rsidR="009F6A27" w:rsidRPr="00D46136">
        <w:rPr>
          <w:i/>
          <w:iCs/>
          <w:lang w:val="en-AU"/>
        </w:rPr>
        <w:t>of</w:t>
      </w:r>
      <w:r w:rsidRPr="00D46136">
        <w:rPr>
          <w:i/>
          <w:iCs/>
          <w:lang w:val="en-AU"/>
        </w:rPr>
        <w:t xml:space="preserve"> </w:t>
      </w:r>
      <w:r w:rsidR="009F6A27" w:rsidRPr="00D46136">
        <w:rPr>
          <w:i/>
          <w:iCs/>
          <w:lang w:val="en-AU"/>
        </w:rPr>
        <w:t>s</w:t>
      </w:r>
      <w:r w:rsidRPr="00D46136">
        <w:rPr>
          <w:i/>
          <w:iCs/>
          <w:lang w:val="en-AU"/>
        </w:rPr>
        <w:t>tudents</w:t>
      </w:r>
      <w:r w:rsidR="009F6A27" w:rsidRPr="00D46136">
        <w:rPr>
          <w:i/>
          <w:iCs/>
          <w:lang w:val="en-AU"/>
        </w:rPr>
        <w:t xml:space="preserve"> in Australian higher education</w:t>
      </w:r>
      <w:r w:rsidRPr="00D46136">
        <w:rPr>
          <w:i/>
          <w:iCs/>
          <w:lang w:val="en-AU"/>
        </w:rPr>
        <w:t>.</w:t>
      </w:r>
      <w:r w:rsidRPr="00D46136">
        <w:rPr>
          <w:lang w:val="en-AU"/>
        </w:rPr>
        <w:t xml:space="preserve"> Retrieved from </w:t>
      </w:r>
      <w:hyperlink r:id="rId31" w:tgtFrame="_new" w:history="1">
        <w:r w:rsidRPr="00D46136">
          <w:rPr>
            <w:rStyle w:val="Hyperlink"/>
            <w:lang w:val="en-AU"/>
          </w:rPr>
          <w:t>https://www.teqsa.gov.au/sites/default/files/good-practice-note-improving-retention-completion-students-v2-0.pdf</w:t>
        </w:r>
      </w:hyperlink>
    </w:p>
    <w:p w14:paraId="35EBD451" w14:textId="57505739" w:rsidR="00C45970" w:rsidRPr="00D46136" w:rsidRDefault="00C45970" w:rsidP="00384FEA">
      <w:pPr>
        <w:pStyle w:val="ImageCaption"/>
        <w:numPr>
          <w:ilvl w:val="0"/>
          <w:numId w:val="4"/>
        </w:numPr>
        <w:rPr>
          <w:lang w:val="en-AU"/>
        </w:rPr>
      </w:pPr>
      <w:r w:rsidRPr="00D46136">
        <w:rPr>
          <w:lang w:val="en-AU"/>
        </w:rPr>
        <w:t xml:space="preserve">Universities Australia. (2017). </w:t>
      </w:r>
      <w:r w:rsidRPr="00D46136">
        <w:rPr>
          <w:i/>
          <w:iCs/>
          <w:lang w:val="en-AU"/>
        </w:rPr>
        <w:t>2017 U</w:t>
      </w:r>
      <w:r w:rsidR="00FD470E" w:rsidRPr="00D46136">
        <w:rPr>
          <w:i/>
          <w:iCs/>
          <w:lang w:val="en-AU"/>
        </w:rPr>
        <w:t xml:space="preserve">niversities </w:t>
      </w:r>
      <w:r w:rsidRPr="00D46136">
        <w:rPr>
          <w:i/>
          <w:iCs/>
          <w:lang w:val="en-AU"/>
        </w:rPr>
        <w:t>A</w:t>
      </w:r>
      <w:r w:rsidR="00FD470E" w:rsidRPr="00D46136">
        <w:rPr>
          <w:i/>
          <w:iCs/>
          <w:lang w:val="en-AU"/>
        </w:rPr>
        <w:t>ustralia</w:t>
      </w:r>
      <w:r w:rsidRPr="00D46136">
        <w:rPr>
          <w:i/>
          <w:iCs/>
          <w:lang w:val="en-AU"/>
        </w:rPr>
        <w:t xml:space="preserve"> Student Finance</w:t>
      </w:r>
      <w:r w:rsidR="00FD470E" w:rsidRPr="00D46136">
        <w:rPr>
          <w:i/>
          <w:iCs/>
          <w:lang w:val="en-AU"/>
        </w:rPr>
        <w:t>s</w:t>
      </w:r>
      <w:r w:rsidRPr="00D46136">
        <w:rPr>
          <w:i/>
          <w:iCs/>
          <w:lang w:val="en-AU"/>
        </w:rPr>
        <w:t xml:space="preserve"> Survey.</w:t>
      </w:r>
      <w:r w:rsidRPr="00D46136">
        <w:rPr>
          <w:lang w:val="en-AU"/>
        </w:rPr>
        <w:t xml:space="preserve"> Retrieved from </w:t>
      </w:r>
      <w:hyperlink r:id="rId32" w:tgtFrame="_new" w:history="1">
        <w:r w:rsidRPr="00D46136">
          <w:rPr>
            <w:rStyle w:val="Hyperlink"/>
            <w:lang w:val="en-AU"/>
          </w:rPr>
          <w:t>https://universitiesaustralia.edu.au/wp-content/uploads/2019/06/180713-2017-UA-Student-Finance-Survey-Report.pdf</w:t>
        </w:r>
      </w:hyperlink>
    </w:p>
    <w:p w14:paraId="50A25E78" w14:textId="77777777" w:rsidR="00AA7EDD" w:rsidRPr="00D46136" w:rsidRDefault="00AA7EDD" w:rsidP="00384FEA">
      <w:pPr>
        <w:pStyle w:val="ImageCaption"/>
        <w:rPr>
          <w:lang w:val="en-AU"/>
        </w:rPr>
      </w:pPr>
    </w:p>
    <w:p w14:paraId="4CCDDDAA" w14:textId="77777777" w:rsidR="00C45970" w:rsidRPr="003E55D9" w:rsidRDefault="00C45970" w:rsidP="00384FEA">
      <w:pPr>
        <w:pStyle w:val="ImageCaption"/>
        <w:rPr>
          <w:lang w:val="en-AU"/>
        </w:rPr>
      </w:pPr>
    </w:p>
    <w:p w14:paraId="2E3FBB02" w14:textId="77777777" w:rsidR="00C45970" w:rsidRPr="003E55D9" w:rsidRDefault="00C45970" w:rsidP="00384FEA">
      <w:pPr>
        <w:pStyle w:val="ImageCaption"/>
        <w:rPr>
          <w:lang w:val="en-AU"/>
        </w:rPr>
      </w:pPr>
    </w:p>
    <w:bookmarkEnd w:id="0"/>
    <w:bookmarkEnd w:id="6"/>
    <w:p w14:paraId="7DB438F1" w14:textId="77777777" w:rsidR="00C45970" w:rsidRPr="003E55D9" w:rsidRDefault="00C45970" w:rsidP="00384FEA">
      <w:pPr>
        <w:pStyle w:val="ImageCaption"/>
        <w:rPr>
          <w:lang w:val="en-AU"/>
        </w:rPr>
      </w:pPr>
    </w:p>
    <w:sectPr w:rsidR="00C45970" w:rsidRPr="003E55D9" w:rsidSect="00807D26">
      <w:headerReference w:type="default" r:id="rId33"/>
      <w:footerReference w:type="default" r:id="rId34"/>
      <w:footerReference w:type="first" r:id="rId35"/>
      <w:pgSz w:w="16838" w:h="11906" w:orient="landscape" w:code="9"/>
      <w:pgMar w:top="1021" w:right="1383" w:bottom="1021" w:left="1440" w:header="454" w:footer="34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91C06" w14:textId="77777777" w:rsidR="00F40D88" w:rsidRDefault="00F40D88" w:rsidP="00384FEA">
      <w:r>
        <w:separator/>
      </w:r>
    </w:p>
  </w:endnote>
  <w:endnote w:type="continuationSeparator" w:id="0">
    <w:p w14:paraId="6DC9F551" w14:textId="77777777" w:rsidR="00F40D88" w:rsidRDefault="00F40D88" w:rsidP="00384FEA">
      <w:r>
        <w:continuationSeparator/>
      </w:r>
    </w:p>
  </w:endnote>
  <w:endnote w:type="continuationNotice" w:id="1">
    <w:p w14:paraId="47584152" w14:textId="77777777" w:rsidR="00F40D88" w:rsidRDefault="00F40D88" w:rsidP="00384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libri"/>
    <w:panose1 w:val="02000503000000020004"/>
    <w:charset w:val="00"/>
    <w:family w:val="auto"/>
    <w:pitch w:val="variable"/>
    <w:sig w:usb0="E00002FF" w:usb1="1200A1FF" w:usb2="00000001" w:usb3="00000000" w:csb0="0000019F" w:csb1="00000000"/>
  </w:font>
  <w:font w:name="Inter Light">
    <w:altName w:val="Calibri"/>
    <w:panose1 w:val="02000503000000020004"/>
    <w:charset w:val="00"/>
    <w:family w:val="auto"/>
    <w:pitch w:val="variable"/>
    <w:sig w:usb0="E00002FF" w:usb1="1200A1FF" w:usb2="00000001" w:usb3="00000000" w:csb0="0000019F" w:csb1="00000000"/>
  </w:font>
  <w:font w:name="Inter Medium">
    <w:altName w:val="Calibri"/>
    <w:panose1 w:val="02000503000000020004"/>
    <w:charset w:val="00"/>
    <w:family w:val="auto"/>
    <w:pitch w:val="variable"/>
    <w:sig w:usb0="E00002FF" w:usb1="1200A1FF" w:usb2="00000001"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645524"/>
      <w:docPartObj>
        <w:docPartGallery w:val="Page Numbers (Bottom of Page)"/>
        <w:docPartUnique/>
      </w:docPartObj>
    </w:sdtPr>
    <w:sdtEndPr>
      <w:rPr>
        <w:noProof/>
      </w:rPr>
    </w:sdtEndPr>
    <w:sdtContent>
      <w:p w14:paraId="62DBC766" w14:textId="6D71FB7A" w:rsidR="00AC271B" w:rsidRDefault="00AC271B" w:rsidP="00384FEA">
        <w:pPr>
          <w:pStyle w:val="Footer"/>
          <w:jc w:val="center"/>
        </w:pPr>
        <w:r w:rsidRPr="00384FEA">
          <w:fldChar w:fldCharType="begin"/>
        </w:r>
        <w:r w:rsidRPr="00384FEA">
          <w:instrText xml:space="preserve"> PAGE   \* MERGEFORMAT </w:instrText>
        </w:r>
        <w:r w:rsidRPr="00384FEA">
          <w:fldChar w:fldCharType="separate"/>
        </w:r>
        <w:r w:rsidRPr="00384FEA">
          <w:rPr>
            <w:noProof/>
          </w:rPr>
          <w:t>2</w:t>
        </w:r>
        <w:r w:rsidRPr="00384FEA">
          <w:rPr>
            <w:noProof/>
          </w:rPr>
          <w:fldChar w:fldCharType="end"/>
        </w:r>
      </w:p>
    </w:sdtContent>
  </w:sdt>
  <w:p w14:paraId="0D2F7B66" w14:textId="77777777" w:rsidR="00AC271B" w:rsidRDefault="00AC271B" w:rsidP="00384F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F619" w14:textId="07615297" w:rsidR="00491800" w:rsidRDefault="00384FEA" w:rsidP="00FC68AC">
    <w:pPr>
      <w:pStyle w:val="Footer"/>
      <w:jc w:val="right"/>
    </w:pPr>
    <w:r>
      <w:rPr>
        <w:noProof/>
      </w:rPr>
      <w:drawing>
        <wp:inline distT="0" distB="0" distL="0" distR="0" wp14:anchorId="3BAA2AEB" wp14:editId="0A3D5ED4">
          <wp:extent cx="5315578" cy="492593"/>
          <wp:effectExtent l="0" t="0" r="0" b="3175"/>
          <wp:docPr id="2003017752" name="Picture 1" descr="Standard co-branded logo for ACSES and Curt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17752" name="Picture 1" descr="Standard co-branded logo for ACSES and Curtin University"/>
                  <pic:cNvPicPr/>
                </pic:nvPicPr>
                <pic:blipFill>
                  <a:blip r:embed="rId1">
                    <a:extLst>
                      <a:ext uri="{28A0092B-C50C-407E-A947-70E740481C1C}">
                        <a14:useLocalDpi xmlns:a14="http://schemas.microsoft.com/office/drawing/2010/main" val="0"/>
                      </a:ext>
                    </a:extLst>
                  </a:blip>
                  <a:stretch>
                    <a:fillRect/>
                  </a:stretch>
                </pic:blipFill>
                <pic:spPr>
                  <a:xfrm>
                    <a:off x="0" y="0"/>
                    <a:ext cx="5434414" cy="5036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C4CAE" w14:textId="77777777" w:rsidR="00F40D88" w:rsidRDefault="00F40D88" w:rsidP="00384FEA">
      <w:r>
        <w:separator/>
      </w:r>
    </w:p>
  </w:footnote>
  <w:footnote w:type="continuationSeparator" w:id="0">
    <w:p w14:paraId="619C450D" w14:textId="77777777" w:rsidR="00F40D88" w:rsidRDefault="00F40D88" w:rsidP="00384FEA">
      <w:r>
        <w:continuationSeparator/>
      </w:r>
    </w:p>
  </w:footnote>
  <w:footnote w:type="continuationNotice" w:id="1">
    <w:p w14:paraId="240B254C" w14:textId="77777777" w:rsidR="00F40D88" w:rsidRDefault="00F40D88" w:rsidP="00384FEA"/>
  </w:footnote>
  <w:footnote w:id="2">
    <w:p w14:paraId="381DE37D" w14:textId="4540E54F" w:rsidR="00332049" w:rsidRDefault="00332049">
      <w:pPr>
        <w:pStyle w:val="FootnoteText"/>
      </w:pPr>
      <w:r>
        <w:rPr>
          <w:rStyle w:val="FootnoteReference"/>
        </w:rPr>
        <w:footnoteRef/>
      </w:r>
      <w:r>
        <w:t xml:space="preserve"> Please see </w:t>
      </w:r>
      <w:hyperlink r:id="rId1" w:history="1">
        <w:r w:rsidRPr="00747E7E">
          <w:rPr>
            <w:rStyle w:val="Hyperlink"/>
          </w:rPr>
          <w:t>Student Equity Data Guide: Defining Equity Groups</w:t>
        </w:r>
      </w:hyperlink>
      <w:r>
        <w:t xml:space="preserve"> for further information. </w:t>
      </w:r>
    </w:p>
  </w:footnote>
  <w:footnote w:id="3">
    <w:p w14:paraId="20BCE5A6" w14:textId="6E09527F" w:rsidR="00527B7B" w:rsidRPr="00CC4335" w:rsidRDefault="00E84684" w:rsidP="00384FEA">
      <w:pPr>
        <w:pStyle w:val="FootnoteText"/>
      </w:pPr>
      <w:r>
        <w:rPr>
          <w:rStyle w:val="FootnoteReference"/>
        </w:rPr>
        <w:footnoteRef/>
      </w:r>
      <w:r>
        <w:t xml:space="preserve"> </w:t>
      </w:r>
      <w:r w:rsidRPr="00CC4335">
        <w:t>Equity Group Statistics, Private Request (October 2024). Canberra: Department of Education.</w:t>
      </w:r>
    </w:p>
  </w:footnote>
  <w:footnote w:id="4">
    <w:p w14:paraId="20BCE5A7" w14:textId="77777777" w:rsidR="00527B7B" w:rsidRDefault="00E84684" w:rsidP="00384FEA">
      <w:pPr>
        <w:pStyle w:val="FootnoteText"/>
      </w:pPr>
      <w:r w:rsidRPr="00CC4335">
        <w:rPr>
          <w:rStyle w:val="FootnoteReference"/>
        </w:rPr>
        <w:footnoteRef/>
      </w:r>
      <w:r w:rsidRPr="00CC4335">
        <w:t xml:space="preserve"> </w:t>
      </w:r>
      <w:hyperlink r:id="rId2">
        <w:r w:rsidRPr="00384FEA">
          <w:rPr>
            <w:rStyle w:val="Hyperlink"/>
          </w:rPr>
          <w:t>https://www.tcsisupport.gov.au/glossary/glossaryterm/Retention%20rate</w:t>
        </w:r>
      </w:hyperlink>
    </w:p>
  </w:footnote>
  <w:footnote w:id="5">
    <w:p w14:paraId="32C2ED99" w14:textId="5C771A03" w:rsidR="006B2C94" w:rsidRDefault="006B2C94" w:rsidP="00384FEA">
      <w:pPr>
        <w:pStyle w:val="FootnoteText"/>
      </w:pPr>
      <w:r>
        <w:rPr>
          <w:rStyle w:val="FootnoteReference"/>
        </w:rPr>
        <w:footnoteRef/>
      </w:r>
      <w:r>
        <w:t xml:space="preserve"> </w:t>
      </w:r>
      <w:hyperlink r:id="rId3" w:history="1">
        <w:r w:rsidRPr="00384FEA">
          <w:rPr>
            <w:rStyle w:val="Hyperlink"/>
          </w:rPr>
          <w:t>https://www.education.gov.au/heppp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BDB9" w14:textId="3A89C302" w:rsidR="00491800" w:rsidRDefault="00491800" w:rsidP="00384F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C6DC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A990"/>
    <w:multiLevelType w:val="multilevel"/>
    <w:tmpl w:val="31CE37D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2" w15:restartNumberingAfterBreak="0">
    <w:nsid w:val="0755054F"/>
    <w:multiLevelType w:val="hybridMultilevel"/>
    <w:tmpl w:val="B226D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CA7D02"/>
    <w:multiLevelType w:val="multilevel"/>
    <w:tmpl w:val="1854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2D77A1"/>
    <w:multiLevelType w:val="hybridMultilevel"/>
    <w:tmpl w:val="069AABB6"/>
    <w:lvl w:ilvl="0" w:tplc="CA26AF84">
      <w:numFmt w:val="bullet"/>
      <w:lvlText w:val="•"/>
      <w:lvlJc w:val="left"/>
      <w:pPr>
        <w:ind w:left="720" w:hanging="360"/>
      </w:pPr>
      <w:rPr>
        <w:rFonts w:ascii="Inter" w:eastAsiaTheme="minorHAnsi" w:hAnsi="Inte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106525A"/>
    <w:multiLevelType w:val="hybridMultilevel"/>
    <w:tmpl w:val="FA205878"/>
    <w:lvl w:ilvl="0" w:tplc="CA26AF84">
      <w:numFmt w:val="bullet"/>
      <w:lvlText w:val="•"/>
      <w:lvlJc w:val="left"/>
      <w:pPr>
        <w:ind w:left="720" w:hanging="360"/>
      </w:pPr>
      <w:rPr>
        <w:rFonts w:ascii="Inter" w:eastAsiaTheme="minorHAnsi" w:hAnsi="Inter"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095F9B"/>
    <w:multiLevelType w:val="hybridMultilevel"/>
    <w:tmpl w:val="3CE20E66"/>
    <w:lvl w:ilvl="0" w:tplc="E214BE60">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1516877">
    <w:abstractNumId w:val="1"/>
  </w:num>
  <w:num w:numId="2" w16cid:durableId="279066696">
    <w:abstractNumId w:val="1"/>
  </w:num>
  <w:num w:numId="3" w16cid:durableId="91509151">
    <w:abstractNumId w:val="1"/>
  </w:num>
  <w:num w:numId="4" w16cid:durableId="273903152">
    <w:abstractNumId w:val="3"/>
  </w:num>
  <w:num w:numId="5" w16cid:durableId="1392771214">
    <w:abstractNumId w:val="2"/>
  </w:num>
  <w:num w:numId="6" w16cid:durableId="1664505126">
    <w:abstractNumId w:val="4"/>
  </w:num>
  <w:num w:numId="7" w16cid:durableId="740255810">
    <w:abstractNumId w:val="5"/>
  </w:num>
  <w:num w:numId="8" w16cid:durableId="1415468057">
    <w:abstractNumId w:val="6"/>
  </w:num>
  <w:num w:numId="9" w16cid:durableId="260725906">
    <w:abstractNumId w:val="0"/>
  </w:num>
  <w:num w:numId="10" w16cid:durableId="1453554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59F"/>
    <w:rsid w:val="0000547B"/>
    <w:rsid w:val="00006663"/>
    <w:rsid w:val="00010D1D"/>
    <w:rsid w:val="00013556"/>
    <w:rsid w:val="00015D63"/>
    <w:rsid w:val="0001624A"/>
    <w:rsid w:val="00025B43"/>
    <w:rsid w:val="000273F3"/>
    <w:rsid w:val="00030004"/>
    <w:rsid w:val="00036888"/>
    <w:rsid w:val="000413F5"/>
    <w:rsid w:val="00041BAD"/>
    <w:rsid w:val="0004252F"/>
    <w:rsid w:val="00042A04"/>
    <w:rsid w:val="00050606"/>
    <w:rsid w:val="00064B2E"/>
    <w:rsid w:val="0007133C"/>
    <w:rsid w:val="0007170F"/>
    <w:rsid w:val="000759A3"/>
    <w:rsid w:val="00077100"/>
    <w:rsid w:val="00077A34"/>
    <w:rsid w:val="00077AAE"/>
    <w:rsid w:val="000A19BB"/>
    <w:rsid w:val="000C59B6"/>
    <w:rsid w:val="000C650D"/>
    <w:rsid w:val="000C7E02"/>
    <w:rsid w:val="000D15F8"/>
    <w:rsid w:val="000D2EEA"/>
    <w:rsid w:val="000D4DA8"/>
    <w:rsid w:val="000E05D6"/>
    <w:rsid w:val="000E1528"/>
    <w:rsid w:val="000E6F05"/>
    <w:rsid w:val="000F14E8"/>
    <w:rsid w:val="000F15D8"/>
    <w:rsid w:val="000F3851"/>
    <w:rsid w:val="001005CD"/>
    <w:rsid w:val="001006E1"/>
    <w:rsid w:val="0010199F"/>
    <w:rsid w:val="00102127"/>
    <w:rsid w:val="001028E4"/>
    <w:rsid w:val="00110CC4"/>
    <w:rsid w:val="00111114"/>
    <w:rsid w:val="001146DA"/>
    <w:rsid w:val="00115E65"/>
    <w:rsid w:val="00120CE6"/>
    <w:rsid w:val="001224CC"/>
    <w:rsid w:val="00122A89"/>
    <w:rsid w:val="00123B4F"/>
    <w:rsid w:val="00125FAA"/>
    <w:rsid w:val="00127FA9"/>
    <w:rsid w:val="0013132C"/>
    <w:rsid w:val="001331C0"/>
    <w:rsid w:val="001350CD"/>
    <w:rsid w:val="0013781D"/>
    <w:rsid w:val="00142ACC"/>
    <w:rsid w:val="00146DFB"/>
    <w:rsid w:val="001539FE"/>
    <w:rsid w:val="001559FE"/>
    <w:rsid w:val="00155A2F"/>
    <w:rsid w:val="00156577"/>
    <w:rsid w:val="00161B0E"/>
    <w:rsid w:val="00164254"/>
    <w:rsid w:val="00167244"/>
    <w:rsid w:val="0016762F"/>
    <w:rsid w:val="00182856"/>
    <w:rsid w:val="00190D68"/>
    <w:rsid w:val="00194B73"/>
    <w:rsid w:val="00196D92"/>
    <w:rsid w:val="00197B0E"/>
    <w:rsid w:val="001A2F04"/>
    <w:rsid w:val="001B66A9"/>
    <w:rsid w:val="001C176D"/>
    <w:rsid w:val="001C1B8C"/>
    <w:rsid w:val="001C2A0A"/>
    <w:rsid w:val="001D2359"/>
    <w:rsid w:val="001F256E"/>
    <w:rsid w:val="001F4818"/>
    <w:rsid w:val="001F7944"/>
    <w:rsid w:val="002047A5"/>
    <w:rsid w:val="0020482B"/>
    <w:rsid w:val="00205C1D"/>
    <w:rsid w:val="002112E9"/>
    <w:rsid w:val="0021168C"/>
    <w:rsid w:val="002132D4"/>
    <w:rsid w:val="00214190"/>
    <w:rsid w:val="00223DF7"/>
    <w:rsid w:val="00233487"/>
    <w:rsid w:val="0023729C"/>
    <w:rsid w:val="002407FE"/>
    <w:rsid w:val="00250434"/>
    <w:rsid w:val="00253C15"/>
    <w:rsid w:val="00261252"/>
    <w:rsid w:val="00264B94"/>
    <w:rsid w:val="002650A7"/>
    <w:rsid w:val="00270AA8"/>
    <w:rsid w:val="0027156B"/>
    <w:rsid w:val="00271637"/>
    <w:rsid w:val="00273AAA"/>
    <w:rsid w:val="0028258D"/>
    <w:rsid w:val="00295235"/>
    <w:rsid w:val="00295AE4"/>
    <w:rsid w:val="002976C0"/>
    <w:rsid w:val="002A2129"/>
    <w:rsid w:val="002B15B0"/>
    <w:rsid w:val="002C081F"/>
    <w:rsid w:val="002C2611"/>
    <w:rsid w:val="002C310D"/>
    <w:rsid w:val="002C5BF6"/>
    <w:rsid w:val="002D0C68"/>
    <w:rsid w:val="002D2F84"/>
    <w:rsid w:val="002D736B"/>
    <w:rsid w:val="002E5144"/>
    <w:rsid w:val="002E5A59"/>
    <w:rsid w:val="002E6F5C"/>
    <w:rsid w:val="002F09F5"/>
    <w:rsid w:val="00300AC0"/>
    <w:rsid w:val="00301307"/>
    <w:rsid w:val="0031184F"/>
    <w:rsid w:val="003142D9"/>
    <w:rsid w:val="00314353"/>
    <w:rsid w:val="00315185"/>
    <w:rsid w:val="0031751A"/>
    <w:rsid w:val="00317E73"/>
    <w:rsid w:val="00323C91"/>
    <w:rsid w:val="00323F07"/>
    <w:rsid w:val="00332049"/>
    <w:rsid w:val="00332625"/>
    <w:rsid w:val="00341B3D"/>
    <w:rsid w:val="00354C6C"/>
    <w:rsid w:val="00355EB3"/>
    <w:rsid w:val="003611D5"/>
    <w:rsid w:val="00361D7F"/>
    <w:rsid w:val="0036439F"/>
    <w:rsid w:val="00373713"/>
    <w:rsid w:val="00373E49"/>
    <w:rsid w:val="003756AA"/>
    <w:rsid w:val="00376EFA"/>
    <w:rsid w:val="00384FEA"/>
    <w:rsid w:val="00392BBC"/>
    <w:rsid w:val="003A46C9"/>
    <w:rsid w:val="003A5C9A"/>
    <w:rsid w:val="003A6035"/>
    <w:rsid w:val="003B5A00"/>
    <w:rsid w:val="003C35BC"/>
    <w:rsid w:val="003C57E7"/>
    <w:rsid w:val="003D0EF6"/>
    <w:rsid w:val="003D27CF"/>
    <w:rsid w:val="003D4AE1"/>
    <w:rsid w:val="003E2EE9"/>
    <w:rsid w:val="003E55D9"/>
    <w:rsid w:val="003E7307"/>
    <w:rsid w:val="003E7DD3"/>
    <w:rsid w:val="003F4112"/>
    <w:rsid w:val="003F4E08"/>
    <w:rsid w:val="003F5023"/>
    <w:rsid w:val="0040404D"/>
    <w:rsid w:val="0040572D"/>
    <w:rsid w:val="00407B23"/>
    <w:rsid w:val="00416BA6"/>
    <w:rsid w:val="00422B6A"/>
    <w:rsid w:val="00423609"/>
    <w:rsid w:val="00434470"/>
    <w:rsid w:val="00450FA5"/>
    <w:rsid w:val="00451F08"/>
    <w:rsid w:val="004617FC"/>
    <w:rsid w:val="0046253D"/>
    <w:rsid w:val="0046762A"/>
    <w:rsid w:val="00487B49"/>
    <w:rsid w:val="00491800"/>
    <w:rsid w:val="00497D00"/>
    <w:rsid w:val="004A2E28"/>
    <w:rsid w:val="004A4198"/>
    <w:rsid w:val="004A4712"/>
    <w:rsid w:val="004C340B"/>
    <w:rsid w:val="004C59E6"/>
    <w:rsid w:val="004C7710"/>
    <w:rsid w:val="004D592F"/>
    <w:rsid w:val="004E0F91"/>
    <w:rsid w:val="004E7759"/>
    <w:rsid w:val="004F1FA1"/>
    <w:rsid w:val="004F4FB2"/>
    <w:rsid w:val="004F6961"/>
    <w:rsid w:val="00502515"/>
    <w:rsid w:val="005025F0"/>
    <w:rsid w:val="00502C35"/>
    <w:rsid w:val="00502E16"/>
    <w:rsid w:val="005046DD"/>
    <w:rsid w:val="005107E9"/>
    <w:rsid w:val="00510870"/>
    <w:rsid w:val="005178D3"/>
    <w:rsid w:val="00527B7B"/>
    <w:rsid w:val="00531FFD"/>
    <w:rsid w:val="005351D2"/>
    <w:rsid w:val="00535D3F"/>
    <w:rsid w:val="005366CA"/>
    <w:rsid w:val="00537C3F"/>
    <w:rsid w:val="00540EFF"/>
    <w:rsid w:val="0054303A"/>
    <w:rsid w:val="005501EB"/>
    <w:rsid w:val="00551688"/>
    <w:rsid w:val="00551D25"/>
    <w:rsid w:val="00555786"/>
    <w:rsid w:val="0056184E"/>
    <w:rsid w:val="00561B08"/>
    <w:rsid w:val="0057183E"/>
    <w:rsid w:val="005741C0"/>
    <w:rsid w:val="00574F44"/>
    <w:rsid w:val="00575B72"/>
    <w:rsid w:val="0058039A"/>
    <w:rsid w:val="00593310"/>
    <w:rsid w:val="005A4594"/>
    <w:rsid w:val="005B1F13"/>
    <w:rsid w:val="005B3B44"/>
    <w:rsid w:val="005B4A6A"/>
    <w:rsid w:val="005C3184"/>
    <w:rsid w:val="005D1E6D"/>
    <w:rsid w:val="005D7651"/>
    <w:rsid w:val="005E5206"/>
    <w:rsid w:val="005F0929"/>
    <w:rsid w:val="005F1024"/>
    <w:rsid w:val="005F122F"/>
    <w:rsid w:val="005F3803"/>
    <w:rsid w:val="00600BCF"/>
    <w:rsid w:val="00600EE3"/>
    <w:rsid w:val="0061035A"/>
    <w:rsid w:val="00610685"/>
    <w:rsid w:val="00611C10"/>
    <w:rsid w:val="00620AE7"/>
    <w:rsid w:val="00620BF1"/>
    <w:rsid w:val="00620D17"/>
    <w:rsid w:val="00621069"/>
    <w:rsid w:val="00622E65"/>
    <w:rsid w:val="006337EB"/>
    <w:rsid w:val="00635C2C"/>
    <w:rsid w:val="00636332"/>
    <w:rsid w:val="00650632"/>
    <w:rsid w:val="00661102"/>
    <w:rsid w:val="0066366F"/>
    <w:rsid w:val="006637BB"/>
    <w:rsid w:val="006712C5"/>
    <w:rsid w:val="00673A92"/>
    <w:rsid w:val="00674E22"/>
    <w:rsid w:val="006756BD"/>
    <w:rsid w:val="00675B7E"/>
    <w:rsid w:val="006854E2"/>
    <w:rsid w:val="00690382"/>
    <w:rsid w:val="00692615"/>
    <w:rsid w:val="00697645"/>
    <w:rsid w:val="006A7E7E"/>
    <w:rsid w:val="006B1E32"/>
    <w:rsid w:val="006B2C94"/>
    <w:rsid w:val="006C1546"/>
    <w:rsid w:val="006D0835"/>
    <w:rsid w:val="006D328D"/>
    <w:rsid w:val="006D4C97"/>
    <w:rsid w:val="006E1320"/>
    <w:rsid w:val="006E137E"/>
    <w:rsid w:val="006F7FC6"/>
    <w:rsid w:val="0070414A"/>
    <w:rsid w:val="007069E8"/>
    <w:rsid w:val="00710827"/>
    <w:rsid w:val="0071130C"/>
    <w:rsid w:val="00714E40"/>
    <w:rsid w:val="00715DF9"/>
    <w:rsid w:val="00722874"/>
    <w:rsid w:val="00722A34"/>
    <w:rsid w:val="00723F5D"/>
    <w:rsid w:val="007268EA"/>
    <w:rsid w:val="0073064D"/>
    <w:rsid w:val="00736AE8"/>
    <w:rsid w:val="00736CA9"/>
    <w:rsid w:val="007421D7"/>
    <w:rsid w:val="00745CF7"/>
    <w:rsid w:val="0074650D"/>
    <w:rsid w:val="00747D5C"/>
    <w:rsid w:val="00747E7E"/>
    <w:rsid w:val="007556F8"/>
    <w:rsid w:val="007618A6"/>
    <w:rsid w:val="007626F7"/>
    <w:rsid w:val="00766220"/>
    <w:rsid w:val="007748C5"/>
    <w:rsid w:val="0078234F"/>
    <w:rsid w:val="00792794"/>
    <w:rsid w:val="007A128A"/>
    <w:rsid w:val="007A247C"/>
    <w:rsid w:val="007B041A"/>
    <w:rsid w:val="007B0D38"/>
    <w:rsid w:val="007C53A4"/>
    <w:rsid w:val="007C6ED3"/>
    <w:rsid w:val="007D0C8B"/>
    <w:rsid w:val="007D0F3D"/>
    <w:rsid w:val="007E0FB5"/>
    <w:rsid w:val="007F5A0C"/>
    <w:rsid w:val="007F651F"/>
    <w:rsid w:val="00807D26"/>
    <w:rsid w:val="008108BE"/>
    <w:rsid w:val="008164FB"/>
    <w:rsid w:val="00817BC8"/>
    <w:rsid w:val="008258A4"/>
    <w:rsid w:val="008323A8"/>
    <w:rsid w:val="008415DF"/>
    <w:rsid w:val="00843356"/>
    <w:rsid w:val="00843D0F"/>
    <w:rsid w:val="00845929"/>
    <w:rsid w:val="0084649F"/>
    <w:rsid w:val="008544E6"/>
    <w:rsid w:val="0085631F"/>
    <w:rsid w:val="00861D92"/>
    <w:rsid w:val="0086644A"/>
    <w:rsid w:val="00870BED"/>
    <w:rsid w:val="008719C3"/>
    <w:rsid w:val="008742FA"/>
    <w:rsid w:val="00874D2B"/>
    <w:rsid w:val="00881279"/>
    <w:rsid w:val="00883C72"/>
    <w:rsid w:val="00884B5A"/>
    <w:rsid w:val="00890FB2"/>
    <w:rsid w:val="00891594"/>
    <w:rsid w:val="00893AD3"/>
    <w:rsid w:val="008A448E"/>
    <w:rsid w:val="008B0B38"/>
    <w:rsid w:val="008C411F"/>
    <w:rsid w:val="008C4D9D"/>
    <w:rsid w:val="008C676F"/>
    <w:rsid w:val="008C6796"/>
    <w:rsid w:val="008C705C"/>
    <w:rsid w:val="008D0D2D"/>
    <w:rsid w:val="008D5364"/>
    <w:rsid w:val="008E15A9"/>
    <w:rsid w:val="008E2CD2"/>
    <w:rsid w:val="008E43B8"/>
    <w:rsid w:val="0090037C"/>
    <w:rsid w:val="0090117B"/>
    <w:rsid w:val="00907E35"/>
    <w:rsid w:val="00911DA9"/>
    <w:rsid w:val="00914725"/>
    <w:rsid w:val="009178E8"/>
    <w:rsid w:val="009221A3"/>
    <w:rsid w:val="009251C0"/>
    <w:rsid w:val="00931CD8"/>
    <w:rsid w:val="00933A9A"/>
    <w:rsid w:val="00942CF3"/>
    <w:rsid w:val="009434B4"/>
    <w:rsid w:val="009457EF"/>
    <w:rsid w:val="00946715"/>
    <w:rsid w:val="00950BA7"/>
    <w:rsid w:val="0095211B"/>
    <w:rsid w:val="009527BA"/>
    <w:rsid w:val="009617E1"/>
    <w:rsid w:val="0096235D"/>
    <w:rsid w:val="00970EA4"/>
    <w:rsid w:val="009716BA"/>
    <w:rsid w:val="0097791E"/>
    <w:rsid w:val="00981A0E"/>
    <w:rsid w:val="0098280A"/>
    <w:rsid w:val="009834DA"/>
    <w:rsid w:val="00983841"/>
    <w:rsid w:val="0098520B"/>
    <w:rsid w:val="00993DCA"/>
    <w:rsid w:val="009B5998"/>
    <w:rsid w:val="009C66AE"/>
    <w:rsid w:val="009E0DFC"/>
    <w:rsid w:val="009F120C"/>
    <w:rsid w:val="009F6A27"/>
    <w:rsid w:val="00A05B73"/>
    <w:rsid w:val="00A05EE3"/>
    <w:rsid w:val="00A062EC"/>
    <w:rsid w:val="00A06CD1"/>
    <w:rsid w:val="00A1112D"/>
    <w:rsid w:val="00A11772"/>
    <w:rsid w:val="00A1211F"/>
    <w:rsid w:val="00A127AC"/>
    <w:rsid w:val="00A14B5C"/>
    <w:rsid w:val="00A20295"/>
    <w:rsid w:val="00A2563E"/>
    <w:rsid w:val="00A33F74"/>
    <w:rsid w:val="00A35165"/>
    <w:rsid w:val="00A35835"/>
    <w:rsid w:val="00A520AB"/>
    <w:rsid w:val="00A579C5"/>
    <w:rsid w:val="00A60D5D"/>
    <w:rsid w:val="00A64F15"/>
    <w:rsid w:val="00A73388"/>
    <w:rsid w:val="00A7488D"/>
    <w:rsid w:val="00A74EF3"/>
    <w:rsid w:val="00A76666"/>
    <w:rsid w:val="00A90E9A"/>
    <w:rsid w:val="00A95000"/>
    <w:rsid w:val="00A97A52"/>
    <w:rsid w:val="00AA18AF"/>
    <w:rsid w:val="00AA28C4"/>
    <w:rsid w:val="00AA78E7"/>
    <w:rsid w:val="00AA7EDD"/>
    <w:rsid w:val="00AB0524"/>
    <w:rsid w:val="00AB38CD"/>
    <w:rsid w:val="00AB42EC"/>
    <w:rsid w:val="00AB4C30"/>
    <w:rsid w:val="00AB4FFF"/>
    <w:rsid w:val="00AC08AC"/>
    <w:rsid w:val="00AC271B"/>
    <w:rsid w:val="00AC42E2"/>
    <w:rsid w:val="00AD0A5C"/>
    <w:rsid w:val="00AD659E"/>
    <w:rsid w:val="00AE225B"/>
    <w:rsid w:val="00AF27CF"/>
    <w:rsid w:val="00AF2DD6"/>
    <w:rsid w:val="00AF3451"/>
    <w:rsid w:val="00AF44A4"/>
    <w:rsid w:val="00B00BA7"/>
    <w:rsid w:val="00B00BD6"/>
    <w:rsid w:val="00B03956"/>
    <w:rsid w:val="00B1059C"/>
    <w:rsid w:val="00B1362E"/>
    <w:rsid w:val="00B21CDC"/>
    <w:rsid w:val="00B2760D"/>
    <w:rsid w:val="00B30DE6"/>
    <w:rsid w:val="00B3105D"/>
    <w:rsid w:val="00B3513C"/>
    <w:rsid w:val="00B3585A"/>
    <w:rsid w:val="00B35B6F"/>
    <w:rsid w:val="00B43668"/>
    <w:rsid w:val="00B46295"/>
    <w:rsid w:val="00B5207A"/>
    <w:rsid w:val="00B53726"/>
    <w:rsid w:val="00B53F41"/>
    <w:rsid w:val="00B54E9E"/>
    <w:rsid w:val="00B8030A"/>
    <w:rsid w:val="00B83541"/>
    <w:rsid w:val="00B838F7"/>
    <w:rsid w:val="00B85935"/>
    <w:rsid w:val="00B86DB9"/>
    <w:rsid w:val="00B8767E"/>
    <w:rsid w:val="00B91A69"/>
    <w:rsid w:val="00B94E0A"/>
    <w:rsid w:val="00B9659F"/>
    <w:rsid w:val="00BA074C"/>
    <w:rsid w:val="00BA25C2"/>
    <w:rsid w:val="00BA3619"/>
    <w:rsid w:val="00BB2AF6"/>
    <w:rsid w:val="00BB3DB4"/>
    <w:rsid w:val="00BC2C9A"/>
    <w:rsid w:val="00BC2F31"/>
    <w:rsid w:val="00BC3F4B"/>
    <w:rsid w:val="00BC7B9A"/>
    <w:rsid w:val="00BD32D0"/>
    <w:rsid w:val="00BD409E"/>
    <w:rsid w:val="00BD4429"/>
    <w:rsid w:val="00BD7125"/>
    <w:rsid w:val="00BE0A5D"/>
    <w:rsid w:val="00BE0CCC"/>
    <w:rsid w:val="00BE19EF"/>
    <w:rsid w:val="00BE4B2D"/>
    <w:rsid w:val="00BE58E3"/>
    <w:rsid w:val="00BF7595"/>
    <w:rsid w:val="00C0365A"/>
    <w:rsid w:val="00C06866"/>
    <w:rsid w:val="00C2027C"/>
    <w:rsid w:val="00C22E97"/>
    <w:rsid w:val="00C2769B"/>
    <w:rsid w:val="00C36F7B"/>
    <w:rsid w:val="00C4472C"/>
    <w:rsid w:val="00C45970"/>
    <w:rsid w:val="00C64FDD"/>
    <w:rsid w:val="00C67618"/>
    <w:rsid w:val="00C76B8C"/>
    <w:rsid w:val="00C81326"/>
    <w:rsid w:val="00C8291F"/>
    <w:rsid w:val="00CA1790"/>
    <w:rsid w:val="00CA4D6C"/>
    <w:rsid w:val="00CA57A3"/>
    <w:rsid w:val="00CA783D"/>
    <w:rsid w:val="00CB1A20"/>
    <w:rsid w:val="00CB5DCF"/>
    <w:rsid w:val="00CC4335"/>
    <w:rsid w:val="00CC62AE"/>
    <w:rsid w:val="00CD1FB2"/>
    <w:rsid w:val="00CD217F"/>
    <w:rsid w:val="00CE1D6F"/>
    <w:rsid w:val="00CE285B"/>
    <w:rsid w:val="00CE6596"/>
    <w:rsid w:val="00CE6E7C"/>
    <w:rsid w:val="00CF7C37"/>
    <w:rsid w:val="00CF7FBC"/>
    <w:rsid w:val="00D06665"/>
    <w:rsid w:val="00D06692"/>
    <w:rsid w:val="00D072E9"/>
    <w:rsid w:val="00D10C27"/>
    <w:rsid w:val="00D12DFB"/>
    <w:rsid w:val="00D13BCC"/>
    <w:rsid w:val="00D170FA"/>
    <w:rsid w:val="00D24DE3"/>
    <w:rsid w:val="00D25D5B"/>
    <w:rsid w:val="00D26479"/>
    <w:rsid w:val="00D30CD4"/>
    <w:rsid w:val="00D31DB3"/>
    <w:rsid w:val="00D35A6E"/>
    <w:rsid w:val="00D404ED"/>
    <w:rsid w:val="00D45BEB"/>
    <w:rsid w:val="00D46136"/>
    <w:rsid w:val="00D4712C"/>
    <w:rsid w:val="00D51F7C"/>
    <w:rsid w:val="00D53F1C"/>
    <w:rsid w:val="00D57CA3"/>
    <w:rsid w:val="00D63F95"/>
    <w:rsid w:val="00D664FA"/>
    <w:rsid w:val="00D66C09"/>
    <w:rsid w:val="00D71E8C"/>
    <w:rsid w:val="00D845EF"/>
    <w:rsid w:val="00D858A8"/>
    <w:rsid w:val="00D85F13"/>
    <w:rsid w:val="00D86ECA"/>
    <w:rsid w:val="00D919B3"/>
    <w:rsid w:val="00DA30FA"/>
    <w:rsid w:val="00DA32A3"/>
    <w:rsid w:val="00DA3639"/>
    <w:rsid w:val="00DA4675"/>
    <w:rsid w:val="00DA49DB"/>
    <w:rsid w:val="00DA6113"/>
    <w:rsid w:val="00DC08ED"/>
    <w:rsid w:val="00DC2986"/>
    <w:rsid w:val="00DC696C"/>
    <w:rsid w:val="00DD2CF1"/>
    <w:rsid w:val="00DD32EA"/>
    <w:rsid w:val="00DD43BA"/>
    <w:rsid w:val="00DE2026"/>
    <w:rsid w:val="00DE5C03"/>
    <w:rsid w:val="00DF3C47"/>
    <w:rsid w:val="00DF48F5"/>
    <w:rsid w:val="00DF68EC"/>
    <w:rsid w:val="00E07F8C"/>
    <w:rsid w:val="00E142E6"/>
    <w:rsid w:val="00E1641D"/>
    <w:rsid w:val="00E16E89"/>
    <w:rsid w:val="00E279C3"/>
    <w:rsid w:val="00E3383C"/>
    <w:rsid w:val="00E3475C"/>
    <w:rsid w:val="00E36BC8"/>
    <w:rsid w:val="00E50FEE"/>
    <w:rsid w:val="00E51D3E"/>
    <w:rsid w:val="00E65169"/>
    <w:rsid w:val="00E70D04"/>
    <w:rsid w:val="00E73082"/>
    <w:rsid w:val="00E7567B"/>
    <w:rsid w:val="00E76AC2"/>
    <w:rsid w:val="00E82114"/>
    <w:rsid w:val="00E84684"/>
    <w:rsid w:val="00E8575C"/>
    <w:rsid w:val="00E87F83"/>
    <w:rsid w:val="00E91B2F"/>
    <w:rsid w:val="00E93686"/>
    <w:rsid w:val="00E940AD"/>
    <w:rsid w:val="00E95214"/>
    <w:rsid w:val="00E96189"/>
    <w:rsid w:val="00E9640D"/>
    <w:rsid w:val="00EA0B16"/>
    <w:rsid w:val="00EA5B83"/>
    <w:rsid w:val="00EA78D5"/>
    <w:rsid w:val="00EB0B3D"/>
    <w:rsid w:val="00EB33BF"/>
    <w:rsid w:val="00EB40C8"/>
    <w:rsid w:val="00EB6A32"/>
    <w:rsid w:val="00EB7BD2"/>
    <w:rsid w:val="00EC3364"/>
    <w:rsid w:val="00ED06F3"/>
    <w:rsid w:val="00EE10C0"/>
    <w:rsid w:val="00EE1A92"/>
    <w:rsid w:val="00EE7D1B"/>
    <w:rsid w:val="00EF26D6"/>
    <w:rsid w:val="00F01975"/>
    <w:rsid w:val="00F02EBE"/>
    <w:rsid w:val="00F05605"/>
    <w:rsid w:val="00F0745F"/>
    <w:rsid w:val="00F151AF"/>
    <w:rsid w:val="00F22478"/>
    <w:rsid w:val="00F273E9"/>
    <w:rsid w:val="00F30B47"/>
    <w:rsid w:val="00F3202A"/>
    <w:rsid w:val="00F34BAF"/>
    <w:rsid w:val="00F376A5"/>
    <w:rsid w:val="00F40D88"/>
    <w:rsid w:val="00F41698"/>
    <w:rsid w:val="00F520A1"/>
    <w:rsid w:val="00F630A8"/>
    <w:rsid w:val="00F63D57"/>
    <w:rsid w:val="00F7169A"/>
    <w:rsid w:val="00F76414"/>
    <w:rsid w:val="00F764BB"/>
    <w:rsid w:val="00F77014"/>
    <w:rsid w:val="00F83F32"/>
    <w:rsid w:val="00F84D2C"/>
    <w:rsid w:val="00F8664E"/>
    <w:rsid w:val="00F903FC"/>
    <w:rsid w:val="00F914C0"/>
    <w:rsid w:val="00F93BAB"/>
    <w:rsid w:val="00F972D1"/>
    <w:rsid w:val="00FA12E4"/>
    <w:rsid w:val="00FA27E6"/>
    <w:rsid w:val="00FA36E5"/>
    <w:rsid w:val="00FA3DD8"/>
    <w:rsid w:val="00FB0FD3"/>
    <w:rsid w:val="00FB13E2"/>
    <w:rsid w:val="00FB1616"/>
    <w:rsid w:val="00FB1780"/>
    <w:rsid w:val="00FB331D"/>
    <w:rsid w:val="00FC0F20"/>
    <w:rsid w:val="00FC2ACB"/>
    <w:rsid w:val="00FC36EF"/>
    <w:rsid w:val="00FC46C7"/>
    <w:rsid w:val="00FC68AC"/>
    <w:rsid w:val="00FD00D8"/>
    <w:rsid w:val="00FD035D"/>
    <w:rsid w:val="00FD470E"/>
    <w:rsid w:val="00FE1C79"/>
    <w:rsid w:val="00FE4C5E"/>
    <w:rsid w:val="00FE5DEB"/>
    <w:rsid w:val="00FF1273"/>
    <w:rsid w:val="1C9B7B67"/>
    <w:rsid w:val="3B6C9943"/>
    <w:rsid w:val="5F80A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CE55D"/>
  <w15:docId w15:val="{453CF2DB-B822-4CFA-92F2-FE4A30AFE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4FEA"/>
    <w:pPr>
      <w:spacing w:after="160" w:line="274" w:lineRule="auto"/>
    </w:pPr>
    <w:rPr>
      <w:rFonts w:ascii="Inter" w:hAnsi="Inter"/>
      <w:sz w:val="22"/>
      <w:szCs w:val="22"/>
    </w:rPr>
  </w:style>
  <w:style w:type="paragraph" w:styleId="Heading1">
    <w:name w:val="heading 1"/>
    <w:basedOn w:val="Normal"/>
    <w:next w:val="BodyText"/>
    <w:uiPriority w:val="9"/>
    <w:qFormat/>
    <w:rsid w:val="00384FEA"/>
    <w:pPr>
      <w:keepNext/>
      <w:keepLines/>
      <w:spacing w:before="360" w:after="360"/>
      <w:outlineLvl w:val="0"/>
    </w:pPr>
    <w:rPr>
      <w:rFonts w:ascii="Inter Medium" w:eastAsiaTheme="majorEastAsia" w:hAnsi="Inter Medium" w:cstheme="majorBidi"/>
      <w:color w:val="6B3B57"/>
      <w:sz w:val="52"/>
      <w:szCs w:val="36"/>
    </w:rPr>
  </w:style>
  <w:style w:type="paragraph" w:styleId="Heading2">
    <w:name w:val="heading 2"/>
    <w:basedOn w:val="Normal"/>
    <w:next w:val="BodyText"/>
    <w:uiPriority w:val="9"/>
    <w:unhideWhenUsed/>
    <w:qFormat/>
    <w:rsid w:val="00376EFA"/>
    <w:pPr>
      <w:keepNext/>
      <w:keepLines/>
      <w:spacing w:before="200" w:after="240"/>
      <w:outlineLvl w:val="1"/>
    </w:pPr>
    <w:rPr>
      <w:rFonts w:ascii="Inter Medium" w:eastAsiaTheme="majorEastAsia" w:hAnsi="Inter Medium" w:cstheme="majorBidi"/>
      <w:color w:val="6B3B57"/>
      <w:sz w:val="40"/>
      <w:szCs w:val="5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351C26"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351C26"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351C26"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351C26"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351C26"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351C26"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351C2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F914C0"/>
    <w:pPr>
      <w:spacing w:after="180"/>
    </w:pPr>
  </w:style>
  <w:style w:type="paragraph" w:customStyle="1" w:styleId="FirstParagraph">
    <w:name w:val="First Paragraph"/>
    <w:basedOn w:val="BodyText"/>
    <w:next w:val="BodyText"/>
    <w:qFormat/>
    <w:rsid w:val="008E2CD2"/>
  </w:style>
  <w:style w:type="paragraph" w:customStyle="1" w:styleId="Compact">
    <w:name w:val="Compact"/>
    <w:basedOn w:val="BodyText"/>
    <w:qFormat/>
    <w:pPr>
      <w:spacing w:before="36" w:after="36"/>
    </w:pPr>
  </w:style>
  <w:style w:type="paragraph" w:styleId="Title">
    <w:name w:val="Title"/>
    <w:basedOn w:val="Normal"/>
    <w:next w:val="BodyText"/>
    <w:qFormat/>
    <w:rsid w:val="001D2359"/>
    <w:pPr>
      <w:keepNext/>
      <w:keepLines/>
      <w:spacing w:before="480" w:after="240" w:line="216" w:lineRule="auto"/>
    </w:pPr>
    <w:rPr>
      <w:rFonts w:eastAsiaTheme="majorEastAsia" w:cstheme="majorBidi"/>
      <w:color w:val="6B3B57"/>
      <w:sz w:val="104"/>
      <w:szCs w:val="104"/>
    </w:rPr>
  </w:style>
  <w:style w:type="paragraph" w:styleId="Subtitle">
    <w:name w:val="Subtitle"/>
    <w:basedOn w:val="Heading1"/>
    <w:next w:val="BodyText"/>
    <w:qFormat/>
    <w:rsid w:val="001D2359"/>
    <w:rPr>
      <w:rFonts w:ascii="Inter" w:hAnsi="Inter"/>
      <w:sz w:val="40"/>
      <w:szCs w:val="24"/>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rsid w:val="00050606"/>
    <w:rPr>
      <w:sz w:val="20"/>
      <w:szCs w:val="20"/>
      <w:lang w:val="en-AU"/>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BodyText"/>
    <w:rsid w:val="008164FB"/>
  </w:style>
  <w:style w:type="paragraph" w:customStyle="1" w:styleId="Figure">
    <w:name w:val="Figure"/>
    <w:basedOn w:val="BodyText"/>
    <w:rsid w:val="00376EFA"/>
    <w:rPr>
      <w:i/>
      <w:iCs/>
      <w:sz w:val="18"/>
      <w:szCs w:val="18"/>
    </w:rPr>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sid w:val="00384FEA"/>
    <w:rPr>
      <w:color w:val="0D6475"/>
      <w:u w:val="single"/>
    </w:rPr>
  </w:style>
  <w:style w:type="paragraph" w:styleId="TOCHeading">
    <w:name w:val="TOC Heading"/>
    <w:basedOn w:val="Heading1"/>
    <w:next w:val="BodyText"/>
    <w:uiPriority w:val="39"/>
    <w:unhideWhenUsed/>
    <w:qFormat/>
    <w:pPr>
      <w:spacing w:before="240" w:line="259" w:lineRule="auto"/>
      <w:outlineLvl w:val="9"/>
    </w:pPr>
    <w:rPr>
      <w:b/>
      <w:bCs/>
      <w:color w:val="27151C"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Revision">
    <w:name w:val="Revision"/>
    <w:hidden/>
    <w:rsid w:val="0007170F"/>
    <w:pPr>
      <w:spacing w:after="0"/>
    </w:pPr>
  </w:style>
  <w:style w:type="character" w:styleId="CommentReference">
    <w:name w:val="annotation reference"/>
    <w:basedOn w:val="DefaultParagraphFont"/>
    <w:rsid w:val="0007170F"/>
    <w:rPr>
      <w:sz w:val="16"/>
      <w:szCs w:val="16"/>
    </w:rPr>
  </w:style>
  <w:style w:type="paragraph" w:styleId="CommentText">
    <w:name w:val="annotation text"/>
    <w:basedOn w:val="Normal"/>
    <w:link w:val="CommentTextChar"/>
    <w:rsid w:val="0007170F"/>
    <w:rPr>
      <w:sz w:val="20"/>
      <w:szCs w:val="20"/>
    </w:rPr>
  </w:style>
  <w:style w:type="character" w:customStyle="1" w:styleId="CommentTextChar">
    <w:name w:val="Comment Text Char"/>
    <w:basedOn w:val="DefaultParagraphFont"/>
    <w:link w:val="CommentText"/>
    <w:rsid w:val="0007170F"/>
    <w:rPr>
      <w:sz w:val="20"/>
      <w:szCs w:val="20"/>
    </w:rPr>
  </w:style>
  <w:style w:type="paragraph" w:styleId="CommentSubject">
    <w:name w:val="annotation subject"/>
    <w:basedOn w:val="CommentText"/>
    <w:next w:val="CommentText"/>
    <w:link w:val="CommentSubjectChar"/>
    <w:rsid w:val="0007170F"/>
    <w:rPr>
      <w:b/>
      <w:bCs/>
    </w:rPr>
  </w:style>
  <w:style w:type="character" w:customStyle="1" w:styleId="CommentSubjectChar">
    <w:name w:val="Comment Subject Char"/>
    <w:basedOn w:val="CommentTextChar"/>
    <w:link w:val="CommentSubject"/>
    <w:rsid w:val="0007170F"/>
    <w:rPr>
      <w:b/>
      <w:bCs/>
      <w:sz w:val="20"/>
      <w:szCs w:val="20"/>
    </w:rPr>
  </w:style>
  <w:style w:type="character" w:styleId="UnresolvedMention">
    <w:name w:val="Unresolved Mention"/>
    <w:basedOn w:val="DefaultParagraphFont"/>
    <w:uiPriority w:val="99"/>
    <w:semiHidden/>
    <w:unhideWhenUsed/>
    <w:rsid w:val="00EB40C8"/>
    <w:rPr>
      <w:color w:val="605E5C"/>
      <w:shd w:val="clear" w:color="auto" w:fill="E1DFDD"/>
    </w:rPr>
  </w:style>
  <w:style w:type="table" w:styleId="GridTable4-Accent1">
    <w:name w:val="Grid Table 4 Accent 1"/>
    <w:basedOn w:val="TableNormal"/>
    <w:uiPriority w:val="49"/>
    <w:rsid w:val="00FB13E2"/>
    <w:pPr>
      <w:spacing w:after="0"/>
    </w:pPr>
    <w:rPr>
      <w:kern w:val="2"/>
      <w:sz w:val="22"/>
      <w:szCs w:val="22"/>
      <w14:ligatures w14:val="standardContextual"/>
    </w:rPr>
    <w:tblPr>
      <w:tblStyleRowBandSize w:val="1"/>
      <w:tblStyleColBandSize w:val="1"/>
      <w:tblBorders>
        <w:top w:val="single" w:sz="4" w:space="0" w:color="A55776" w:themeColor="accent1" w:themeTint="99"/>
        <w:left w:val="single" w:sz="4" w:space="0" w:color="A55776" w:themeColor="accent1" w:themeTint="99"/>
        <w:bottom w:val="single" w:sz="4" w:space="0" w:color="A55776" w:themeColor="accent1" w:themeTint="99"/>
        <w:right w:val="single" w:sz="4" w:space="0" w:color="A55776" w:themeColor="accent1" w:themeTint="99"/>
        <w:insideH w:val="single" w:sz="4" w:space="0" w:color="A55776" w:themeColor="accent1" w:themeTint="99"/>
        <w:insideV w:val="single" w:sz="4" w:space="0" w:color="A55776" w:themeColor="accent1" w:themeTint="99"/>
      </w:tblBorders>
    </w:tblPr>
    <w:tblStylePr w:type="firstRow">
      <w:rPr>
        <w:b/>
        <w:bCs/>
        <w:color w:val="EDE8E0" w:themeColor="background1"/>
      </w:rPr>
      <w:tblPr/>
      <w:tcPr>
        <w:tcBorders>
          <w:top w:val="single" w:sz="4" w:space="0" w:color="351C26" w:themeColor="accent1"/>
          <w:left w:val="single" w:sz="4" w:space="0" w:color="351C26" w:themeColor="accent1"/>
          <w:bottom w:val="single" w:sz="4" w:space="0" w:color="351C26" w:themeColor="accent1"/>
          <w:right w:val="single" w:sz="4" w:space="0" w:color="351C26" w:themeColor="accent1"/>
          <w:insideH w:val="nil"/>
          <w:insideV w:val="nil"/>
        </w:tcBorders>
        <w:shd w:val="clear" w:color="auto" w:fill="351C26" w:themeFill="accent1"/>
      </w:tcPr>
    </w:tblStylePr>
    <w:tblStylePr w:type="lastRow">
      <w:rPr>
        <w:b/>
        <w:bCs/>
      </w:rPr>
      <w:tblPr/>
      <w:tcPr>
        <w:tcBorders>
          <w:top w:val="double" w:sz="4" w:space="0" w:color="351C26" w:themeColor="accent1"/>
        </w:tcBorders>
      </w:tcPr>
    </w:tblStylePr>
    <w:tblStylePr w:type="firstCol">
      <w:rPr>
        <w:b/>
        <w:bCs/>
      </w:rPr>
    </w:tblStylePr>
    <w:tblStylePr w:type="lastCol">
      <w:rPr>
        <w:b/>
        <w:bCs/>
      </w:rPr>
    </w:tblStylePr>
    <w:tblStylePr w:type="band1Vert">
      <w:tblPr/>
      <w:tcPr>
        <w:shd w:val="clear" w:color="auto" w:fill="E1C6D1" w:themeFill="accent1" w:themeFillTint="33"/>
      </w:tcPr>
    </w:tblStylePr>
    <w:tblStylePr w:type="band1Horz">
      <w:tblPr/>
      <w:tcPr>
        <w:shd w:val="clear" w:color="auto" w:fill="E1C6D1" w:themeFill="accent1" w:themeFillTint="33"/>
      </w:tcPr>
    </w:tblStylePr>
  </w:style>
  <w:style w:type="paragraph" w:styleId="Header">
    <w:name w:val="header"/>
    <w:basedOn w:val="Normal"/>
    <w:link w:val="HeaderChar"/>
    <w:rsid w:val="00AC271B"/>
    <w:pPr>
      <w:tabs>
        <w:tab w:val="center" w:pos="4513"/>
        <w:tab w:val="right" w:pos="9026"/>
      </w:tabs>
      <w:spacing w:after="0"/>
    </w:pPr>
  </w:style>
  <w:style w:type="character" w:customStyle="1" w:styleId="HeaderChar">
    <w:name w:val="Header Char"/>
    <w:basedOn w:val="DefaultParagraphFont"/>
    <w:link w:val="Header"/>
    <w:rsid w:val="00AC271B"/>
  </w:style>
  <w:style w:type="paragraph" w:styleId="Footer">
    <w:name w:val="footer"/>
    <w:basedOn w:val="Normal"/>
    <w:link w:val="FooterChar"/>
    <w:uiPriority w:val="99"/>
    <w:rsid w:val="00AC271B"/>
    <w:pPr>
      <w:tabs>
        <w:tab w:val="center" w:pos="4513"/>
        <w:tab w:val="right" w:pos="9026"/>
      </w:tabs>
      <w:spacing w:after="0"/>
    </w:pPr>
  </w:style>
  <w:style w:type="character" w:customStyle="1" w:styleId="FooterChar">
    <w:name w:val="Footer Char"/>
    <w:basedOn w:val="DefaultParagraphFont"/>
    <w:link w:val="Footer"/>
    <w:uiPriority w:val="99"/>
    <w:rsid w:val="00AC271B"/>
  </w:style>
  <w:style w:type="table" w:styleId="TableGrid">
    <w:name w:val="Table Grid"/>
    <w:basedOn w:val="TableNormal"/>
    <w:rsid w:val="001559F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AA7EDD"/>
    <w:rPr>
      <w:i/>
      <w:iCs/>
    </w:rPr>
  </w:style>
  <w:style w:type="paragraph" w:styleId="ListParagraph">
    <w:name w:val="List Paragraph"/>
    <w:basedOn w:val="Normal"/>
    <w:rsid w:val="00AA7EDD"/>
    <w:pPr>
      <w:ind w:left="720"/>
      <w:contextualSpacing/>
    </w:pPr>
  </w:style>
  <w:style w:type="paragraph" w:styleId="ListBullet">
    <w:name w:val="List Bullet"/>
    <w:basedOn w:val="BodyText"/>
    <w:rsid w:val="00D46136"/>
    <w:pPr>
      <w:numPr>
        <w:numId w:val="8"/>
      </w:numPr>
      <w:spacing w:after="120"/>
      <w:ind w:left="714" w:hanging="357"/>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854166">
      <w:bodyDiv w:val="1"/>
      <w:marLeft w:val="0"/>
      <w:marRight w:val="0"/>
      <w:marTop w:val="0"/>
      <w:marBottom w:val="0"/>
      <w:divBdr>
        <w:top w:val="none" w:sz="0" w:space="0" w:color="auto"/>
        <w:left w:val="none" w:sz="0" w:space="0" w:color="auto"/>
        <w:bottom w:val="none" w:sz="0" w:space="0" w:color="auto"/>
        <w:right w:val="none" w:sz="0" w:space="0" w:color="auto"/>
      </w:divBdr>
    </w:div>
    <w:div w:id="1849171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tion.gov.au/"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hyperlink" Target="https://www.acses.edu.au/data/interactive-tool/"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ducation.gov.au/higher-education-statistics/student-data/selected-higher-education-statistics-2022-student-da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universitiesaustralia.edu.au/wp-content/uploads/2019/06/180713-2017-UA-Student-Finance-Survey-Report.pdf"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hyperlink" Target="https://www.acses.edu.au/publication/student-equity-data-guide-challenges-in-comparing-student-outcomes/" TargetMode="External"/><Relationship Id="rId19" Type="http://schemas.openxmlformats.org/officeDocument/2006/relationships/image" Target="media/image9.png"/><Relationship Id="rId31" Type="http://schemas.openxmlformats.org/officeDocument/2006/relationships/hyperlink" Target="https://www.teqsa.gov.au/sites/default/files/good-practice-note-improving-retention-completion-students-v2-0.pdf" TargetMode="External"/><Relationship Id="rId4" Type="http://schemas.openxmlformats.org/officeDocument/2006/relationships/webSettings" Target="webSettings.xml"/><Relationship Id="rId9" Type="http://schemas.openxmlformats.org/officeDocument/2006/relationships/hyperlink" Target="file:///C:\Users\296054J\AppData\Local\Microsoft\Windows\INetCache\Content.Outlook\RIP1V1K5\www.acses.edu.au"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ncsehe.edu.au/app/uploads/2016/05/Exploring-the-Retention-and-Success-of-Students-with-Disability.pdf"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3" Type="http://schemas.openxmlformats.org/officeDocument/2006/relationships/hyperlink" Target="https://www.education.gov.au/heppp" TargetMode="External"/><Relationship Id="rId2" Type="http://schemas.openxmlformats.org/officeDocument/2006/relationships/hyperlink" Target="https://www.tcsisupport.gov.au/glossary/glossaryterm/Retention%20rate" TargetMode="External"/><Relationship Id="rId1" Type="http://schemas.openxmlformats.org/officeDocument/2006/relationships/hyperlink" Target="https://www.acses.edu.au/publication/student-equity-data-guide-defining-equity-groups/" TargetMode="External"/></Relationships>
</file>

<file path=word/theme/theme1.xml><?xml version="1.0" encoding="utf-8"?>
<a:theme xmlns:a="http://schemas.openxmlformats.org/drawingml/2006/main" name="ACSES brand colours and font">
  <a:themeElements>
    <a:clrScheme name="ACSES burgundy/blue">
      <a:dk1>
        <a:srgbClr val="351C26"/>
      </a:dk1>
      <a:lt1>
        <a:srgbClr val="EDE8E0"/>
      </a:lt1>
      <a:dk2>
        <a:srgbClr val="351C26"/>
      </a:dk2>
      <a:lt2>
        <a:srgbClr val="EDE8E0"/>
      </a:lt2>
      <a:accent1>
        <a:srgbClr val="351C26"/>
      </a:accent1>
      <a:accent2>
        <a:srgbClr val="B4728D"/>
      </a:accent2>
      <a:accent3>
        <a:srgbClr val="7B4158"/>
      </a:accent3>
      <a:accent4>
        <a:srgbClr val="FCBF86"/>
      </a:accent4>
      <a:accent5>
        <a:srgbClr val="B4728D"/>
      </a:accent5>
      <a:accent6>
        <a:srgbClr val="EDE8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docProps/app.xml><?xml version="1.0" encoding="utf-8"?>
<Properties xmlns="http://schemas.openxmlformats.org/officeDocument/2006/extended-properties" xmlns:vt="http://schemas.openxmlformats.org/officeDocument/2006/docPropsVTypes">
  <Template>Normal.dotm</Template>
  <TotalTime>10</TotalTime>
  <Pages>28</Pages>
  <Words>3156</Words>
  <Characters>17993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Retention rates in Australian higher education</vt:lpstr>
    </vt:vector>
  </TitlesOfParts>
  <Company/>
  <LinksUpToDate>false</LinksUpToDate>
  <CharactersWithSpaces>21107</CharactersWithSpaces>
  <SharedDoc>false</SharedDoc>
  <HLinks>
    <vt:vector size="30" baseType="variant">
      <vt:variant>
        <vt:i4>1310722</vt:i4>
      </vt:variant>
      <vt:variant>
        <vt:i4>9</vt:i4>
      </vt:variant>
      <vt:variant>
        <vt:i4>0</vt:i4>
      </vt:variant>
      <vt:variant>
        <vt:i4>5</vt:i4>
      </vt:variant>
      <vt:variant>
        <vt:lpwstr>https://universitiesaustralia.edu.au/wp-content/uploads/2019/06/180713-2017-UA-Student-Finance-Survey-Report.pdf</vt:lpwstr>
      </vt:variant>
      <vt:variant>
        <vt:lpwstr/>
      </vt:variant>
      <vt:variant>
        <vt:i4>655433</vt:i4>
      </vt:variant>
      <vt:variant>
        <vt:i4>6</vt:i4>
      </vt:variant>
      <vt:variant>
        <vt:i4>0</vt:i4>
      </vt:variant>
      <vt:variant>
        <vt:i4>5</vt:i4>
      </vt:variant>
      <vt:variant>
        <vt:lpwstr>https://www.teqsa.gov.au/sites/default/files/good-practice-note-improving-retention-completion-students-v2-0.pdf</vt:lpwstr>
      </vt:variant>
      <vt:variant>
        <vt:lpwstr/>
      </vt:variant>
      <vt:variant>
        <vt:i4>4194382</vt:i4>
      </vt:variant>
      <vt:variant>
        <vt:i4>3</vt:i4>
      </vt:variant>
      <vt:variant>
        <vt:i4>0</vt:i4>
      </vt:variant>
      <vt:variant>
        <vt:i4>5</vt:i4>
      </vt:variant>
      <vt:variant>
        <vt:lpwstr>https://www.ncsehe.edu.au/app/uploads/2016/05/Exploring-the-Retention-and-Success-of-Students-with-Disability.pdf</vt:lpwstr>
      </vt:variant>
      <vt:variant>
        <vt:lpwstr/>
      </vt:variant>
      <vt:variant>
        <vt:i4>2490468</vt:i4>
      </vt:variant>
      <vt:variant>
        <vt:i4>0</vt:i4>
      </vt:variant>
      <vt:variant>
        <vt:i4>0</vt:i4>
      </vt:variant>
      <vt:variant>
        <vt:i4>5</vt:i4>
      </vt:variant>
      <vt:variant>
        <vt:lpwstr>https://www.acses.edu.au/data/interactive-tool/</vt:lpwstr>
      </vt:variant>
      <vt:variant>
        <vt:lpwstr/>
      </vt:variant>
      <vt:variant>
        <vt:i4>7274621</vt:i4>
      </vt:variant>
      <vt:variant>
        <vt:i4>0</vt:i4>
      </vt:variant>
      <vt:variant>
        <vt:i4>0</vt:i4>
      </vt:variant>
      <vt:variant>
        <vt:i4>5</vt:i4>
      </vt:variant>
      <vt:variant>
        <vt:lpwstr>https://www.tcsisupport.gov.au/glossary/glossaryterm/Retention 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Retention rates in Australian higher education</dc:title>
  <dc:subject/>
  <dc:creator>Gemma Cadby</dc:creator>
  <cp:keywords/>
  <cp:lastModifiedBy>Anna Will</cp:lastModifiedBy>
  <cp:revision>3</cp:revision>
  <dcterms:created xsi:type="dcterms:W3CDTF">2025-04-09T03:41:00Z</dcterms:created>
  <dcterms:modified xsi:type="dcterms:W3CDTF">2025-04-09T03:50:00Z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